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566" w:rsidRPr="00B93EFA" w:rsidRDefault="00014566" w:rsidP="00B93EFA">
      <w:pPr>
        <w:jc w:val="center"/>
      </w:pPr>
      <w:bookmarkStart w:id="0" w:name="_GoBack"/>
      <w:bookmarkEnd w:id="0"/>
    </w:p>
    <w:p w:rsidR="007704A5" w:rsidRPr="00B93EFA" w:rsidRDefault="007704A5" w:rsidP="00B93EFA">
      <w:pPr>
        <w:jc w:val="center"/>
      </w:pPr>
    </w:p>
    <w:p w:rsidR="007704A5" w:rsidRPr="00B93EFA" w:rsidRDefault="007704A5" w:rsidP="00B93EFA">
      <w:pPr>
        <w:jc w:val="center"/>
      </w:pPr>
    </w:p>
    <w:p w:rsidR="00014566" w:rsidRPr="00B93EFA" w:rsidRDefault="00FA4D43" w:rsidP="00B93EFA">
      <w:pPr>
        <w:jc w:val="center"/>
      </w:pPr>
      <w:r>
        <w:t>ПЕТО ОТДЕЛЕНИЕ</w:t>
      </w:r>
    </w:p>
    <w:p w:rsidR="00014566" w:rsidRPr="00B93EFA" w:rsidRDefault="00014566" w:rsidP="00B93EFA">
      <w:pPr>
        <w:jc w:val="center"/>
      </w:pPr>
    </w:p>
    <w:p w:rsidR="007704A5" w:rsidRPr="00B93EFA" w:rsidRDefault="007704A5" w:rsidP="00B93EFA">
      <w:pPr>
        <w:jc w:val="center"/>
      </w:pPr>
    </w:p>
    <w:p w:rsidR="007704A5" w:rsidRPr="00B93EFA" w:rsidRDefault="007704A5" w:rsidP="00B93EFA">
      <w:pPr>
        <w:jc w:val="center"/>
      </w:pPr>
    </w:p>
    <w:p w:rsidR="007704A5" w:rsidRPr="00B93EFA" w:rsidRDefault="007704A5" w:rsidP="00B93EFA">
      <w:pPr>
        <w:jc w:val="center"/>
      </w:pPr>
    </w:p>
    <w:p w:rsidR="007704A5" w:rsidRPr="00B93EFA" w:rsidRDefault="007704A5" w:rsidP="00B93EFA">
      <w:pPr>
        <w:jc w:val="center"/>
      </w:pPr>
    </w:p>
    <w:p w:rsidR="007704A5" w:rsidRPr="00B93EFA" w:rsidRDefault="007704A5" w:rsidP="00B93EFA">
      <w:pPr>
        <w:jc w:val="center"/>
      </w:pPr>
    </w:p>
    <w:p w:rsidR="00014566" w:rsidRPr="00B93EFA" w:rsidRDefault="00014566" w:rsidP="00B93EFA">
      <w:pPr>
        <w:jc w:val="center"/>
        <w:rPr>
          <w:b/>
        </w:rPr>
      </w:pPr>
      <w:bookmarkStart w:id="1" w:name="To"/>
      <w:r>
        <w:rPr>
          <w:b/>
        </w:rPr>
        <w:t xml:space="preserve">ДЕЛО </w:t>
      </w:r>
      <w:bookmarkEnd w:id="1"/>
      <w:r>
        <w:rPr>
          <w:b/>
        </w:rPr>
        <w:t>СТЕФАНОВИ СРЕЩУ БЪЛГАРИЯ</w:t>
      </w:r>
    </w:p>
    <w:p w:rsidR="00E011B8" w:rsidRPr="00B93EFA" w:rsidRDefault="00E011B8" w:rsidP="00B93EFA">
      <w:pPr>
        <w:jc w:val="center"/>
        <w:rPr>
          <w:i/>
        </w:rPr>
      </w:pPr>
    </w:p>
    <w:p w:rsidR="00014566" w:rsidRPr="00B93EFA" w:rsidRDefault="00014566" w:rsidP="00B93EFA">
      <w:pPr>
        <w:jc w:val="center"/>
        <w:rPr>
          <w:i/>
        </w:rPr>
      </w:pPr>
      <w:r>
        <w:rPr>
          <w:i/>
        </w:rPr>
        <w:t>(Жалба № 65688/12)</w:t>
      </w:r>
    </w:p>
    <w:p w:rsidR="00014566" w:rsidRPr="00B93EFA" w:rsidRDefault="00014566" w:rsidP="00B93EFA">
      <w:pPr>
        <w:jc w:val="center"/>
      </w:pPr>
    </w:p>
    <w:p w:rsidR="00E011B8" w:rsidRPr="00B93EFA" w:rsidRDefault="00E011B8" w:rsidP="00B93EFA">
      <w:pPr>
        <w:jc w:val="center"/>
      </w:pPr>
    </w:p>
    <w:p w:rsidR="00A8348D" w:rsidRPr="00B93EFA" w:rsidRDefault="00A8348D" w:rsidP="00B93EFA">
      <w:pPr>
        <w:jc w:val="center"/>
      </w:pPr>
    </w:p>
    <w:p w:rsidR="00A8348D" w:rsidRPr="00B93EFA" w:rsidRDefault="00A8348D" w:rsidP="00B93EFA">
      <w:pPr>
        <w:jc w:val="center"/>
      </w:pPr>
    </w:p>
    <w:p w:rsidR="00A8348D" w:rsidRPr="00B93EFA" w:rsidRDefault="00A8348D" w:rsidP="00B93EFA">
      <w:pPr>
        <w:jc w:val="center"/>
      </w:pPr>
    </w:p>
    <w:p w:rsidR="00A8348D" w:rsidRPr="00B93EFA" w:rsidRDefault="00A8348D" w:rsidP="00B93EFA">
      <w:pPr>
        <w:jc w:val="center"/>
      </w:pPr>
    </w:p>
    <w:p w:rsidR="00A8348D" w:rsidRPr="00B93EFA" w:rsidRDefault="00A8348D" w:rsidP="00B93EFA">
      <w:pPr>
        <w:jc w:val="center"/>
      </w:pPr>
    </w:p>
    <w:p w:rsidR="00B93EFA" w:rsidRPr="00B93EFA" w:rsidRDefault="00B93EFA" w:rsidP="00B93EFA">
      <w:pPr>
        <w:jc w:val="center"/>
      </w:pPr>
    </w:p>
    <w:p w:rsidR="00B93EFA" w:rsidRPr="003F4CBA" w:rsidRDefault="00B93EFA" w:rsidP="00B93EFA">
      <w:pPr>
        <w:jc w:val="center"/>
      </w:pPr>
    </w:p>
    <w:p w:rsidR="00B93EFA" w:rsidRPr="00B93EFA" w:rsidRDefault="00B93EFA" w:rsidP="00B93EFA">
      <w:pPr>
        <w:jc w:val="center"/>
      </w:pPr>
    </w:p>
    <w:p w:rsidR="00B93EFA" w:rsidRPr="00B93EFA" w:rsidRDefault="00B93EFA" w:rsidP="00B93EFA">
      <w:pPr>
        <w:jc w:val="center"/>
      </w:pPr>
    </w:p>
    <w:p w:rsidR="00E011B8" w:rsidRPr="00B93EFA" w:rsidRDefault="00E011B8" w:rsidP="00B93EFA">
      <w:pPr>
        <w:jc w:val="center"/>
      </w:pPr>
    </w:p>
    <w:p w:rsidR="00014566" w:rsidRPr="00B93EFA" w:rsidRDefault="007704A5" w:rsidP="00B93EFA">
      <w:pPr>
        <w:jc w:val="center"/>
      </w:pPr>
      <w:r>
        <w:t>РЕШЕНИЕ</w:t>
      </w:r>
    </w:p>
    <w:p w:rsidR="00A8348D" w:rsidRPr="00B93EFA" w:rsidRDefault="00A8348D" w:rsidP="00B93EFA">
      <w:pPr>
        <w:jc w:val="center"/>
      </w:pPr>
    </w:p>
    <w:p w:rsidR="00A8348D" w:rsidRPr="00B93EFA" w:rsidRDefault="00A8348D" w:rsidP="00B93EFA">
      <w:pPr>
        <w:jc w:val="center"/>
      </w:pPr>
    </w:p>
    <w:p w:rsidR="007704A5" w:rsidRPr="00B93EFA" w:rsidRDefault="007704A5" w:rsidP="00B93EFA">
      <w:pPr>
        <w:jc w:val="center"/>
      </w:pPr>
    </w:p>
    <w:p w:rsidR="007704A5" w:rsidRPr="00B93EFA" w:rsidRDefault="007704A5" w:rsidP="00B93EFA">
      <w:pPr>
        <w:jc w:val="center"/>
      </w:pPr>
      <w:r>
        <w:t>СТРАСБУРГ</w:t>
      </w:r>
    </w:p>
    <w:p w:rsidR="007704A5" w:rsidRPr="00B93EFA" w:rsidRDefault="007704A5" w:rsidP="00B93EFA">
      <w:pPr>
        <w:jc w:val="center"/>
      </w:pPr>
    </w:p>
    <w:p w:rsidR="007704A5" w:rsidRPr="00B93EFA" w:rsidRDefault="00C573BF" w:rsidP="00B93EFA">
      <w:pPr>
        <w:jc w:val="center"/>
      </w:pPr>
      <w:r>
        <w:t>30 март 2017 г.</w:t>
      </w:r>
    </w:p>
    <w:p w:rsidR="007704A5" w:rsidRPr="00B93EFA" w:rsidRDefault="007704A5" w:rsidP="00B93EFA">
      <w:pPr>
        <w:jc w:val="center"/>
      </w:pPr>
    </w:p>
    <w:p w:rsidR="007704A5" w:rsidRPr="00B93EFA" w:rsidRDefault="007704A5" w:rsidP="00B93EFA">
      <w:pPr>
        <w:jc w:val="center"/>
      </w:pPr>
    </w:p>
    <w:p w:rsidR="00A8348D" w:rsidRPr="00B93EFA" w:rsidRDefault="00A8348D" w:rsidP="00B93EFA">
      <w:pPr>
        <w:jc w:val="center"/>
      </w:pPr>
    </w:p>
    <w:p w:rsidR="00A8348D" w:rsidRPr="00B93EFA" w:rsidRDefault="00A8348D" w:rsidP="00B93EFA">
      <w:pPr>
        <w:jc w:val="left"/>
        <w:rPr>
          <w:i/>
          <w:sz w:val="22"/>
        </w:rPr>
      </w:pPr>
      <w:r>
        <w:rPr>
          <w:i/>
          <w:sz w:val="22"/>
        </w:rPr>
        <w:t>Настоящото решение е окончателно, но може да бъде предмет на редакционни промени.</w:t>
      </w:r>
    </w:p>
    <w:p w:rsidR="00A8348D" w:rsidRPr="00B93EFA" w:rsidRDefault="00A8348D" w:rsidP="00B93EFA">
      <w:pPr>
        <w:pStyle w:val="ECHRPara"/>
        <w:ind w:firstLine="0"/>
        <w:sectPr w:rsidR="00A8348D" w:rsidRPr="00B93EFA" w:rsidSect="007704A5">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code="9"/>
          <w:pgMar w:top="2274" w:right="2274" w:bottom="2274" w:left="2274" w:header="1701" w:footer="720" w:gutter="0"/>
          <w:pgNumType w:start="1"/>
          <w:cols w:space="720"/>
          <w:titlePg/>
          <w:docGrid w:linePitch="326"/>
        </w:sectPr>
      </w:pPr>
    </w:p>
    <w:p w:rsidR="00014566" w:rsidRPr="00B93EFA" w:rsidRDefault="00014566" w:rsidP="00B93EFA">
      <w:pPr>
        <w:pStyle w:val="JuCase"/>
        <w:rPr>
          <w:bCs/>
        </w:rPr>
      </w:pPr>
      <w:r>
        <w:lastRenderedPageBreak/>
        <w:t>По делото Стефанови срещу България,</w:t>
      </w:r>
    </w:p>
    <w:p w:rsidR="00014566" w:rsidRPr="00B93EFA" w:rsidRDefault="00014566" w:rsidP="00B93EFA">
      <w:pPr>
        <w:pStyle w:val="ECHRPara"/>
      </w:pPr>
      <w:r>
        <w:t xml:space="preserve">Европейският съд по правата на човека (Пето отделение), заседаващ като комитет, </w:t>
      </w:r>
      <w:r w:rsidR="005F3733">
        <w:t>в състав</w:t>
      </w:r>
      <w:r>
        <w:t>:</w:t>
      </w:r>
    </w:p>
    <w:p w:rsidR="00014566" w:rsidRPr="00B93EFA" w:rsidRDefault="00A8348D" w:rsidP="00B93EFA">
      <w:pPr>
        <w:pStyle w:val="ECHRDecisionBody"/>
      </w:pPr>
      <w:r>
        <w:tab/>
        <w:t>Ери</w:t>
      </w:r>
      <w:r w:rsidR="005F3733">
        <w:t>к</w:t>
      </w:r>
      <w:r>
        <w:t xml:space="preserve"> </w:t>
      </w:r>
      <w:proofErr w:type="spellStart"/>
      <w:r>
        <w:t>Мьозе</w:t>
      </w:r>
      <w:proofErr w:type="spellEnd"/>
      <w:r>
        <w:t xml:space="preserve"> (</w:t>
      </w:r>
      <w:proofErr w:type="spellStart"/>
      <w:r>
        <w:t>Erik</w:t>
      </w:r>
      <w:proofErr w:type="spellEnd"/>
      <w:r>
        <w:t xml:space="preserve"> </w:t>
      </w:r>
      <w:proofErr w:type="spellStart"/>
      <w:r>
        <w:t>Møse</w:t>
      </w:r>
      <w:proofErr w:type="spellEnd"/>
      <w:r>
        <w:t>)</w:t>
      </w:r>
      <w:r>
        <w:rPr>
          <w:i/>
        </w:rPr>
        <w:t>, Председател,</w:t>
      </w:r>
      <w:r>
        <w:br/>
      </w:r>
      <w:r>
        <w:tab/>
        <w:t>Йонко Грозев (</w:t>
      </w:r>
      <w:proofErr w:type="spellStart"/>
      <w:r>
        <w:t>Yonko</w:t>
      </w:r>
      <w:proofErr w:type="spellEnd"/>
      <w:r>
        <w:t xml:space="preserve"> </w:t>
      </w:r>
      <w:proofErr w:type="spellStart"/>
      <w:r>
        <w:t>Grozev</w:t>
      </w:r>
      <w:proofErr w:type="spellEnd"/>
      <w:r>
        <w:t>),</w:t>
      </w:r>
      <w:r>
        <w:br/>
      </w:r>
      <w:r>
        <w:tab/>
        <w:t>Летиф Хюсеинов (</w:t>
      </w:r>
      <w:proofErr w:type="spellStart"/>
      <w:r>
        <w:t>Lәtif</w:t>
      </w:r>
      <w:proofErr w:type="spellEnd"/>
      <w:r>
        <w:t xml:space="preserve"> </w:t>
      </w:r>
      <w:proofErr w:type="spellStart"/>
      <w:r>
        <w:t>Hüseynov</w:t>
      </w:r>
      <w:proofErr w:type="spellEnd"/>
      <w:r>
        <w:t>),</w:t>
      </w:r>
      <w:r>
        <w:rPr>
          <w:i/>
        </w:rPr>
        <w:t xml:space="preserve"> съдии</w:t>
      </w:r>
      <w:r>
        <w:t>,</w:t>
      </w:r>
      <w:r>
        <w:br/>
        <w:t xml:space="preserve">и Ан-Мари </w:t>
      </w:r>
      <w:proofErr w:type="spellStart"/>
      <w:r>
        <w:t>Дуген</w:t>
      </w:r>
      <w:proofErr w:type="spellEnd"/>
      <w:r>
        <w:t xml:space="preserve"> (</w:t>
      </w:r>
      <w:proofErr w:type="spellStart"/>
      <w:r>
        <w:t>Anne-Marie</w:t>
      </w:r>
      <w:proofErr w:type="spellEnd"/>
      <w:r>
        <w:t xml:space="preserve"> </w:t>
      </w:r>
      <w:proofErr w:type="spellStart"/>
      <w:r>
        <w:t>Dougin</w:t>
      </w:r>
      <w:proofErr w:type="spellEnd"/>
      <w:r>
        <w:t xml:space="preserve">), </w:t>
      </w:r>
      <w:r>
        <w:rPr>
          <w:i/>
        </w:rPr>
        <w:t xml:space="preserve"> заместник-секретар на отделението</w:t>
      </w:r>
      <w:r>
        <w:t>,</w:t>
      </w:r>
    </w:p>
    <w:p w:rsidR="00014566" w:rsidRPr="00B93EFA" w:rsidRDefault="00014566" w:rsidP="00B93EFA">
      <w:pPr>
        <w:pStyle w:val="ECHRPara"/>
      </w:pPr>
      <w:r>
        <w:t>След закрито заседание, проведено на 7 март 2017 г.,</w:t>
      </w:r>
    </w:p>
    <w:p w:rsidR="00014566" w:rsidRPr="00B93EFA" w:rsidRDefault="00014566" w:rsidP="00B93EFA">
      <w:pPr>
        <w:pStyle w:val="ECHRPara"/>
      </w:pPr>
      <w:r>
        <w:t xml:space="preserve">Постановява следното решение, прието на </w:t>
      </w:r>
      <w:r w:rsidR="005F3733">
        <w:t xml:space="preserve">същата </w:t>
      </w:r>
      <w:r>
        <w:t>дата:</w:t>
      </w:r>
    </w:p>
    <w:p w:rsidR="00014566" w:rsidRPr="00B93EFA" w:rsidRDefault="00014566" w:rsidP="00B93EFA">
      <w:pPr>
        <w:pStyle w:val="ECHRTitle1"/>
      </w:pPr>
      <w:r>
        <w:t>ПРОЦЕДУРА</w:t>
      </w:r>
    </w:p>
    <w:p w:rsidR="00FA4D43" w:rsidRPr="00B93EFA" w:rsidRDefault="00946997" w:rsidP="00B93EFA">
      <w:pPr>
        <w:pStyle w:val="ECHRPara"/>
      </w:pPr>
      <w:r w:rsidRPr="00B93EFA">
        <w:fldChar w:fldCharType="begin"/>
      </w:r>
      <w:r w:rsidR="00FA4D43" w:rsidRPr="00B93EFA">
        <w:instrText xml:space="preserve"> SEQ level0 \*arabic </w:instrText>
      </w:r>
      <w:r w:rsidRPr="00B93EFA">
        <w:fldChar w:fldCharType="separate"/>
      </w:r>
      <w:r w:rsidR="00B93EFA" w:rsidRPr="00B93EFA">
        <w:rPr>
          <w:noProof/>
        </w:rPr>
        <w:t>1</w:t>
      </w:r>
      <w:r w:rsidRPr="00B93EFA">
        <w:fldChar w:fldCharType="end"/>
      </w:r>
      <w:r w:rsidR="00FA4D43">
        <w:t>.  Делото е образувано по жалба (№ 65688/12) срещу Република България, подадена в Съда на основание чл. 34 от Конвенцията за защита на правата на човека и основните свободи (”Конвенцията”) от трима български граждани, г-н Васил Георгиев Стефанов, г-жа Минка Александрова Стефанова и г-н Александър Василев Стефанов (”жалбоподателите”), на 4 октомври 2012 г.</w:t>
      </w:r>
    </w:p>
    <w:p w:rsidR="00014566" w:rsidRPr="00B93EFA" w:rsidRDefault="00946997" w:rsidP="00B93EFA">
      <w:pPr>
        <w:pStyle w:val="ECHRPara"/>
      </w:pPr>
      <w:r w:rsidRPr="00B93EFA">
        <w:fldChar w:fldCharType="begin"/>
      </w:r>
      <w:r w:rsidR="00FA4D43" w:rsidRPr="00B93EFA">
        <w:instrText xml:space="preserve"> SEQ level0 \*arabic </w:instrText>
      </w:r>
      <w:r w:rsidRPr="00B93EFA">
        <w:fldChar w:fldCharType="separate"/>
      </w:r>
      <w:r w:rsidR="00B93EFA" w:rsidRPr="00B93EFA">
        <w:rPr>
          <w:noProof/>
        </w:rPr>
        <w:t>2</w:t>
      </w:r>
      <w:r w:rsidRPr="00B93EFA">
        <w:fldChar w:fldCharType="end"/>
      </w:r>
      <w:r w:rsidR="00FA4D43">
        <w:t xml:space="preserve">.  Жалбоподателите </w:t>
      </w:r>
      <w:r w:rsidR="005F3733">
        <w:t>са представлявани</w:t>
      </w:r>
      <w:r w:rsidR="00FA4D43">
        <w:t xml:space="preserve"> от г-н С. </w:t>
      </w:r>
      <w:proofErr w:type="spellStart"/>
      <w:r w:rsidR="00FA4D43">
        <w:t>Дъров</w:t>
      </w:r>
      <w:proofErr w:type="spellEnd"/>
      <w:r w:rsidR="00FA4D43">
        <w:t xml:space="preserve">, адвокат, практикуващ в София. Българското правителство („Правителството”) </w:t>
      </w:r>
      <w:r w:rsidR="00F06C2C">
        <w:t xml:space="preserve">е </w:t>
      </w:r>
      <w:r w:rsidR="00FA4D43">
        <w:t>представлява</w:t>
      </w:r>
      <w:r w:rsidR="00F06C2C">
        <w:t>но</w:t>
      </w:r>
      <w:r w:rsidR="00FA4D43">
        <w:t xml:space="preserve"> от правителствения агент г-жа М. Коцева от Министерство на правосъдието.</w:t>
      </w:r>
    </w:p>
    <w:p w:rsidR="00014566" w:rsidRPr="00B93EFA" w:rsidRDefault="00946997" w:rsidP="00B93EFA">
      <w:pPr>
        <w:pStyle w:val="ECHRPara"/>
      </w:pPr>
      <w:r w:rsidRPr="00B93EFA">
        <w:fldChar w:fldCharType="begin"/>
      </w:r>
      <w:r w:rsidR="00FA4D43" w:rsidRPr="00B93EFA">
        <w:instrText xml:space="preserve"> SEQ level0 \*arabic </w:instrText>
      </w:r>
      <w:r w:rsidRPr="00B93EFA">
        <w:fldChar w:fldCharType="separate"/>
      </w:r>
      <w:r w:rsidR="00B93EFA" w:rsidRPr="00B93EFA">
        <w:rPr>
          <w:noProof/>
        </w:rPr>
        <w:t>3</w:t>
      </w:r>
      <w:r w:rsidRPr="00B93EFA">
        <w:fldChar w:fldCharType="end"/>
      </w:r>
      <w:r w:rsidR="00FA4D43">
        <w:t xml:space="preserve">.  На 16 март 2015 г. жалбата е </w:t>
      </w:r>
      <w:r w:rsidR="005F3733">
        <w:t xml:space="preserve">комуникирана </w:t>
      </w:r>
      <w:r w:rsidR="00FA4D43">
        <w:t>на Правителството.</w:t>
      </w:r>
    </w:p>
    <w:p w:rsidR="00014566" w:rsidRPr="00B93EFA" w:rsidRDefault="00014566" w:rsidP="00B93EFA">
      <w:pPr>
        <w:pStyle w:val="ECHRTitle1"/>
      </w:pPr>
      <w:r>
        <w:t>ФАКТИТЕ</w:t>
      </w:r>
    </w:p>
    <w:p w:rsidR="00014566" w:rsidRPr="00B93EFA" w:rsidRDefault="00014566" w:rsidP="00B93EFA">
      <w:pPr>
        <w:pStyle w:val="ECHRHeading1"/>
      </w:pPr>
      <w:r>
        <w:t>I.  ОБСТОЯТЕЛСТВА</w:t>
      </w:r>
      <w:r w:rsidR="005F3733">
        <w:t>ТА</w:t>
      </w:r>
      <w:r>
        <w:t xml:space="preserve"> ПО ДЕЛОТО</w:t>
      </w:r>
    </w:p>
    <w:p w:rsidR="00014566" w:rsidRPr="00B93EFA" w:rsidRDefault="00946997" w:rsidP="00B93EFA">
      <w:pPr>
        <w:pStyle w:val="ECHRPara"/>
      </w:pPr>
      <w:r w:rsidRPr="00B93EFA">
        <w:fldChar w:fldCharType="begin"/>
      </w:r>
      <w:r w:rsidR="00FA4D43" w:rsidRPr="00B93EFA">
        <w:instrText xml:space="preserve"> SEQ level0 \*arabic </w:instrText>
      </w:r>
      <w:r w:rsidRPr="00B93EFA">
        <w:fldChar w:fldCharType="separate"/>
      </w:r>
      <w:r w:rsidR="00B93EFA" w:rsidRPr="00B93EFA">
        <w:rPr>
          <w:noProof/>
        </w:rPr>
        <w:t>4</w:t>
      </w:r>
      <w:r w:rsidRPr="00B93EFA">
        <w:fldChar w:fldCharType="end"/>
      </w:r>
      <w:r w:rsidR="00FA4D43">
        <w:t>.  Жалбоподателите са родени съответно през 1938 г., 1940 г. и 1961 г. Първите двама жалбоподатели живеят в Долни Дъбник, а третият жалбоподател живее в София. Първите два</w:t>
      </w:r>
      <w:r w:rsidR="005F3733">
        <w:t>ма</w:t>
      </w:r>
      <w:r w:rsidR="00FA4D43">
        <w:t xml:space="preserve"> жалбоподатели са родителите на третия жалбоподател.</w:t>
      </w:r>
    </w:p>
    <w:p w:rsidR="00FD3B98" w:rsidRPr="00B93EFA" w:rsidRDefault="00946997" w:rsidP="00B93EFA">
      <w:pPr>
        <w:pStyle w:val="ECHRPara"/>
      </w:pPr>
      <w:r w:rsidRPr="00B93EFA">
        <w:fldChar w:fldCharType="begin"/>
      </w:r>
      <w:r w:rsidR="00FA4D43" w:rsidRPr="00B93EFA">
        <w:instrText xml:space="preserve"> SEQ level0 \*arabic </w:instrText>
      </w:r>
      <w:r w:rsidRPr="00B93EFA">
        <w:fldChar w:fldCharType="separate"/>
      </w:r>
      <w:r w:rsidR="00B93EFA" w:rsidRPr="00B93EFA">
        <w:rPr>
          <w:noProof/>
        </w:rPr>
        <w:t>5</w:t>
      </w:r>
      <w:r w:rsidRPr="00B93EFA">
        <w:fldChar w:fldCharType="end"/>
      </w:r>
      <w:r w:rsidR="00FA4D43">
        <w:t xml:space="preserve">.  През 1990 г. тримата жалбоподатели купуват от държавата апартамент в София с </w:t>
      </w:r>
      <w:r w:rsidR="00F06C2C">
        <w:t xml:space="preserve">площ </w:t>
      </w:r>
      <w:r w:rsidR="00FA4D43">
        <w:t xml:space="preserve">144 </w:t>
      </w:r>
      <w:r w:rsidR="008D7583">
        <w:t>кв. м.</w:t>
      </w:r>
      <w:r w:rsidR="00FA4D43">
        <w:t>,</w:t>
      </w:r>
      <w:r w:rsidR="009F1362">
        <w:t xml:space="preserve"> станал</w:t>
      </w:r>
      <w:r w:rsidR="00FA4D43">
        <w:t xml:space="preserve"> </w:t>
      </w:r>
      <w:proofErr w:type="spellStart"/>
      <w:r w:rsidR="009F1362">
        <w:t>държавна</w:t>
      </w:r>
      <w:r w:rsidR="00FA4D43">
        <w:t>собственост</w:t>
      </w:r>
      <w:proofErr w:type="spellEnd"/>
      <w:r w:rsidR="00FA4D43">
        <w:t xml:space="preserve"> </w:t>
      </w:r>
      <w:r w:rsidR="00FA4D43" w:rsidRPr="00430B15">
        <w:t xml:space="preserve">по силата на </w:t>
      </w:r>
      <w:r>
        <w:t>национализациите, извършени от комунистическия режим след 1945 г.</w:t>
      </w:r>
    </w:p>
    <w:p w:rsidR="00FD3B98" w:rsidRPr="00B93EFA" w:rsidRDefault="00946997" w:rsidP="00B93EFA">
      <w:pPr>
        <w:pStyle w:val="ECHRPara"/>
      </w:pPr>
      <w:r w:rsidRPr="00B93EFA">
        <w:fldChar w:fldCharType="begin"/>
      </w:r>
      <w:r w:rsidR="00FD3B98" w:rsidRPr="00B93EFA">
        <w:instrText xml:space="preserve"> SEQ level0 \*arabic </w:instrText>
      </w:r>
      <w:r w:rsidRPr="00B93EFA">
        <w:fldChar w:fldCharType="separate"/>
      </w:r>
      <w:r w:rsidR="00B93EFA" w:rsidRPr="00B93EFA">
        <w:rPr>
          <w:noProof/>
        </w:rPr>
        <w:t>6</w:t>
      </w:r>
      <w:r w:rsidRPr="00B93EFA">
        <w:fldChar w:fldCharType="end"/>
      </w:r>
      <w:r w:rsidR="00FD3B98">
        <w:t xml:space="preserve">.  През 1992 г. наследникът на собственика на жилището преди национализацията </w:t>
      </w:r>
      <w:r>
        <w:t>предявява</w:t>
      </w:r>
      <w:r w:rsidR="00C617A9">
        <w:t xml:space="preserve"> иск</w:t>
      </w:r>
      <w:r w:rsidR="00FD3B98">
        <w:t xml:space="preserve"> срещу жалбоподателите по реда на чл. 7 от Закона за възстановяване на собствеността с цел да се установи, че </w:t>
      </w:r>
      <w:r w:rsidR="00FD3B98">
        <w:lastRenderedPageBreak/>
        <w:t xml:space="preserve">тяхното право на собственост е </w:t>
      </w:r>
      <w:r>
        <w:t>нищожно</w:t>
      </w:r>
      <w:r w:rsidR="00FD3B98">
        <w:t xml:space="preserve">. Тя </w:t>
      </w:r>
      <w:r w:rsidR="00C617A9">
        <w:t xml:space="preserve"> </w:t>
      </w:r>
      <w:r w:rsidR="00FD3B98">
        <w:t>предявява</w:t>
      </w:r>
      <w:r w:rsidR="00C617A9">
        <w:t xml:space="preserve"> и</w:t>
      </w:r>
      <w:r w:rsidR="00FD3B98">
        <w:t xml:space="preserve"> </w:t>
      </w:r>
      <w:r>
        <w:t xml:space="preserve">иск </w:t>
      </w:r>
      <w:proofErr w:type="spellStart"/>
      <w:r w:rsidR="00FD3B98" w:rsidRPr="005F2913">
        <w:rPr>
          <w:i/>
        </w:rPr>
        <w:t>rei</w:t>
      </w:r>
      <w:proofErr w:type="spellEnd"/>
      <w:r w:rsidR="00FD3B98" w:rsidRPr="005F2913">
        <w:rPr>
          <w:i/>
        </w:rPr>
        <w:t xml:space="preserve"> </w:t>
      </w:r>
      <w:proofErr w:type="spellStart"/>
      <w:r w:rsidR="00FD3B98" w:rsidRPr="005F2913">
        <w:rPr>
          <w:i/>
        </w:rPr>
        <w:t>vindicatio</w:t>
      </w:r>
      <w:proofErr w:type="spellEnd"/>
      <w:r w:rsidR="00FD3B98">
        <w:t xml:space="preserve"> срещу тях.</w:t>
      </w:r>
    </w:p>
    <w:p w:rsidR="00FD3B98" w:rsidRPr="00B93EFA" w:rsidRDefault="00946997" w:rsidP="00B93EFA">
      <w:pPr>
        <w:pStyle w:val="ECHRPara"/>
      </w:pPr>
      <w:r w:rsidRPr="00B93EFA">
        <w:fldChar w:fldCharType="begin"/>
      </w:r>
      <w:r w:rsidR="00FD3B98" w:rsidRPr="00B93EFA">
        <w:instrText xml:space="preserve"> SEQ level0 \*arabic </w:instrText>
      </w:r>
      <w:r w:rsidRPr="00B93EFA">
        <w:fldChar w:fldCharType="separate"/>
      </w:r>
      <w:r w:rsidR="00B93EFA" w:rsidRPr="00B93EFA">
        <w:rPr>
          <w:noProof/>
        </w:rPr>
        <w:t>7</w:t>
      </w:r>
      <w:r w:rsidRPr="00B93EFA">
        <w:fldChar w:fldCharType="end"/>
      </w:r>
      <w:r w:rsidR="00FD3B98">
        <w:t xml:space="preserve">.  Производството приключва с окончателно решение на Върховния касационен съд от 22 юни 2004 г. </w:t>
      </w:r>
      <w:r>
        <w:t>Националните</w:t>
      </w:r>
      <w:r w:rsidR="00C617A9">
        <w:t xml:space="preserve"> </w:t>
      </w:r>
      <w:r w:rsidR="00FD3B98">
        <w:t xml:space="preserve">съдилища, които </w:t>
      </w:r>
      <w:r>
        <w:t>разглеждат</w:t>
      </w:r>
      <w:r w:rsidR="00C264DE">
        <w:t xml:space="preserve"> </w:t>
      </w:r>
      <w:r w:rsidR="00FD3B98">
        <w:t xml:space="preserve"> производството, </w:t>
      </w:r>
      <w:r>
        <w:t>удовлетворяват и двата иска срещу</w:t>
      </w:r>
      <w:r w:rsidR="00FD3B98">
        <w:t xml:space="preserve"> жалбоподателите. Във връзка с иска по чл. 7 от Закона за възстановяване на собствеността съдилищата установяват </w:t>
      </w:r>
      <w:r>
        <w:t>нищожността на правото на жалбоподателите, т</w:t>
      </w:r>
      <w:r w:rsidR="00FD3B98">
        <w:t xml:space="preserve">ъй като те са закупили апартамента си в нарушение на закона: районът, в който е разположен апартаментът, е бил предназначен за изграждането на сгради на повече от три етажа, </w:t>
      </w:r>
      <w:r w:rsidR="00C617A9">
        <w:t xml:space="preserve"> </w:t>
      </w:r>
      <w:r w:rsidR="00FD3B98">
        <w:t>сградата на жалбоподателите е на два етажа, а законодателството по това време забранява продажбата на апартаменти в такива сгради.</w:t>
      </w:r>
    </w:p>
    <w:p w:rsidR="00FD3B98" w:rsidRPr="00B93EFA" w:rsidRDefault="000434B1" w:rsidP="00B93EFA">
      <w:pPr>
        <w:pStyle w:val="ECHRPara"/>
      </w:pPr>
      <w:r>
        <w:fldChar w:fldCharType="begin"/>
      </w:r>
      <w:r>
        <w:instrText xml:space="preserve"> SEQ level0 \*arabic </w:instrText>
      </w:r>
      <w:r>
        <w:fldChar w:fldCharType="separate"/>
      </w:r>
      <w:r w:rsidR="00B93EFA" w:rsidRPr="00B93EFA">
        <w:rPr>
          <w:noProof/>
        </w:rPr>
        <w:t>8</w:t>
      </w:r>
      <w:r>
        <w:rPr>
          <w:noProof/>
        </w:rPr>
        <w:fldChar w:fldCharType="end"/>
      </w:r>
      <w:r w:rsidR="00B63608">
        <w:t xml:space="preserve">.  Изглежда, че на неопределена дата след това жалбоподателите </w:t>
      </w:r>
      <w:r w:rsidR="00D6435D">
        <w:t xml:space="preserve">подават </w:t>
      </w:r>
      <w:r w:rsidR="00946997" w:rsidRPr="00946997">
        <w:t>заявление</w:t>
      </w:r>
      <w:r w:rsidR="00946997">
        <w:t xml:space="preserve"> за компенсаторни записи</w:t>
      </w:r>
      <w:r w:rsidR="00B63608">
        <w:t>; страните обаче не са информирали Съда за резултата от процедурата.</w:t>
      </w:r>
    </w:p>
    <w:p w:rsidR="002B2127" w:rsidRPr="00B93EFA" w:rsidRDefault="000434B1" w:rsidP="00B93EFA">
      <w:pPr>
        <w:pStyle w:val="ECHRPara"/>
      </w:pPr>
      <w:r>
        <w:fldChar w:fldCharType="begin"/>
      </w:r>
      <w:r>
        <w:instrText xml:space="preserve"> SEQ level0 \*arabic </w:instrText>
      </w:r>
      <w:r>
        <w:fldChar w:fldCharType="separate"/>
      </w:r>
      <w:r w:rsidR="00B93EFA" w:rsidRPr="00B93EFA">
        <w:rPr>
          <w:noProof/>
        </w:rPr>
        <w:t>9</w:t>
      </w:r>
      <w:r>
        <w:rPr>
          <w:noProof/>
        </w:rPr>
        <w:fldChar w:fldCharType="end"/>
      </w:r>
      <w:r w:rsidR="00B63608">
        <w:t>.  През 2005 г. жалбоподателите предявяват иск</w:t>
      </w:r>
      <w:r w:rsidR="00D6435D">
        <w:t xml:space="preserve"> за </w:t>
      </w:r>
      <w:r w:rsidR="00EE2217">
        <w:t>претърпени</w:t>
      </w:r>
      <w:r w:rsidR="00E83A32">
        <w:t xml:space="preserve"> </w:t>
      </w:r>
      <w:r w:rsidR="00D6435D">
        <w:t>вреди</w:t>
      </w:r>
      <w:r w:rsidR="00B63608">
        <w:t xml:space="preserve"> срещу Столична община (която е правоприемник на държавата по отношение на жилищните имоти). На 20 януари 2010 г. Софийски градски съд </w:t>
      </w:r>
      <w:r w:rsidR="00946997">
        <w:t>удовлетворява иска им</w:t>
      </w:r>
      <w:r w:rsidR="00B63608">
        <w:t xml:space="preserve">. Това решение е отменено на 4 ноември 2010 г. от Апелативен съд - София, който отхвърля иска в неговата цялост. С окончателно решение от 4 април 2012 г. Върховният касационен съд, като констатира, че жалбоподателите имат право да получат </w:t>
      </w:r>
      <w:r w:rsidR="00D6435D">
        <w:t xml:space="preserve">само </w:t>
      </w:r>
      <w:r w:rsidR="00B63608">
        <w:t xml:space="preserve">сумата, която са платили за апартамента през 1990 г., която през годините </w:t>
      </w:r>
      <w:r w:rsidR="00D6435D">
        <w:t xml:space="preserve">значително </w:t>
      </w:r>
      <w:r w:rsidR="00B63608">
        <w:t>се е обезценила, им присъжда равностойността на около 12 евро .</w:t>
      </w:r>
    </w:p>
    <w:p w:rsidR="007E5B29" w:rsidRPr="00B93EFA" w:rsidRDefault="002B2127" w:rsidP="00B93EFA">
      <w:pPr>
        <w:pStyle w:val="ECHRHeading1"/>
      </w:pPr>
      <w:r>
        <w:t>II.  ПРИЛОЖИМО ВЪТРЕШНО ПРАВО И ПРАКТИКА</w:t>
      </w:r>
    </w:p>
    <w:p w:rsidR="002B2127" w:rsidRPr="00B93EFA" w:rsidRDefault="00946997" w:rsidP="00B93EFA">
      <w:pPr>
        <w:pStyle w:val="ECHRPara"/>
      </w:pPr>
      <w:r w:rsidRPr="00B93EFA">
        <w:fldChar w:fldCharType="begin"/>
      </w:r>
      <w:r w:rsidR="002B2127" w:rsidRPr="00B93EFA">
        <w:instrText xml:space="preserve"> SEQ level0 \*arabic </w:instrText>
      </w:r>
      <w:r w:rsidRPr="00B93EFA">
        <w:fldChar w:fldCharType="separate"/>
      </w:r>
      <w:r w:rsidR="00B93EFA" w:rsidRPr="00B93EFA">
        <w:rPr>
          <w:noProof/>
        </w:rPr>
        <w:t>10</w:t>
      </w:r>
      <w:r w:rsidRPr="00B93EFA">
        <w:fldChar w:fldCharType="end"/>
      </w:r>
      <w:r w:rsidR="002B2127">
        <w:t>.  Относимите факти</w:t>
      </w:r>
      <w:r w:rsidR="00E132C0">
        <w:t xml:space="preserve"> от предисторията</w:t>
      </w:r>
      <w:r w:rsidR="002B2127">
        <w:t xml:space="preserve">, вътрешно право и практика във връзка с реституцията на градски имоти и по-конкретно прилагането на чл. 7 от Закона за възстановяване на собствеността са обобщени в решението на Съда по делото </w:t>
      </w:r>
      <w:r w:rsidR="002B2127">
        <w:rPr>
          <w:i/>
        </w:rPr>
        <w:t xml:space="preserve">Великови и други срещу България </w:t>
      </w:r>
      <w:r w:rsidR="002B2127">
        <w:t>(№ 43278/98, 45437/99, 48014/99, 48380/99, 51362/99, 53367/99, 60036/00, 73465/01, и 194/02, §§ 110</w:t>
      </w:r>
      <w:r w:rsidR="002B2127">
        <w:noBreakHyphen/>
        <w:t>41, 15 март 2007 г.).</w:t>
      </w:r>
    </w:p>
    <w:p w:rsidR="00014566" w:rsidRPr="00B93EFA" w:rsidRDefault="007E05A5" w:rsidP="00B93EFA">
      <w:pPr>
        <w:pStyle w:val="ECHRTitle1"/>
      </w:pPr>
      <w:r>
        <w:t>ПРАВОТО</w:t>
      </w:r>
    </w:p>
    <w:p w:rsidR="00C77FD1" w:rsidRPr="00B93EFA" w:rsidRDefault="00C77FD1" w:rsidP="00B93EFA">
      <w:pPr>
        <w:pStyle w:val="ECHRHeading1"/>
        <w:rPr>
          <w:caps/>
        </w:rPr>
      </w:pPr>
      <w:r>
        <w:rPr>
          <w:caps/>
        </w:rPr>
        <w:t xml:space="preserve">I. Молбата на Правителството за заличаване на жалбата </w:t>
      </w:r>
      <w:r w:rsidR="007E05A5">
        <w:rPr>
          <w:caps/>
        </w:rPr>
        <w:t xml:space="preserve">СЪГЛАСНО </w:t>
      </w:r>
      <w:r>
        <w:rPr>
          <w:caps/>
        </w:rPr>
        <w:t>чл. 37 § 1 от Конвенцията</w:t>
      </w:r>
    </w:p>
    <w:p w:rsidR="00C77FD1" w:rsidRPr="00B93EFA" w:rsidRDefault="00946997" w:rsidP="00B93EFA">
      <w:pPr>
        <w:pStyle w:val="ECHRPara"/>
      </w:pPr>
      <w:r w:rsidRPr="00B93EFA">
        <w:fldChar w:fldCharType="begin"/>
      </w:r>
      <w:r w:rsidR="00C77FD1" w:rsidRPr="00B93EFA">
        <w:instrText xml:space="preserve"> SEQ level0 \*arabic </w:instrText>
      </w:r>
      <w:r w:rsidRPr="00B93EFA">
        <w:fldChar w:fldCharType="separate"/>
      </w:r>
      <w:r w:rsidR="00B93EFA" w:rsidRPr="00B93EFA">
        <w:rPr>
          <w:noProof/>
        </w:rPr>
        <w:t>11</w:t>
      </w:r>
      <w:r w:rsidRPr="00B93EFA">
        <w:fldChar w:fldCharType="end"/>
      </w:r>
      <w:r w:rsidR="00C77FD1">
        <w:t xml:space="preserve">.  На 12 октомври 2016 г. Правителството подава едностранна декларация с цел разрешаване на въпросите, повдигнати в жалбата. То </w:t>
      </w:r>
      <w:r w:rsidR="00C77FD1">
        <w:lastRenderedPageBreak/>
        <w:t>моли Съдът да заличи жалбата в съответствие с чл. 37 от Конвенцията, като признава нарушение на чл. 1 от Протокол № 1 и предлага да плати на жалбоподателите 42 000 евро, сума, която трябва да покрие всички имуществени и неимуществени вреди, както и разходите и разноските.</w:t>
      </w:r>
    </w:p>
    <w:p w:rsidR="00EC46F0" w:rsidRPr="00B93EFA" w:rsidRDefault="000434B1" w:rsidP="00B93EFA">
      <w:pPr>
        <w:pStyle w:val="ECHRPara"/>
      </w:pPr>
      <w:r>
        <w:fldChar w:fldCharType="begin"/>
      </w:r>
      <w:r>
        <w:instrText xml:space="preserve"> SEQ level0 \*arabic </w:instrText>
      </w:r>
      <w:r>
        <w:fldChar w:fldCharType="separate"/>
      </w:r>
      <w:r w:rsidR="00B93EFA" w:rsidRPr="00B93EFA">
        <w:rPr>
          <w:noProof/>
        </w:rPr>
        <w:t>12</w:t>
      </w:r>
      <w:r>
        <w:rPr>
          <w:noProof/>
        </w:rPr>
        <w:fldChar w:fldCharType="end"/>
      </w:r>
      <w:r w:rsidR="00B63608">
        <w:t xml:space="preserve">.  Жалбоподателите не са съгласни с декларацията, като посочват, че предложеното </w:t>
      </w:r>
      <w:r w:rsidR="007E05A5">
        <w:t xml:space="preserve"> </w:t>
      </w:r>
      <w:r w:rsidR="00B63608">
        <w:t xml:space="preserve">от Правителството </w:t>
      </w:r>
      <w:r w:rsidR="00E83A32">
        <w:t xml:space="preserve">обезщетение </w:t>
      </w:r>
      <w:r w:rsidR="00B63608">
        <w:t>е твърде ниско.</w:t>
      </w:r>
    </w:p>
    <w:p w:rsidR="00BF4158" w:rsidRPr="00B93EFA" w:rsidRDefault="000434B1" w:rsidP="00B93EFA">
      <w:pPr>
        <w:pStyle w:val="ECHRPara"/>
      </w:pPr>
      <w:r>
        <w:fldChar w:fldCharType="begin"/>
      </w:r>
      <w:r>
        <w:instrText xml:space="preserve"> SEQ level0 \*arabic </w:instrText>
      </w:r>
      <w:r>
        <w:fldChar w:fldCharType="separate"/>
      </w:r>
      <w:r w:rsidR="00B93EFA" w:rsidRPr="00B93EFA">
        <w:rPr>
          <w:noProof/>
        </w:rPr>
        <w:t>13</w:t>
      </w:r>
      <w:r>
        <w:rPr>
          <w:noProof/>
        </w:rPr>
        <w:fldChar w:fldCharType="end"/>
      </w:r>
      <w:r w:rsidR="00B63608">
        <w:t xml:space="preserve">.  Чл. 37 от Конвенцията </w:t>
      </w:r>
      <w:r w:rsidR="00D37266">
        <w:t>предвижда</w:t>
      </w:r>
      <w:r w:rsidR="00B63608">
        <w:t>, че на всеки етап от производството Съдът може да реши да заличи дадена жалба от списъка на делата, ако обстоятелствата водят до едно от заключенията по подпараграфи (a), (b) или (c) от параграф 1 на този член. По-конкретно, чл. 37 § 1 (c) позволява на Съда да заличи дело от своя списък, ако:</w:t>
      </w:r>
    </w:p>
    <w:p w:rsidR="00BF4158" w:rsidRPr="00B93EFA" w:rsidRDefault="00BF4158" w:rsidP="00B93EFA">
      <w:pPr>
        <w:pStyle w:val="ECHRParaQuote"/>
      </w:pPr>
      <w:r>
        <w:t>“по всяка друга причина, установена от Съда, по-нататъшното разглеждане на жалбата е неоправдано.”</w:t>
      </w:r>
    </w:p>
    <w:p w:rsidR="00BF4158" w:rsidRPr="00B93EFA" w:rsidRDefault="000434B1" w:rsidP="00B93EFA">
      <w:pPr>
        <w:pStyle w:val="ECHRPara"/>
      </w:pPr>
      <w:r>
        <w:fldChar w:fldCharType="begin"/>
      </w:r>
      <w:r>
        <w:instrText xml:space="preserve"> SEQ level0 \*arabic </w:instrText>
      </w:r>
      <w:r>
        <w:fldChar w:fldCharType="separate"/>
      </w:r>
      <w:r w:rsidR="00B93EFA" w:rsidRPr="00B93EFA">
        <w:rPr>
          <w:noProof/>
        </w:rPr>
        <w:t>14</w:t>
      </w:r>
      <w:r>
        <w:rPr>
          <w:noProof/>
        </w:rPr>
        <w:fldChar w:fldCharType="end"/>
      </w:r>
      <w:r w:rsidR="00B63608">
        <w:t xml:space="preserve">.  Съдът ще разгледа декларацията на правителството в настоящия случай в светлината на принципите, произтичащи от неговата съдебна практика, по-конкретно от решението по делото </w:t>
      </w:r>
      <w:proofErr w:type="spellStart"/>
      <w:r w:rsidR="00B63608">
        <w:rPr>
          <w:i/>
        </w:rPr>
        <w:t>Tahsin</w:t>
      </w:r>
      <w:proofErr w:type="spellEnd"/>
      <w:r w:rsidR="00B63608">
        <w:rPr>
          <w:i/>
        </w:rPr>
        <w:t xml:space="preserve"> </w:t>
      </w:r>
      <w:proofErr w:type="spellStart"/>
      <w:r w:rsidR="00B63608">
        <w:rPr>
          <w:i/>
        </w:rPr>
        <w:t>Acar</w:t>
      </w:r>
      <w:proofErr w:type="spellEnd"/>
      <w:r w:rsidR="00B63608">
        <w:t xml:space="preserve"> (вж. </w:t>
      </w:r>
      <w:proofErr w:type="spellStart"/>
      <w:r w:rsidR="00B63608">
        <w:rPr>
          <w:i/>
        </w:rPr>
        <w:t>Tahsin</w:t>
      </w:r>
      <w:proofErr w:type="spellEnd"/>
      <w:r w:rsidR="00B63608">
        <w:rPr>
          <w:i/>
        </w:rPr>
        <w:t xml:space="preserve"> </w:t>
      </w:r>
      <w:proofErr w:type="spellStart"/>
      <w:r w:rsidR="00B63608">
        <w:rPr>
          <w:i/>
        </w:rPr>
        <w:t>Acar</w:t>
      </w:r>
      <w:proofErr w:type="spellEnd"/>
      <w:r w:rsidR="00B63608">
        <w:rPr>
          <w:i/>
        </w:rPr>
        <w:t xml:space="preserve"> v. </w:t>
      </w:r>
      <w:proofErr w:type="spellStart"/>
      <w:r w:rsidR="00B63608">
        <w:rPr>
          <w:i/>
        </w:rPr>
        <w:t>Turkey</w:t>
      </w:r>
      <w:proofErr w:type="spellEnd"/>
      <w:r w:rsidR="00B63608">
        <w:t xml:space="preserve"> [GC], № 26307/95, § 75 -77, ЕСПЧ 2003-VI). Така той отбелязва, че Правителството изрично признава нарушението на правото на собственост на жалбоподателите, но не е убеден, че то е предложило достатъчно обезщетение. По-конкретно сумата, предложена в едностранната декларация за имуществени и неимуществени вреди и разходи и разноски, а именно 42 000 евро, няма разумна връзка на пропорционалност със сумите, които Съдът би присъдил.</w:t>
      </w:r>
    </w:p>
    <w:p w:rsidR="00BF4158" w:rsidRPr="00B93EFA" w:rsidRDefault="000434B1" w:rsidP="00B93EFA">
      <w:pPr>
        <w:pStyle w:val="ECHRPara"/>
        <w:rPr>
          <w:snapToGrid w:val="0"/>
        </w:rPr>
      </w:pPr>
      <w:r>
        <w:fldChar w:fldCharType="begin"/>
      </w:r>
      <w:r>
        <w:instrText xml:space="preserve"> SEQ level0 \*arabic </w:instrText>
      </w:r>
      <w:r>
        <w:fldChar w:fldCharType="separate"/>
      </w:r>
      <w:r w:rsidR="00B93EFA" w:rsidRPr="00B93EFA">
        <w:rPr>
          <w:noProof/>
        </w:rPr>
        <w:t>15</w:t>
      </w:r>
      <w:r>
        <w:rPr>
          <w:noProof/>
        </w:rPr>
        <w:fldChar w:fldCharType="end"/>
      </w:r>
      <w:r w:rsidR="00B63608">
        <w:t xml:space="preserve">.  По тези причини Съдът констатира, че зачитането на правата на човека, както са определени в Конвенцията и нейните протоколи, изисква той да продължи да разглежда делото (вж. например </w:t>
      </w:r>
      <w:proofErr w:type="spellStart"/>
      <w:r w:rsidR="00B63608">
        <w:rPr>
          <w:i/>
        </w:rPr>
        <w:t>Krawczak</w:t>
      </w:r>
      <w:proofErr w:type="spellEnd"/>
      <w:r w:rsidR="00B63608">
        <w:rPr>
          <w:i/>
        </w:rPr>
        <w:t xml:space="preserve"> v. </w:t>
      </w:r>
      <w:proofErr w:type="spellStart"/>
      <w:r w:rsidR="00B63608">
        <w:rPr>
          <w:i/>
        </w:rPr>
        <w:t>Poland</w:t>
      </w:r>
      <w:proofErr w:type="spellEnd"/>
      <w:r w:rsidR="00B63608">
        <w:rPr>
          <w:i/>
        </w:rPr>
        <w:t xml:space="preserve"> (</w:t>
      </w:r>
      <w:proofErr w:type="spellStart"/>
      <w:r w:rsidR="00B63608">
        <w:rPr>
          <w:i/>
        </w:rPr>
        <w:t>no</w:t>
      </w:r>
      <w:proofErr w:type="spellEnd"/>
      <w:r w:rsidR="00B63608">
        <w:rPr>
          <w:i/>
        </w:rPr>
        <w:t>. 2)</w:t>
      </w:r>
      <w:r w:rsidR="00B63608">
        <w:t xml:space="preserve">, № 40387/06, §§ 15-24, 8 април 2008 г., и </w:t>
      </w:r>
      <w:proofErr w:type="spellStart"/>
      <w:r w:rsidR="00B63608">
        <w:rPr>
          <w:i/>
        </w:rPr>
        <w:t>Topčić-Rosenberg</w:t>
      </w:r>
      <w:r w:rsidR="00B63608">
        <w:rPr>
          <w:i/>
          <w:snapToGrid w:val="0"/>
        </w:rPr>
        <w:t>v</w:t>
      </w:r>
      <w:proofErr w:type="spellEnd"/>
      <w:r w:rsidR="00B63608">
        <w:rPr>
          <w:i/>
          <w:snapToGrid w:val="0"/>
        </w:rPr>
        <w:t xml:space="preserve">. </w:t>
      </w:r>
      <w:proofErr w:type="spellStart"/>
      <w:r w:rsidR="00B63608">
        <w:rPr>
          <w:i/>
          <w:snapToGrid w:val="0"/>
        </w:rPr>
        <w:t>Croatia</w:t>
      </w:r>
      <w:proofErr w:type="spellEnd"/>
      <w:r w:rsidR="00B63608">
        <w:t>, № 19391/11, §§ 27-31, 14 ноември 2013 г.).</w:t>
      </w:r>
    </w:p>
    <w:p w:rsidR="00E31BA6" w:rsidRPr="00B93EFA" w:rsidRDefault="000434B1" w:rsidP="00B93EFA">
      <w:pPr>
        <w:pStyle w:val="ECHRPara"/>
      </w:pPr>
      <w:r>
        <w:fldChar w:fldCharType="begin"/>
      </w:r>
      <w:r>
        <w:instrText xml:space="preserve"> SEQ level0 \*arabic </w:instrText>
      </w:r>
      <w:r>
        <w:fldChar w:fldCharType="separate"/>
      </w:r>
      <w:r w:rsidR="00B93EFA" w:rsidRPr="00B93EFA">
        <w:rPr>
          <w:noProof/>
        </w:rPr>
        <w:t>16</w:t>
      </w:r>
      <w:r>
        <w:rPr>
          <w:noProof/>
        </w:rPr>
        <w:fldChar w:fldCharType="end"/>
      </w:r>
      <w:r w:rsidR="00B63608">
        <w:t xml:space="preserve">.  В този смисъл Съдът отхвърля молбата на Правителството за заличаване на жалбата от своя списък с дела </w:t>
      </w:r>
      <w:r w:rsidR="00F06C2C">
        <w:t xml:space="preserve">съгласно </w:t>
      </w:r>
      <w:r w:rsidR="00B63608">
        <w:t>чл. 37 от Конвенцията.</w:t>
      </w:r>
    </w:p>
    <w:p w:rsidR="00014566" w:rsidRPr="00B93EFA" w:rsidRDefault="00E31BA6" w:rsidP="00B93EFA">
      <w:pPr>
        <w:pStyle w:val="ECHRHeading1"/>
      </w:pPr>
      <w:r>
        <w:t>II.  ТВЪРДЯНО НАРУШЕНИЕ НА ЧЛ. 1 ОТ ПРОТОКОЛ № 1</w:t>
      </w:r>
    </w:p>
    <w:p w:rsidR="00BF4158" w:rsidRPr="00B93EFA" w:rsidRDefault="00946997" w:rsidP="00B93EFA">
      <w:pPr>
        <w:pStyle w:val="ECHRPara"/>
      </w:pPr>
      <w:r w:rsidRPr="00B93EFA">
        <w:fldChar w:fldCharType="begin"/>
      </w:r>
      <w:r w:rsidR="00FA4D43" w:rsidRPr="00B93EFA">
        <w:instrText xml:space="preserve"> SEQ level0 \*arabic </w:instrText>
      </w:r>
      <w:r w:rsidRPr="00B93EFA">
        <w:fldChar w:fldCharType="separate"/>
      </w:r>
      <w:r w:rsidR="00B93EFA" w:rsidRPr="00B93EFA">
        <w:rPr>
          <w:noProof/>
        </w:rPr>
        <w:t>17</w:t>
      </w:r>
      <w:r w:rsidRPr="00B93EFA">
        <w:fldChar w:fldCharType="end"/>
      </w:r>
      <w:r w:rsidR="00FA4D43">
        <w:t xml:space="preserve">.  Жалбоподателите се оплакват по чл. 1 от Протокол № 1, че са лишени от собствеността си несправедливо, </w:t>
      </w:r>
      <w:r w:rsidR="00F06C2C">
        <w:t>не по тяхна</w:t>
      </w:r>
      <w:r w:rsidR="00FA4D43">
        <w:t xml:space="preserve"> вина, и </w:t>
      </w:r>
      <w:r w:rsidR="00F06C2C">
        <w:t xml:space="preserve">без да </w:t>
      </w:r>
      <w:r w:rsidR="00FA4D43">
        <w:t xml:space="preserve">са получили </w:t>
      </w:r>
      <w:r w:rsidR="00E132C0">
        <w:t xml:space="preserve">адекватно </w:t>
      </w:r>
      <w:r w:rsidR="00FA4D43">
        <w:t>обезщетение.</w:t>
      </w:r>
    </w:p>
    <w:p w:rsidR="00014566" w:rsidRPr="00B93EFA" w:rsidRDefault="00946997" w:rsidP="00B93EFA">
      <w:pPr>
        <w:pStyle w:val="ECHRPara"/>
      </w:pPr>
      <w:r w:rsidRPr="00B93EFA">
        <w:fldChar w:fldCharType="begin"/>
      </w:r>
      <w:r w:rsidR="00BF4158" w:rsidRPr="00B93EFA">
        <w:instrText xml:space="preserve"> SEQ level0 \*arabic </w:instrText>
      </w:r>
      <w:r w:rsidRPr="00B93EFA">
        <w:fldChar w:fldCharType="separate"/>
      </w:r>
      <w:r w:rsidR="00B93EFA" w:rsidRPr="00B93EFA">
        <w:rPr>
          <w:noProof/>
        </w:rPr>
        <w:t>18</w:t>
      </w:r>
      <w:r w:rsidRPr="00B93EFA">
        <w:fldChar w:fldCharType="end"/>
      </w:r>
      <w:r w:rsidR="00BF4158">
        <w:t xml:space="preserve">.  Чл. 1 от Протокол № 1 </w:t>
      </w:r>
      <w:r w:rsidR="00F06C2C">
        <w:t>предвижда</w:t>
      </w:r>
      <w:r w:rsidR="00BF4158">
        <w:t>:</w:t>
      </w:r>
    </w:p>
    <w:p w:rsidR="00FA4D43" w:rsidRPr="00B93EFA" w:rsidRDefault="00FA4D43" w:rsidP="00B93EFA">
      <w:pPr>
        <w:pStyle w:val="ECHRParaQuote"/>
      </w:pPr>
      <w:r>
        <w:t>"</w:t>
      </w:r>
      <w:proofErr w:type="spellStart"/>
      <w:r>
        <w:t>Βсяко</w:t>
      </w:r>
      <w:proofErr w:type="spellEnd"/>
      <w:r>
        <w:t xml:space="preserve">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p>
    <w:p w:rsidR="00014566" w:rsidRPr="00B93EFA" w:rsidRDefault="00FA4D43" w:rsidP="00B93EFA">
      <w:pPr>
        <w:pStyle w:val="ECHRParaQuote"/>
      </w:pPr>
      <w:r>
        <w:lastRenderedPageBreak/>
        <w:t>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p>
    <w:p w:rsidR="00FA4D43" w:rsidRPr="00B93EFA" w:rsidRDefault="00946997" w:rsidP="00B93EFA">
      <w:pPr>
        <w:pStyle w:val="ECHRPara"/>
      </w:pPr>
      <w:r w:rsidRPr="00B93EFA">
        <w:fldChar w:fldCharType="begin"/>
      </w:r>
      <w:r w:rsidR="00FA4D43" w:rsidRPr="00B93EFA">
        <w:instrText xml:space="preserve"> SEQ level0 \*arabic </w:instrText>
      </w:r>
      <w:r w:rsidRPr="00B93EFA">
        <w:fldChar w:fldCharType="separate"/>
      </w:r>
      <w:r w:rsidR="00B93EFA" w:rsidRPr="00B93EFA">
        <w:rPr>
          <w:noProof/>
        </w:rPr>
        <w:t>19</w:t>
      </w:r>
      <w:r w:rsidRPr="00B93EFA">
        <w:fldChar w:fldCharType="end"/>
      </w:r>
      <w:r w:rsidR="00FA4D43">
        <w:t>.  Правителството не коментира допустимостта и основателността на жалбата.</w:t>
      </w:r>
    </w:p>
    <w:p w:rsidR="00BC07E7" w:rsidRPr="00B93EFA" w:rsidRDefault="00946997" w:rsidP="00B93EFA">
      <w:pPr>
        <w:pStyle w:val="ECHRPara"/>
        <w:rPr>
          <w:snapToGrid w:val="0"/>
        </w:rPr>
      </w:pPr>
      <w:r w:rsidRPr="00B93EFA">
        <w:fldChar w:fldCharType="begin"/>
      </w:r>
      <w:r w:rsidR="00BC07E7" w:rsidRPr="00B93EFA">
        <w:instrText xml:space="preserve"> SEQ level0 \*arabic </w:instrText>
      </w:r>
      <w:r w:rsidRPr="00B93EFA">
        <w:fldChar w:fldCharType="separate"/>
      </w:r>
      <w:r w:rsidR="00B93EFA" w:rsidRPr="00B93EFA">
        <w:rPr>
          <w:noProof/>
        </w:rPr>
        <w:t>20</w:t>
      </w:r>
      <w:r w:rsidRPr="00B93EFA">
        <w:fldChar w:fldCharType="end"/>
      </w:r>
      <w:r w:rsidR="00BC07E7">
        <w:t xml:space="preserve">.  Съдът отбелязва, че настоящото дело е </w:t>
      </w:r>
      <w:r>
        <w:t>сходно</w:t>
      </w:r>
      <w:r w:rsidR="00E83A32">
        <w:t xml:space="preserve"> на тези</w:t>
      </w:r>
      <w:r w:rsidR="00BC07E7">
        <w:t>, ко</w:t>
      </w:r>
      <w:r w:rsidR="00E83A32">
        <w:t>и</w:t>
      </w:r>
      <w:r w:rsidR="00BC07E7">
        <w:t xml:space="preserve">то </w:t>
      </w:r>
      <w:r w:rsidR="00E83A32">
        <w:t xml:space="preserve">се </w:t>
      </w:r>
      <w:r w:rsidR="00BC07E7">
        <w:t>разглежда</w:t>
      </w:r>
      <w:r w:rsidR="00E83A32">
        <w:t>т</w:t>
      </w:r>
      <w:r w:rsidR="00BC07E7">
        <w:t xml:space="preserve"> във водещото дело </w:t>
      </w:r>
      <w:r w:rsidR="00BC07E7">
        <w:rPr>
          <w:i/>
        </w:rPr>
        <w:t>Великови и други</w:t>
      </w:r>
      <w:r w:rsidR="00BC07E7">
        <w:t xml:space="preserve"> (цитирано по-горе) и редица последващи дела (вж. например </w:t>
      </w:r>
      <w:r w:rsidR="00BC07E7">
        <w:rPr>
          <w:i/>
        </w:rPr>
        <w:t>Димитър и Анка Димитрови срещу България</w:t>
      </w:r>
      <w:r w:rsidR="00BC07E7">
        <w:t xml:space="preserve">, № 56753/00, 12 февруари 2009 г., </w:t>
      </w:r>
      <w:r w:rsidR="00BC07E7">
        <w:rPr>
          <w:i/>
        </w:rPr>
        <w:t>Панайотова срещу България</w:t>
      </w:r>
      <w:r w:rsidR="00BC07E7">
        <w:t>, № 27636/04, 2 юли 2009 г., и</w:t>
      </w:r>
      <w:r w:rsidR="00BC07E7">
        <w:rPr>
          <w:i/>
        </w:rPr>
        <w:t xml:space="preserve"> Маджаров срещу България</w:t>
      </w:r>
      <w:r w:rsidR="00BC07E7">
        <w:t>, № 40149/05, 2 септември 2010 г.).</w:t>
      </w:r>
    </w:p>
    <w:p w:rsidR="00014566" w:rsidRPr="00B93EFA" w:rsidRDefault="00014566" w:rsidP="00B93EFA">
      <w:pPr>
        <w:pStyle w:val="ECHRHeading2"/>
      </w:pPr>
      <w:r>
        <w:t>A.  Допустимост</w:t>
      </w:r>
    </w:p>
    <w:p w:rsidR="00BC07E7" w:rsidRPr="00B93EFA" w:rsidRDefault="00946997" w:rsidP="00B93EFA">
      <w:pPr>
        <w:pStyle w:val="ECHRPara"/>
      </w:pPr>
      <w:r w:rsidRPr="00B93EFA">
        <w:fldChar w:fldCharType="begin"/>
      </w:r>
      <w:r w:rsidR="00745B79" w:rsidRPr="00B93EFA">
        <w:instrText xml:space="preserve"> SEQ level0 \*arabic </w:instrText>
      </w:r>
      <w:r w:rsidRPr="00B93EFA">
        <w:fldChar w:fldCharType="separate"/>
      </w:r>
      <w:r w:rsidR="00B93EFA" w:rsidRPr="00B93EFA">
        <w:rPr>
          <w:noProof/>
        </w:rPr>
        <w:t>21</w:t>
      </w:r>
      <w:r w:rsidRPr="00B93EFA">
        <w:fldChar w:fldCharType="end"/>
      </w:r>
      <w:r w:rsidR="00745B79">
        <w:t>.  Жалбоподателите губят своето жилище през 2004 г., но не подават жалбата си в срок от шест месеца от окончателното решение по производството по чл. 7 от Закона за възстановяване на собствеността (вж. параграфи 1 и 7 по-горе).</w:t>
      </w:r>
    </w:p>
    <w:p w:rsidR="00745B79" w:rsidRPr="00B93EFA" w:rsidRDefault="00946997" w:rsidP="00B93EFA">
      <w:pPr>
        <w:pStyle w:val="ECHRPara"/>
        <w:rPr>
          <w:i/>
        </w:rPr>
      </w:pPr>
      <w:r w:rsidRPr="00B93EFA">
        <w:fldChar w:fldCharType="begin"/>
      </w:r>
      <w:r w:rsidR="00BC07E7" w:rsidRPr="00B93EFA">
        <w:instrText xml:space="preserve"> SEQ level0 \*arabic </w:instrText>
      </w:r>
      <w:r w:rsidRPr="00B93EFA">
        <w:fldChar w:fldCharType="separate"/>
      </w:r>
      <w:r w:rsidR="00B93EFA" w:rsidRPr="00B93EFA">
        <w:rPr>
          <w:noProof/>
        </w:rPr>
        <w:t>22</w:t>
      </w:r>
      <w:r w:rsidRPr="00B93EFA">
        <w:fldChar w:fldCharType="end"/>
      </w:r>
      <w:r w:rsidR="00BC07E7">
        <w:t xml:space="preserve">.  Въпреки това, в няколко дела от групата </w:t>
      </w:r>
      <w:r w:rsidR="00BC07E7">
        <w:rPr>
          <w:i/>
        </w:rPr>
        <w:t>Великови</w:t>
      </w:r>
      <w:r w:rsidR="00BC07E7">
        <w:t xml:space="preserve"> Съдът постановява, че във връзка с лишаването от собственост и присъждането на каквото и да е обезщетение, съответните събития трябва да се разглеждат като продължаваща ситуация, а шестмесечният срок по чл. 35 § 1 от Конвенцията започва да тече, когато са решени всички въпроси, свързани с обезщетението (вж. например </w:t>
      </w:r>
      <w:proofErr w:type="spellStart"/>
      <w:r w:rsidR="00BC07E7">
        <w:rPr>
          <w:i/>
        </w:rPr>
        <w:t>Шойлекови</w:t>
      </w:r>
      <w:proofErr w:type="spellEnd"/>
      <w:r w:rsidR="00BC07E7">
        <w:rPr>
          <w:i/>
        </w:rPr>
        <w:t xml:space="preserve"> и други срещу България </w:t>
      </w:r>
      <w:r w:rsidR="00BC07E7">
        <w:t xml:space="preserve">(решение за допустимост), № 61330/00, 66840/01 и 69155/01, 18 септември 2007 г., и </w:t>
      </w:r>
      <w:r w:rsidR="00BC07E7">
        <w:rPr>
          <w:i/>
        </w:rPr>
        <w:t>Георгиеви срещу България</w:t>
      </w:r>
      <w:r w:rsidR="00BC07E7">
        <w:t xml:space="preserve">, № 10913/04, § 26, 7 януари 2010 г.). В конкретния случай, след като губят апартамента си, жалбоподателите предявяват иск </w:t>
      </w:r>
      <w:r w:rsidR="00E132C0">
        <w:t xml:space="preserve">за </w:t>
      </w:r>
      <w:r w:rsidR="00EE2217">
        <w:t xml:space="preserve">претърпени </w:t>
      </w:r>
      <w:r w:rsidR="00E132C0">
        <w:t xml:space="preserve">вреди </w:t>
      </w:r>
      <w:r w:rsidR="00BC07E7">
        <w:t xml:space="preserve">срещу Столична община (вж. параграф 9 по-горе) и въпреки че в крайна сметка </w:t>
      </w:r>
      <w:r>
        <w:t>им</w:t>
      </w:r>
      <w:r w:rsidR="00E83A32">
        <w:t xml:space="preserve"> се</w:t>
      </w:r>
      <w:r w:rsidR="00633A60">
        <w:t xml:space="preserve"> присъжда много малко обезщетени</w:t>
      </w:r>
      <w:r w:rsidR="00E83A32">
        <w:t>е</w:t>
      </w:r>
      <w:r w:rsidR="00BC07E7">
        <w:t xml:space="preserve">, не може да се каже, че това производство е очевидно неспособно да доведе до присъждането на </w:t>
      </w:r>
      <w:r w:rsidR="00E132C0">
        <w:t xml:space="preserve">адекватно </w:t>
      </w:r>
      <w:r w:rsidR="00BC07E7">
        <w:t xml:space="preserve">обезщетение - например, такова обезщетение е присъдено от първоинстанционния съд (вж. параграф 9 по-горе). Следователно приложимият шестмесечен срок започва да тече от датата на окончателното решение </w:t>
      </w:r>
      <w:r>
        <w:t>по производството по иска за претърпени вреди, 4 април 2012</w:t>
      </w:r>
      <w:r w:rsidR="00BC07E7">
        <w:t xml:space="preserve"> г., което означава, че жалбата е подадена навреме (за подобна ситуация, вж. </w:t>
      </w:r>
      <w:r w:rsidR="00BC07E7">
        <w:rPr>
          <w:i/>
        </w:rPr>
        <w:t>Владимирова и други срещу България</w:t>
      </w:r>
      <w:r w:rsidR="00BC07E7">
        <w:t>, № 42617/02, §§ 28-30, 26 февруари 2009 г.).</w:t>
      </w:r>
    </w:p>
    <w:p w:rsidR="00014566" w:rsidRPr="00B93EFA" w:rsidRDefault="00946997" w:rsidP="00B93EFA">
      <w:pPr>
        <w:pStyle w:val="ECHRPara"/>
      </w:pPr>
      <w:r w:rsidRPr="00B93EFA">
        <w:fldChar w:fldCharType="begin"/>
      </w:r>
      <w:r w:rsidR="00FA4D43" w:rsidRPr="00B93EFA">
        <w:instrText xml:space="preserve"> SEQ level0 \*arabic </w:instrText>
      </w:r>
      <w:r w:rsidRPr="00B93EFA">
        <w:fldChar w:fldCharType="separate"/>
      </w:r>
      <w:r w:rsidR="00B93EFA" w:rsidRPr="00B93EFA">
        <w:rPr>
          <w:noProof/>
        </w:rPr>
        <w:t>23</w:t>
      </w:r>
      <w:r w:rsidRPr="00B93EFA">
        <w:fldChar w:fldCharType="end"/>
      </w:r>
      <w:r w:rsidR="00FA4D43">
        <w:t>.  Съдът след това отбелязва, че жалбата не е явно необоснована по смисъла на чл. 35 § 3 (а) от Конвенцията. Той отбелязва още, че тя не е недопустима на други основания. Следователно тя трябва да бъде обявена за допустима.</w:t>
      </w:r>
    </w:p>
    <w:p w:rsidR="00014566" w:rsidRPr="00B93EFA" w:rsidRDefault="00014566" w:rsidP="00B93EFA">
      <w:pPr>
        <w:pStyle w:val="ECHRHeading2"/>
      </w:pPr>
      <w:r>
        <w:lastRenderedPageBreak/>
        <w:t>Б. Основателност</w:t>
      </w:r>
    </w:p>
    <w:p w:rsidR="003165CE" w:rsidRPr="00B93EFA" w:rsidRDefault="00946997" w:rsidP="00B93EFA">
      <w:pPr>
        <w:pStyle w:val="ECHRPara"/>
      </w:pPr>
      <w:r w:rsidRPr="00B93EFA">
        <w:fldChar w:fldCharType="begin"/>
      </w:r>
      <w:r w:rsidR="00CC60A8" w:rsidRPr="00B93EFA">
        <w:instrText xml:space="preserve"> SEQ level0 \*arabic </w:instrText>
      </w:r>
      <w:r w:rsidRPr="00B93EFA">
        <w:fldChar w:fldCharType="separate"/>
      </w:r>
      <w:r w:rsidR="00B93EFA" w:rsidRPr="00B93EFA">
        <w:rPr>
          <w:noProof/>
        </w:rPr>
        <w:t>24</w:t>
      </w:r>
      <w:r w:rsidRPr="00B93EFA">
        <w:fldChar w:fldCharType="end"/>
      </w:r>
      <w:r w:rsidR="00CC60A8">
        <w:t xml:space="preserve">.  Жалбоподателите са лишени от своето имущество вследствие на приемането от страна на Народното събрание и прилагането от страна на националните съдилища на Закона за възстановяване на собствеността, по-конкретно на неговия чл. 7. Това несъмнено представлява държавна намеса в правата им на собственост (вж. </w:t>
      </w:r>
      <w:r w:rsidR="00CC60A8">
        <w:rPr>
          <w:i/>
        </w:rPr>
        <w:t>Великови и други</w:t>
      </w:r>
      <w:r w:rsidR="00CC60A8">
        <w:t>, цитирано по-горе, § 159).</w:t>
      </w:r>
    </w:p>
    <w:p w:rsidR="00CC60A8" w:rsidRPr="00B93EFA" w:rsidRDefault="000434B1" w:rsidP="00B93EFA">
      <w:pPr>
        <w:pStyle w:val="ECHRPara"/>
      </w:pPr>
      <w:r>
        <w:fldChar w:fldCharType="begin"/>
      </w:r>
      <w:r>
        <w:instrText xml:space="preserve"> SEQ level0 \*arabic </w:instrText>
      </w:r>
      <w:r>
        <w:fldChar w:fldCharType="separate"/>
      </w:r>
      <w:r w:rsidR="00B93EFA" w:rsidRPr="00B93EFA">
        <w:rPr>
          <w:noProof/>
        </w:rPr>
        <w:t>25</w:t>
      </w:r>
      <w:r>
        <w:rPr>
          <w:noProof/>
        </w:rPr>
        <w:fldChar w:fldCharType="end"/>
      </w:r>
      <w:r w:rsidR="00B63608">
        <w:t xml:space="preserve">.  Тази намеса се основава на приложимото вътрешно законодателство. Освен това, тъй като искът срещу жалбоподателите е предявен в рамките на първоначалния едногодишен срок след влизането в сила на Закона за възстановяване на собствеността, може да се каже, че е част от мерките, свързани с периода на правен и икономически преход в България след десетилетия на тоталитарно управление. Както и в по-ранни подобни случаи, това означава, че случаят попада в обхвата на </w:t>
      </w:r>
      <w:r w:rsidR="00AB1409">
        <w:t xml:space="preserve">легитимните </w:t>
      </w:r>
      <w:r w:rsidR="00B63608">
        <w:t>цели, преследвани от Закона за възстановяване на собствеността</w:t>
      </w:r>
      <w:r w:rsidR="00AB1409">
        <w:t>,</w:t>
      </w:r>
      <w:r w:rsidR="00B63608">
        <w:t xml:space="preserve"> като възстановяването на справедливостта и зачитането на върховенството на закона (вж. </w:t>
      </w:r>
      <w:r w:rsidR="00B63608">
        <w:rPr>
          <w:i/>
        </w:rPr>
        <w:t>Великови и други</w:t>
      </w:r>
      <w:r w:rsidR="00B63608">
        <w:t>, цитирано по-горе, § 172).</w:t>
      </w:r>
    </w:p>
    <w:p w:rsidR="00014566" w:rsidRPr="00B93EFA" w:rsidRDefault="00946997" w:rsidP="00B93EFA">
      <w:pPr>
        <w:pStyle w:val="ECHRPara"/>
        <w:rPr>
          <w:i/>
        </w:rPr>
      </w:pPr>
      <w:r w:rsidRPr="00B93EFA">
        <w:fldChar w:fldCharType="begin"/>
      </w:r>
      <w:r w:rsidR="00FA4D43" w:rsidRPr="00B93EFA">
        <w:instrText xml:space="preserve"> SEQ level0 \*arabic </w:instrText>
      </w:r>
      <w:r w:rsidRPr="00B93EFA">
        <w:fldChar w:fldCharType="separate"/>
      </w:r>
      <w:r w:rsidR="00B93EFA" w:rsidRPr="00B93EFA">
        <w:rPr>
          <w:noProof/>
        </w:rPr>
        <w:t>26</w:t>
      </w:r>
      <w:r w:rsidRPr="00B93EFA">
        <w:fldChar w:fldCharType="end"/>
      </w:r>
      <w:r w:rsidR="00FA4D43">
        <w:t xml:space="preserve">.  По-нататък Съдът отбелязва, че жалбоподателите са лишени от имуществото си поради незначителен недостатък в договора за продажба, по който са го придобили през 1990 г.: договорът е сключен в нарушение на забраната за продажба на апартаменти в двуетажни сгради в зони, предназначени за строителство на сгради на повече от три етажа. Съдът вече е констатирал, че отговорността за такава грешка е на властите и че жалбоподателите не са виновни в това отношение (вж. </w:t>
      </w:r>
      <w:r w:rsidR="00FA4D43">
        <w:rPr>
          <w:i/>
        </w:rPr>
        <w:t xml:space="preserve">Георгиева и </w:t>
      </w:r>
      <w:proofErr w:type="spellStart"/>
      <w:r w:rsidR="00FA4D43">
        <w:rPr>
          <w:i/>
        </w:rPr>
        <w:t>Мукарева</w:t>
      </w:r>
      <w:proofErr w:type="spellEnd"/>
      <w:r w:rsidR="00FA4D43">
        <w:rPr>
          <w:i/>
        </w:rPr>
        <w:t xml:space="preserve"> срещу България</w:t>
      </w:r>
      <w:r w:rsidR="00FA4D43">
        <w:t>, № 3413/05, § 31, 2 септември 2010 г.).</w:t>
      </w:r>
    </w:p>
    <w:p w:rsidR="00674057" w:rsidRPr="00B93EFA" w:rsidRDefault="00946997" w:rsidP="00B93EFA">
      <w:pPr>
        <w:pStyle w:val="ECHRPara"/>
      </w:pPr>
      <w:r w:rsidRPr="00B93EFA">
        <w:fldChar w:fldCharType="begin"/>
      </w:r>
      <w:r w:rsidR="00FA4D43" w:rsidRPr="00B93EFA">
        <w:instrText xml:space="preserve"> SEQ level0 \*arabic </w:instrText>
      </w:r>
      <w:r w:rsidRPr="00B93EFA">
        <w:fldChar w:fldCharType="separate"/>
      </w:r>
      <w:r w:rsidR="00B93EFA" w:rsidRPr="00B93EFA">
        <w:rPr>
          <w:noProof/>
        </w:rPr>
        <w:t>27</w:t>
      </w:r>
      <w:r w:rsidRPr="00B93EFA">
        <w:fldChar w:fldCharType="end"/>
      </w:r>
      <w:r w:rsidR="00FA4D43">
        <w:t xml:space="preserve">.  При липса на други относими обстоятелства в такъв случай справедливият баланс, изискван съгласно чл. 1 от Протокол № 1, не би могъл да бъде постигнат без </w:t>
      </w:r>
      <w:r w:rsidR="00AB1409">
        <w:t xml:space="preserve">адекватно </w:t>
      </w:r>
      <w:r w:rsidR="00FA4D43">
        <w:t>обезщетение.</w:t>
      </w:r>
    </w:p>
    <w:p w:rsidR="00674057" w:rsidRPr="00B93EFA" w:rsidRDefault="00946997" w:rsidP="00B93EFA">
      <w:pPr>
        <w:pStyle w:val="ECHRPara"/>
      </w:pPr>
      <w:r w:rsidRPr="00B93EFA">
        <w:fldChar w:fldCharType="begin"/>
      </w:r>
      <w:r w:rsidR="00674057" w:rsidRPr="00B93EFA">
        <w:instrText xml:space="preserve"> SEQ level0 \*arabic </w:instrText>
      </w:r>
      <w:r w:rsidRPr="00B93EFA">
        <w:fldChar w:fldCharType="separate"/>
      </w:r>
      <w:r w:rsidR="00B93EFA" w:rsidRPr="00B93EFA">
        <w:rPr>
          <w:noProof/>
        </w:rPr>
        <w:t>28</w:t>
      </w:r>
      <w:r w:rsidRPr="00B93EFA">
        <w:fldChar w:fldCharType="end"/>
      </w:r>
      <w:r w:rsidR="00674057">
        <w:t xml:space="preserve">.  На първо място, жалбоподателите имат възможността да </w:t>
      </w:r>
      <w:r>
        <w:t>потърсят компенсаторни записи</w:t>
      </w:r>
      <w:r w:rsidR="00674057">
        <w:t xml:space="preserve">, а Съдът не е информиран за резултата от тяхното </w:t>
      </w:r>
      <w:r>
        <w:t>заявление</w:t>
      </w:r>
      <w:r w:rsidR="00674057">
        <w:t xml:space="preserve"> за</w:t>
      </w:r>
      <w:r w:rsidR="00543BA9">
        <w:t xml:space="preserve"> получаване на</w:t>
      </w:r>
      <w:r w:rsidR="00674057">
        <w:t xml:space="preserve"> такива </w:t>
      </w:r>
      <w:r>
        <w:t>записи</w:t>
      </w:r>
      <w:r w:rsidR="00AB1409">
        <w:t xml:space="preserve"> </w:t>
      </w:r>
      <w:r w:rsidR="00674057">
        <w:t>(вж. параграф 8 по-горе). В много подобни случаи обаче Съдът е констатирал, че</w:t>
      </w:r>
      <w:r w:rsidR="00EA0821">
        <w:t xml:space="preserve"> в разглеждания период от време</w:t>
      </w:r>
      <w:r w:rsidR="00674057">
        <w:t xml:space="preserve"> схемата за </w:t>
      </w:r>
      <w:proofErr w:type="spellStart"/>
      <w:r>
        <w:t>компесаторнизаписи</w:t>
      </w:r>
      <w:proofErr w:type="spellEnd"/>
      <w:r>
        <w:t xml:space="preserve">, </w:t>
      </w:r>
      <w:r w:rsidR="00674057">
        <w:t xml:space="preserve"> не осигурява </w:t>
      </w:r>
      <w:r w:rsidR="00EA0821">
        <w:t xml:space="preserve">адекватно </w:t>
      </w:r>
      <w:r w:rsidR="00674057">
        <w:t xml:space="preserve">обезщетение </w:t>
      </w:r>
      <w:r w:rsidR="00EA0821">
        <w:t>в</w:t>
      </w:r>
      <w:r w:rsidR="00674057">
        <w:t xml:space="preserve"> каквато и да било степен на сигурност (вж. например </w:t>
      </w:r>
      <w:r w:rsidR="00674057">
        <w:rPr>
          <w:i/>
        </w:rPr>
        <w:t>Маджаров</w:t>
      </w:r>
      <w:r w:rsidR="00674057">
        <w:t xml:space="preserve">, § 27 и </w:t>
      </w:r>
      <w:r w:rsidR="00674057">
        <w:rPr>
          <w:i/>
        </w:rPr>
        <w:t>Панайотова</w:t>
      </w:r>
      <w:r w:rsidR="00674057">
        <w:t xml:space="preserve">, § 24, и двете цитирани по-горе). Следователно, въпреки че достъпността на тази схема за жалбоподателите ще бъде взета под внимание съгласно чл. 41 от Конвенцията, тя не може </w:t>
      </w:r>
      <w:r w:rsidR="00EA0821">
        <w:t>категорично да повлияе на изхода</w:t>
      </w:r>
      <w:r w:rsidR="00674057">
        <w:t xml:space="preserve"> от </w:t>
      </w:r>
      <w:r w:rsidR="00EA0821">
        <w:t>оплакването им</w:t>
      </w:r>
      <w:r w:rsidR="00674057">
        <w:t xml:space="preserve"> по чл. 1 от Протокол № 1.</w:t>
      </w:r>
    </w:p>
    <w:p w:rsidR="00674057" w:rsidRPr="00B93EFA" w:rsidRDefault="000434B1" w:rsidP="00B93EFA">
      <w:pPr>
        <w:pStyle w:val="ECHRPara"/>
      </w:pPr>
      <w:r>
        <w:fldChar w:fldCharType="begin"/>
      </w:r>
      <w:r>
        <w:instrText xml:space="preserve"> SEQ level0 \*arabic </w:instrText>
      </w:r>
      <w:r>
        <w:fldChar w:fldCharType="separate"/>
      </w:r>
      <w:r w:rsidR="00B93EFA" w:rsidRPr="00B93EFA">
        <w:rPr>
          <w:noProof/>
        </w:rPr>
        <w:t>29</w:t>
      </w:r>
      <w:r>
        <w:rPr>
          <w:noProof/>
        </w:rPr>
        <w:fldChar w:fldCharType="end"/>
      </w:r>
      <w:r w:rsidR="00B63608">
        <w:t xml:space="preserve">.  Също така жалбоподателите не са имали възможност да получат </w:t>
      </w:r>
      <w:r w:rsidR="00EA0821">
        <w:t xml:space="preserve">адекватно </w:t>
      </w:r>
      <w:r w:rsidR="00B63608">
        <w:t xml:space="preserve">обезщетение, </w:t>
      </w:r>
      <w:r w:rsidR="00946997">
        <w:t xml:space="preserve">когато са </w:t>
      </w:r>
      <w:proofErr w:type="spellStart"/>
      <w:r w:rsidR="00946997">
        <w:t>прибегнали</w:t>
      </w:r>
      <w:proofErr w:type="spellEnd"/>
      <w:r w:rsidR="00946997">
        <w:t xml:space="preserve"> до иск за </w:t>
      </w:r>
      <w:r w:rsidR="00EE2217">
        <w:t>претърпени</w:t>
      </w:r>
      <w:r w:rsidR="00946997">
        <w:t xml:space="preserve"> </w:t>
      </w:r>
      <w:r w:rsidR="00946997">
        <w:lastRenderedPageBreak/>
        <w:t>вреди срещу Столична община, тъй като им</w:t>
      </w:r>
      <w:r w:rsidR="00B63608">
        <w:t xml:space="preserve"> е присъдена само символична сума (вж. параграф 9 по-горе).</w:t>
      </w:r>
    </w:p>
    <w:p w:rsidR="00C3341C" w:rsidRPr="00B93EFA" w:rsidRDefault="00946997" w:rsidP="00B93EFA">
      <w:pPr>
        <w:pStyle w:val="ECHRPara"/>
      </w:pPr>
      <w:r w:rsidRPr="00B93EFA">
        <w:fldChar w:fldCharType="begin"/>
      </w:r>
      <w:r w:rsidR="00FA4D43" w:rsidRPr="00B93EFA">
        <w:instrText xml:space="preserve"> SEQ level0 \*arabic </w:instrText>
      </w:r>
      <w:r w:rsidRPr="00B93EFA">
        <w:fldChar w:fldCharType="separate"/>
      </w:r>
      <w:r w:rsidR="00B93EFA" w:rsidRPr="00B93EFA">
        <w:rPr>
          <w:noProof/>
        </w:rPr>
        <w:t>30</w:t>
      </w:r>
      <w:r w:rsidRPr="00B93EFA">
        <w:fldChar w:fldCharType="end"/>
      </w:r>
      <w:r w:rsidR="00FA4D43">
        <w:t xml:space="preserve">.  При тези обстоятелства Съдът констатира, че </w:t>
      </w:r>
      <w:r w:rsidR="00EA0821">
        <w:t xml:space="preserve">адекватно обезщетение </w:t>
      </w:r>
      <w:r w:rsidR="00FA4D43">
        <w:t>за жалбоподателите не е достъпно. От това следва, че не е постигнат справедлив баланс между обществения интерес и необходимостта от защита на техните права, определени в параграф 27 по-горе.</w:t>
      </w:r>
    </w:p>
    <w:p w:rsidR="00C3341C" w:rsidRPr="00B93EFA" w:rsidRDefault="000434B1" w:rsidP="00B93EFA">
      <w:pPr>
        <w:pStyle w:val="ECHRPara"/>
      </w:pPr>
      <w:r>
        <w:fldChar w:fldCharType="begin"/>
      </w:r>
      <w:r>
        <w:instrText xml:space="preserve"> SEQ level0 \*arabic </w:instrText>
      </w:r>
      <w:r>
        <w:fldChar w:fldCharType="separate"/>
      </w:r>
      <w:r w:rsidR="00B93EFA" w:rsidRPr="00B93EFA">
        <w:rPr>
          <w:noProof/>
        </w:rPr>
        <w:t>31</w:t>
      </w:r>
      <w:r>
        <w:rPr>
          <w:noProof/>
        </w:rPr>
        <w:fldChar w:fldCharType="end"/>
      </w:r>
      <w:r w:rsidR="00B63608">
        <w:t>.  Следователно е налице нарушение на чл. 1 от Протокол № 1.</w:t>
      </w:r>
    </w:p>
    <w:p w:rsidR="00014566" w:rsidRPr="00B93EFA" w:rsidRDefault="00E31BA6" w:rsidP="00B93EFA">
      <w:pPr>
        <w:pStyle w:val="ECHRHeading1"/>
      </w:pPr>
      <w:r>
        <w:t>III.  ПРИЛОЖЕНИЕ НА ЧЛ. 41 ОТ КОНВЕНЦИЯТА</w:t>
      </w:r>
    </w:p>
    <w:p w:rsidR="00014566" w:rsidRPr="00B93EFA" w:rsidRDefault="00946997" w:rsidP="00B93EFA">
      <w:pPr>
        <w:pStyle w:val="ECHRPara"/>
        <w:keepNext/>
        <w:keepLines/>
      </w:pPr>
      <w:r w:rsidRPr="00B93EFA">
        <w:fldChar w:fldCharType="begin"/>
      </w:r>
      <w:r w:rsidR="00FA4D43" w:rsidRPr="00B93EFA">
        <w:instrText xml:space="preserve"> SEQ level0 \*arabic </w:instrText>
      </w:r>
      <w:r w:rsidRPr="00B93EFA">
        <w:fldChar w:fldCharType="separate"/>
      </w:r>
      <w:r w:rsidR="00B93EFA" w:rsidRPr="00B93EFA">
        <w:rPr>
          <w:noProof/>
        </w:rPr>
        <w:t>32</w:t>
      </w:r>
      <w:r w:rsidRPr="00B93EFA">
        <w:fldChar w:fldCharType="end"/>
      </w:r>
      <w:r w:rsidR="00FA4D43">
        <w:t>.  Чл. 41 от Конвенцията гласи:</w:t>
      </w:r>
    </w:p>
    <w:p w:rsidR="00014566" w:rsidRPr="00B93EFA" w:rsidRDefault="00014566" w:rsidP="00B93EFA">
      <w:pPr>
        <w:pStyle w:val="ECHRParaQuote"/>
        <w:keepNext/>
        <w:keepLines/>
      </w:pPr>
      <w:r>
        <w:t xml:space="preserve">“Ако Съдът установи нарушение на Конвенцията или на </w:t>
      </w:r>
      <w:r>
        <w:br/>
        <w:t>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014566" w:rsidRPr="00B93EFA" w:rsidRDefault="00014566" w:rsidP="00B93EFA">
      <w:pPr>
        <w:pStyle w:val="ECHRHeading2"/>
        <w:keepNext w:val="0"/>
        <w:keepLines w:val="0"/>
      </w:pPr>
      <w:r>
        <w:t>А. Обезщетение за вреди</w:t>
      </w:r>
    </w:p>
    <w:p w:rsidR="00EE57BF" w:rsidRPr="00B93EFA" w:rsidRDefault="00946997" w:rsidP="00B93EFA">
      <w:pPr>
        <w:pStyle w:val="ECHRPara"/>
      </w:pPr>
      <w:r w:rsidRPr="00B93EFA">
        <w:fldChar w:fldCharType="begin"/>
      </w:r>
      <w:r w:rsidR="00FA4D43" w:rsidRPr="00B93EFA">
        <w:instrText xml:space="preserve"> SEQ level0 \*arabic </w:instrText>
      </w:r>
      <w:r w:rsidRPr="00B93EFA">
        <w:fldChar w:fldCharType="separate"/>
      </w:r>
      <w:r w:rsidR="00B93EFA" w:rsidRPr="00B93EFA">
        <w:rPr>
          <w:noProof/>
        </w:rPr>
        <w:t>33</w:t>
      </w:r>
      <w:r w:rsidRPr="00B93EFA">
        <w:fldChar w:fldCharType="end"/>
      </w:r>
      <w:r w:rsidR="00FA4D43">
        <w:t xml:space="preserve">.  Жалбоподателите претендират 282 000 лева , равностойността на приблизително 144 000 евро , по отношение на имуществени вреди. Те представят оценка на апартамента, който са загубили, изготвена от лицензиран експерт, който смята, че това е пазарната стойност на апартамента въз основа на информация </w:t>
      </w:r>
      <w:r w:rsidR="00A4710C">
        <w:t xml:space="preserve">от </w:t>
      </w:r>
      <w:r w:rsidR="00FA4D43">
        <w:t>оферти за продажба на други подобни апартаменти в София и възможните приходи от наем.</w:t>
      </w:r>
    </w:p>
    <w:p w:rsidR="00014566" w:rsidRPr="00B93EFA" w:rsidRDefault="00946997" w:rsidP="00B93EFA">
      <w:pPr>
        <w:pStyle w:val="ECHRPara"/>
      </w:pPr>
      <w:r w:rsidRPr="00B93EFA">
        <w:fldChar w:fldCharType="begin"/>
      </w:r>
      <w:r w:rsidR="00EE57BF" w:rsidRPr="00B93EFA">
        <w:instrText xml:space="preserve"> SEQ level0 \*arabic </w:instrText>
      </w:r>
      <w:r w:rsidRPr="00B93EFA">
        <w:fldChar w:fldCharType="separate"/>
      </w:r>
      <w:r w:rsidR="00B93EFA" w:rsidRPr="00B93EFA">
        <w:rPr>
          <w:noProof/>
        </w:rPr>
        <w:t>34</w:t>
      </w:r>
      <w:r w:rsidRPr="00B93EFA">
        <w:fldChar w:fldCharType="end"/>
      </w:r>
      <w:r w:rsidR="00EE57BF">
        <w:t>.  Жалбоподателите не отправят претенции по отношение на неимуществени вреди.</w:t>
      </w:r>
    </w:p>
    <w:p w:rsidR="00014566" w:rsidRPr="00B93EFA" w:rsidRDefault="00946997" w:rsidP="00B93EFA">
      <w:pPr>
        <w:pStyle w:val="ECHRPara"/>
      </w:pPr>
      <w:r w:rsidRPr="00B93EFA">
        <w:fldChar w:fldCharType="begin"/>
      </w:r>
      <w:r w:rsidR="00FA4D43" w:rsidRPr="00B93EFA">
        <w:instrText xml:space="preserve"> SEQ level0 \*arabic </w:instrText>
      </w:r>
      <w:r w:rsidRPr="00B93EFA">
        <w:fldChar w:fldCharType="separate"/>
      </w:r>
      <w:r w:rsidR="00B93EFA" w:rsidRPr="00B93EFA">
        <w:rPr>
          <w:noProof/>
        </w:rPr>
        <w:t>35</w:t>
      </w:r>
      <w:r w:rsidRPr="00B93EFA">
        <w:fldChar w:fldCharType="end"/>
      </w:r>
      <w:r w:rsidR="00FA4D43">
        <w:t>.  Правителството не коментира.</w:t>
      </w:r>
    </w:p>
    <w:p w:rsidR="005D3D30" w:rsidRPr="00B93EFA" w:rsidRDefault="00946997" w:rsidP="00B93EFA">
      <w:pPr>
        <w:pStyle w:val="ECHRPara"/>
      </w:pPr>
      <w:r w:rsidRPr="00B93EFA">
        <w:fldChar w:fldCharType="begin"/>
      </w:r>
      <w:r w:rsidR="00FA4D43" w:rsidRPr="00B93EFA">
        <w:instrText xml:space="preserve"> SEQ level0 \*arabic </w:instrText>
      </w:r>
      <w:r w:rsidRPr="00B93EFA">
        <w:fldChar w:fldCharType="separate"/>
      </w:r>
      <w:r w:rsidR="00B93EFA" w:rsidRPr="00B93EFA">
        <w:rPr>
          <w:noProof/>
        </w:rPr>
        <w:t>36</w:t>
      </w:r>
      <w:r w:rsidRPr="00B93EFA">
        <w:fldChar w:fldCharType="end"/>
      </w:r>
      <w:r w:rsidR="00FA4D43">
        <w:t xml:space="preserve">.  Съдът прилага към настоящото дело подхода, изложен в </w:t>
      </w:r>
      <w:r w:rsidR="00A4710C">
        <w:t>предходни</w:t>
      </w:r>
      <w:r w:rsidR="00FA4D43">
        <w:t xml:space="preserve"> сходни дела (по-конкретно решението за справедливо обезщетение по разглежданите случаи във </w:t>
      </w:r>
      <w:r w:rsidR="00FA4D43">
        <w:rPr>
          <w:i/>
        </w:rPr>
        <w:t>Великови и други</w:t>
      </w:r>
      <w:r w:rsidR="00FA4D43">
        <w:t xml:space="preserve">, където Съдът констатира нарушения на чл. 1 от Протокол № 1, вж. </w:t>
      </w:r>
      <w:r w:rsidR="00FA4D43">
        <w:rPr>
          <w:i/>
        </w:rPr>
        <w:t>Тодорова и други срещу България</w:t>
      </w:r>
      <w:r w:rsidR="00FA4D43">
        <w:t xml:space="preserve"> (справедливо обезщетение), № 48380/99, 51362/99, 60036/00 и 73465/01, 24 април 2008 г.). Освен това, както вече беше обсъдено, той взема предвид достъпността за жалбоподателите на обезщетение чрез </w:t>
      </w:r>
      <w:proofErr w:type="spellStart"/>
      <w:r w:rsidR="00A4710C">
        <w:t>компесаторни</w:t>
      </w:r>
      <w:proofErr w:type="spellEnd"/>
      <w:r w:rsidR="00A4710C">
        <w:t xml:space="preserve"> записи </w:t>
      </w:r>
      <w:r w:rsidR="00FA4D43">
        <w:t xml:space="preserve">(вж. параграф 28 по-горе, както и </w:t>
      </w:r>
      <w:r w:rsidR="00FA4D43">
        <w:rPr>
          <w:i/>
        </w:rPr>
        <w:t>Тодорова и други,</w:t>
      </w:r>
      <w:r w:rsidR="00FA4D43">
        <w:t xml:space="preserve"> цитирано по-горе, §§ 44-46).</w:t>
      </w:r>
    </w:p>
    <w:p w:rsidR="00014566" w:rsidRPr="00B93EFA" w:rsidRDefault="000434B1" w:rsidP="00B93EFA">
      <w:pPr>
        <w:pStyle w:val="ECHRPara"/>
      </w:pPr>
      <w:r>
        <w:fldChar w:fldCharType="begin"/>
      </w:r>
      <w:r>
        <w:instrText xml:space="preserve"> SEQ level0 \*arabic </w:instrText>
      </w:r>
      <w:r>
        <w:fldChar w:fldCharType="separate"/>
      </w:r>
      <w:r w:rsidR="00B93EFA" w:rsidRPr="00B93EFA">
        <w:rPr>
          <w:noProof/>
        </w:rPr>
        <w:t>37</w:t>
      </w:r>
      <w:r>
        <w:rPr>
          <w:noProof/>
        </w:rPr>
        <w:fldChar w:fldCharType="end"/>
      </w:r>
      <w:r w:rsidR="00B63608">
        <w:t>.  </w:t>
      </w:r>
      <w:r w:rsidR="00A4710C">
        <w:t xml:space="preserve">Като взема  </w:t>
      </w:r>
      <w:r w:rsidR="00B63608">
        <w:t>предвид горепосочените съображения и всички обстоятелства по делото, Съдът присъжда заедно на тримата жалбоподатели 75 000 евро за имуществени вреди.</w:t>
      </w:r>
    </w:p>
    <w:p w:rsidR="00014566" w:rsidRPr="00B93EFA" w:rsidRDefault="00014566" w:rsidP="00B93EFA">
      <w:pPr>
        <w:pStyle w:val="ECHRHeading2"/>
      </w:pPr>
      <w:r>
        <w:lastRenderedPageBreak/>
        <w:t>Б. Разходи и разноски</w:t>
      </w:r>
    </w:p>
    <w:p w:rsidR="00014566" w:rsidRPr="00B93EFA" w:rsidRDefault="00946997" w:rsidP="00B93EFA">
      <w:pPr>
        <w:pStyle w:val="ECHRPara"/>
      </w:pPr>
      <w:r w:rsidRPr="00B93EFA">
        <w:fldChar w:fldCharType="begin"/>
      </w:r>
      <w:r w:rsidR="00FA4D43" w:rsidRPr="00B93EFA">
        <w:instrText xml:space="preserve"> SEQ level0 \*arabic </w:instrText>
      </w:r>
      <w:r w:rsidRPr="00B93EFA">
        <w:fldChar w:fldCharType="separate"/>
      </w:r>
      <w:r w:rsidR="00B93EFA" w:rsidRPr="00B93EFA">
        <w:rPr>
          <w:noProof/>
        </w:rPr>
        <w:t>38</w:t>
      </w:r>
      <w:r w:rsidRPr="00B93EFA">
        <w:fldChar w:fldCharType="end"/>
      </w:r>
      <w:r w:rsidR="00FA4D43">
        <w:t>.  Жалбоподателите не отправят претенция по отношение на разходи и разноски. Съответно Съдът смята, че няма причина да им се присъжда каквато и да било сума по тази позиция.</w:t>
      </w:r>
    </w:p>
    <w:p w:rsidR="00014566" w:rsidRPr="00B93EFA" w:rsidRDefault="00014566" w:rsidP="00B93EFA">
      <w:pPr>
        <w:pStyle w:val="ECHRHeading2"/>
        <w:keepNext w:val="0"/>
        <w:keepLines w:val="0"/>
      </w:pPr>
      <w:r>
        <w:t>В. Лихва за забава</w:t>
      </w:r>
    </w:p>
    <w:p w:rsidR="00014566" w:rsidRPr="00B93EFA" w:rsidRDefault="00946997" w:rsidP="00B93EFA">
      <w:pPr>
        <w:pStyle w:val="ECHRPara"/>
      </w:pPr>
      <w:r w:rsidRPr="00B93EFA">
        <w:fldChar w:fldCharType="begin"/>
      </w:r>
      <w:r w:rsidR="00FA4D43" w:rsidRPr="00B93EFA">
        <w:instrText xml:space="preserve"> SEQ level0 \*arabic </w:instrText>
      </w:r>
      <w:r w:rsidRPr="00B93EFA">
        <w:fldChar w:fldCharType="separate"/>
      </w:r>
      <w:r w:rsidR="00B93EFA" w:rsidRPr="00B93EFA">
        <w:rPr>
          <w:noProof/>
        </w:rPr>
        <w:t>39</w:t>
      </w:r>
      <w:r w:rsidRPr="00B93EFA">
        <w:fldChar w:fldCharType="end"/>
      </w:r>
      <w:r w:rsidR="00FA4D43">
        <w:t>.  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014566" w:rsidRPr="00B93EFA" w:rsidRDefault="00BB5883" w:rsidP="00B93EFA">
      <w:pPr>
        <w:pStyle w:val="ECHRTitle1"/>
        <w:keepNext w:val="0"/>
        <w:keepLines w:val="0"/>
      </w:pPr>
      <w:r>
        <w:t>ПО ТЕЗИ СЪОБРАЖЕНИЯ СЪДЪТ ЕДИНОДУШНО</w:t>
      </w:r>
    </w:p>
    <w:p w:rsidR="00B637B9" w:rsidRPr="00B93EFA" w:rsidRDefault="00B637B9" w:rsidP="00B93EFA">
      <w:pPr>
        <w:pStyle w:val="JuList"/>
      </w:pPr>
      <w:r>
        <w:t>1.  </w:t>
      </w:r>
      <w:r>
        <w:rPr>
          <w:i/>
        </w:rPr>
        <w:t>Обявява</w:t>
      </w:r>
      <w:r>
        <w:t xml:space="preserve"> жалбата за допустима;</w:t>
      </w:r>
    </w:p>
    <w:p w:rsidR="00014566" w:rsidRPr="00B93EFA" w:rsidRDefault="00014566" w:rsidP="00B93EFA">
      <w:pPr>
        <w:pStyle w:val="JuList"/>
        <w:ind w:left="0" w:firstLine="0"/>
      </w:pPr>
    </w:p>
    <w:p w:rsidR="00014566" w:rsidRPr="00B93EFA" w:rsidRDefault="00FA4D43" w:rsidP="00B93EFA">
      <w:pPr>
        <w:pStyle w:val="JuList"/>
      </w:pPr>
      <w:r>
        <w:t>2.  </w:t>
      </w:r>
      <w:r>
        <w:rPr>
          <w:i/>
        </w:rPr>
        <w:t>Приема</w:t>
      </w:r>
      <w:r>
        <w:t>, че е налице нарушение на чл. 1 от Протокол № 1;</w:t>
      </w:r>
    </w:p>
    <w:p w:rsidR="00014566" w:rsidRPr="00B93EFA" w:rsidRDefault="00014566" w:rsidP="00B93EFA">
      <w:pPr>
        <w:pStyle w:val="JuList"/>
      </w:pPr>
    </w:p>
    <w:p w:rsidR="00FA4D43" w:rsidRPr="00B93EFA" w:rsidRDefault="00FA4D43" w:rsidP="00B93EFA">
      <w:pPr>
        <w:pStyle w:val="JuList"/>
      </w:pPr>
      <w:r>
        <w:t>3.  </w:t>
      </w:r>
      <w:r>
        <w:rPr>
          <w:i/>
        </w:rPr>
        <w:t>Приема,</w:t>
      </w:r>
    </w:p>
    <w:p w:rsidR="00014566" w:rsidRPr="00B93EFA" w:rsidRDefault="00014566" w:rsidP="00B93EFA">
      <w:pPr>
        <w:pStyle w:val="JuLista"/>
      </w:pPr>
      <w:r>
        <w:t>(i) че държава</w:t>
      </w:r>
      <w:r w:rsidR="00B65BD5">
        <w:t>та</w:t>
      </w:r>
      <w:r w:rsidR="00A4710C">
        <w:t xml:space="preserve"> - ответник</w:t>
      </w:r>
      <w:r>
        <w:t xml:space="preserve"> трябва да </w:t>
      </w:r>
      <w:r w:rsidR="00A4710C">
        <w:t>за</w:t>
      </w:r>
      <w:r>
        <w:t xml:space="preserve">плати съвместно на тримата жалбоподатели в </w:t>
      </w:r>
      <w:r w:rsidR="00A4710C">
        <w:t xml:space="preserve">срок от </w:t>
      </w:r>
      <w:r>
        <w:t xml:space="preserve">три месеца 75 000 евро (седемдесет и пет хиляди евро) по отношение на имуществени вреди, плюс всякакви данъци, които биха могли да се начислят, които се </w:t>
      </w:r>
      <w:r w:rsidR="00B65BD5">
        <w:t xml:space="preserve">изчисляват </w:t>
      </w:r>
      <w:r>
        <w:t xml:space="preserve">в български лева по </w:t>
      </w:r>
      <w:proofErr w:type="spellStart"/>
      <w:r>
        <w:t>курсакъм</w:t>
      </w:r>
      <w:proofErr w:type="spellEnd"/>
      <w:r>
        <w:t xml:space="preserve"> датата на плащането;</w:t>
      </w:r>
    </w:p>
    <w:p w:rsidR="00014566" w:rsidRPr="00B93EFA" w:rsidRDefault="00014566" w:rsidP="00B93EFA">
      <w:pPr>
        <w:pStyle w:val="JuLista"/>
      </w:pPr>
      <w:r>
        <w:t xml:space="preserve">(б) че от изтичането на </w:t>
      </w:r>
      <w:r w:rsidR="00B65BD5">
        <w:t>гореспоменатия</w:t>
      </w:r>
      <w:r>
        <w:t xml:space="preserve"> тримесечен срок до плащането се дължи проста лихва върху горепосочената сума в размер, равен на пределната ставка по заеми на Европейската централна банка </w:t>
      </w:r>
      <w:r w:rsidR="00B65BD5">
        <w:t xml:space="preserve">за срока </w:t>
      </w:r>
      <w:r>
        <w:t xml:space="preserve"> на забава, към която се добавят три процентни пункта;</w:t>
      </w:r>
    </w:p>
    <w:p w:rsidR="00014566" w:rsidRPr="00B93EFA" w:rsidRDefault="00014566" w:rsidP="00B93EFA">
      <w:pPr>
        <w:pStyle w:val="JuList"/>
      </w:pPr>
    </w:p>
    <w:p w:rsidR="00014566" w:rsidRPr="00B93EFA" w:rsidRDefault="00FA4D43" w:rsidP="00B93EFA">
      <w:pPr>
        <w:pStyle w:val="JuList"/>
      </w:pPr>
      <w:r>
        <w:t>4.  </w:t>
      </w:r>
      <w:r>
        <w:rPr>
          <w:i/>
        </w:rPr>
        <w:t>Отхвърля</w:t>
      </w:r>
      <w:r>
        <w:t xml:space="preserve"> останалата част от </w:t>
      </w:r>
      <w:r w:rsidR="00AB1409">
        <w:t xml:space="preserve">иска </w:t>
      </w:r>
      <w:r>
        <w:t>на жалбоподателите за справедливо обезщетение.</w:t>
      </w:r>
    </w:p>
    <w:p w:rsidR="00014566" w:rsidRPr="00B93EFA" w:rsidRDefault="00014566" w:rsidP="00B93EFA">
      <w:pPr>
        <w:pStyle w:val="JuParaLast"/>
      </w:pPr>
      <w:r>
        <w:t xml:space="preserve">Изготвено на английски език и оповестено писмено на 30 март 2017 г. в съответствие с </w:t>
      </w:r>
      <w:r w:rsidR="00AB1409">
        <w:t>п</w:t>
      </w:r>
      <w:r>
        <w:t>равило 77 §§ 2 и 30 от Правилника на Съда.</w:t>
      </w:r>
    </w:p>
    <w:p w:rsidR="004D15F3" w:rsidRPr="00B93EFA" w:rsidRDefault="00014566" w:rsidP="00B93EFA">
      <w:pPr>
        <w:pStyle w:val="JuSigned"/>
        <w:ind w:firstLine="142"/>
      </w:pPr>
      <w:r>
        <w:tab/>
        <w:t xml:space="preserve">Ан-Мари </w:t>
      </w:r>
      <w:proofErr w:type="spellStart"/>
      <w:r>
        <w:t>Дуген</w:t>
      </w:r>
      <w:proofErr w:type="spellEnd"/>
      <w:r>
        <w:tab/>
        <w:t>Ери</w:t>
      </w:r>
      <w:r w:rsidR="00AB1409">
        <w:t>к</w:t>
      </w:r>
      <w:r>
        <w:t xml:space="preserve"> </w:t>
      </w:r>
      <w:proofErr w:type="spellStart"/>
      <w:r>
        <w:t>Мьозе</w:t>
      </w:r>
      <w:proofErr w:type="spellEnd"/>
      <w:r>
        <w:t xml:space="preserve"> </w:t>
      </w:r>
      <w:r>
        <w:br/>
      </w:r>
      <w:r>
        <w:tab/>
      </w:r>
      <w:r w:rsidR="00AB1409">
        <w:t>з</w:t>
      </w:r>
      <w:r>
        <w:t>аместник-секретар</w:t>
      </w:r>
      <w:r>
        <w:tab/>
      </w:r>
      <w:r w:rsidR="00AB1409">
        <w:t>п</w:t>
      </w:r>
      <w:r>
        <w:t>редседател</w:t>
      </w:r>
    </w:p>
    <w:sectPr w:rsidR="004D15F3" w:rsidRPr="00B93EFA" w:rsidSect="007704A5">
      <w:headerReference w:type="even" r:id="rId13"/>
      <w:headerReference w:type="default" r:id="rId14"/>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1A5" w:rsidRPr="00535BB8" w:rsidRDefault="003121A5" w:rsidP="00014566">
      <w:pPr>
        <w:rPr>
          <w:lang w:val="en-GB"/>
        </w:rPr>
      </w:pPr>
      <w:r w:rsidRPr="00535BB8">
        <w:rPr>
          <w:lang w:val="en-GB"/>
        </w:rPr>
        <w:separator/>
      </w:r>
    </w:p>
  </w:endnote>
  <w:endnote w:type="continuationSeparator" w:id="0">
    <w:p w:rsidR="003121A5" w:rsidRPr="00535BB8" w:rsidRDefault="003121A5" w:rsidP="00014566">
      <w:pPr>
        <w:rPr>
          <w:lang w:val="en-GB"/>
        </w:rPr>
      </w:pPr>
      <w:r w:rsidRPr="00535BB8">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4B1" w:rsidRDefault="00043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4B1" w:rsidRDefault="000434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A5" w:rsidRPr="00150BFA" w:rsidRDefault="007704A5" w:rsidP="0020718E">
    <w:pPr>
      <w:jc w:val="center"/>
    </w:pPr>
    <w:r>
      <w:rPr>
        <w:noProof/>
        <w:lang w:val="en-US" w:eastAsia="en-US" w:bidi="ar-SA"/>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7704A5" w:rsidRDefault="00770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1A5" w:rsidRPr="00535BB8" w:rsidRDefault="003121A5" w:rsidP="00014566">
      <w:pPr>
        <w:rPr>
          <w:lang w:val="en-GB"/>
        </w:rPr>
      </w:pPr>
      <w:r w:rsidRPr="00535BB8">
        <w:rPr>
          <w:lang w:val="en-GB"/>
        </w:rPr>
        <w:separator/>
      </w:r>
    </w:p>
  </w:footnote>
  <w:footnote w:type="continuationSeparator" w:id="0">
    <w:p w:rsidR="003121A5" w:rsidRPr="00535BB8" w:rsidRDefault="003121A5" w:rsidP="00014566">
      <w:pPr>
        <w:rPr>
          <w:lang w:val="en-GB"/>
        </w:rPr>
      </w:pPr>
      <w:r w:rsidRPr="00535BB8">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4B1" w:rsidRDefault="000434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FA0" w:rsidRPr="007704A5" w:rsidRDefault="00AB5FA0" w:rsidP="007704A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A5" w:rsidRPr="00A45145" w:rsidRDefault="007704A5" w:rsidP="00A45145">
    <w:pPr>
      <w:jc w:val="center"/>
    </w:pPr>
    <w:r>
      <w:rPr>
        <w:noProof/>
        <w:lang w:val="en-US" w:eastAsia="en-US" w:bidi="ar-SA"/>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A4D43" w:rsidRDefault="00FA4D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A5" w:rsidRPr="00535BB8" w:rsidRDefault="00946997" w:rsidP="00EE1DA9">
    <w:pPr>
      <w:pStyle w:val="ECHRHeader"/>
    </w:pPr>
    <w:r>
      <w:rPr>
        <w:rStyle w:val="PageNumber"/>
        <w:szCs w:val="18"/>
      </w:rPr>
      <w:fldChar w:fldCharType="begin"/>
    </w:r>
    <w:r w:rsidR="007704A5">
      <w:rPr>
        <w:rStyle w:val="PageNumber"/>
        <w:szCs w:val="18"/>
      </w:rPr>
      <w:instrText xml:space="preserve"> PAGE </w:instrText>
    </w:r>
    <w:r>
      <w:rPr>
        <w:rStyle w:val="PageNumber"/>
        <w:szCs w:val="18"/>
      </w:rPr>
      <w:fldChar w:fldCharType="separate"/>
    </w:r>
    <w:r w:rsidR="000434B1">
      <w:rPr>
        <w:rStyle w:val="PageNumber"/>
        <w:noProof/>
        <w:szCs w:val="18"/>
      </w:rPr>
      <w:t>6</w:t>
    </w:r>
    <w:r>
      <w:rPr>
        <w:rStyle w:val="PageNumber"/>
        <w:szCs w:val="18"/>
      </w:rPr>
      <w:fldChar w:fldCharType="end"/>
    </w:r>
    <w:r w:rsidR="007704A5">
      <w:tab/>
      <w:t>РЕШЕНИЕ СТЕФАНОВИ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A5" w:rsidRPr="00535BB8" w:rsidRDefault="007704A5" w:rsidP="00D60D87">
    <w:pPr>
      <w:pStyle w:val="ECHRHeader"/>
    </w:pPr>
    <w:r>
      <w:tab/>
      <w:t>РЕШЕНИЕ СТЕФАНОВИ СРЕЩУ БЪЛГАРИЯ</w:t>
    </w:r>
    <w:r>
      <w:tab/>
    </w:r>
    <w:r w:rsidR="00946997">
      <w:rPr>
        <w:rStyle w:val="PageNumber"/>
        <w:szCs w:val="18"/>
      </w:rPr>
      <w:fldChar w:fldCharType="begin"/>
    </w:r>
    <w:r>
      <w:rPr>
        <w:rStyle w:val="PageNumber"/>
        <w:szCs w:val="18"/>
      </w:rPr>
      <w:instrText xml:space="preserve"> PAGE </w:instrText>
    </w:r>
    <w:r w:rsidR="00946997">
      <w:rPr>
        <w:rStyle w:val="PageNumber"/>
        <w:szCs w:val="18"/>
      </w:rPr>
      <w:fldChar w:fldCharType="separate"/>
    </w:r>
    <w:r w:rsidR="000434B1">
      <w:rPr>
        <w:rStyle w:val="PageNumber"/>
        <w:noProof/>
        <w:szCs w:val="18"/>
      </w:rPr>
      <w:t>7</w:t>
    </w:r>
    <w:r w:rsidR="00946997">
      <w:rPr>
        <w:rStyle w:val="PageNumber"/>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FA4D43"/>
    <w:rsid w:val="00000067"/>
    <w:rsid w:val="00000F9B"/>
    <w:rsid w:val="000010ED"/>
    <w:rsid w:val="000041F8"/>
    <w:rsid w:val="000042A8"/>
    <w:rsid w:val="00004308"/>
    <w:rsid w:val="00005BF0"/>
    <w:rsid w:val="00007154"/>
    <w:rsid w:val="000103AE"/>
    <w:rsid w:val="00011D69"/>
    <w:rsid w:val="00012AD3"/>
    <w:rsid w:val="00014566"/>
    <w:rsid w:val="00015C2D"/>
    <w:rsid w:val="00015F00"/>
    <w:rsid w:val="00022C1D"/>
    <w:rsid w:val="00030224"/>
    <w:rsid w:val="00034317"/>
    <w:rsid w:val="00034987"/>
    <w:rsid w:val="000350E3"/>
    <w:rsid w:val="000434B1"/>
    <w:rsid w:val="000602DF"/>
    <w:rsid w:val="00061B05"/>
    <w:rsid w:val="00062973"/>
    <w:rsid w:val="00062D5D"/>
    <w:rsid w:val="000632D5"/>
    <w:rsid w:val="000644EE"/>
    <w:rsid w:val="00071ABC"/>
    <w:rsid w:val="000856D7"/>
    <w:rsid w:val="000925AD"/>
    <w:rsid w:val="00092F07"/>
    <w:rsid w:val="00093A29"/>
    <w:rsid w:val="000A24EB"/>
    <w:rsid w:val="000B6923"/>
    <w:rsid w:val="000C033C"/>
    <w:rsid w:val="000C5F3C"/>
    <w:rsid w:val="000C6DCC"/>
    <w:rsid w:val="000D2BED"/>
    <w:rsid w:val="000D47AA"/>
    <w:rsid w:val="000D721F"/>
    <w:rsid w:val="000E069B"/>
    <w:rsid w:val="000E0E82"/>
    <w:rsid w:val="000E1DC5"/>
    <w:rsid w:val="000E223F"/>
    <w:rsid w:val="000E35AC"/>
    <w:rsid w:val="000E7D45"/>
    <w:rsid w:val="000F5FF1"/>
    <w:rsid w:val="000F7851"/>
    <w:rsid w:val="00104E23"/>
    <w:rsid w:val="00111690"/>
    <w:rsid w:val="00111B0C"/>
    <w:rsid w:val="00111C40"/>
    <w:rsid w:val="001130C1"/>
    <w:rsid w:val="00120D6C"/>
    <w:rsid w:val="001257EC"/>
    <w:rsid w:val="00132C6A"/>
    <w:rsid w:val="00133D33"/>
    <w:rsid w:val="00134D64"/>
    <w:rsid w:val="00135A30"/>
    <w:rsid w:val="0013612C"/>
    <w:rsid w:val="00137FF6"/>
    <w:rsid w:val="00141650"/>
    <w:rsid w:val="001449B4"/>
    <w:rsid w:val="00162A12"/>
    <w:rsid w:val="00166530"/>
    <w:rsid w:val="001832BD"/>
    <w:rsid w:val="001943B5"/>
    <w:rsid w:val="00195134"/>
    <w:rsid w:val="00197606"/>
    <w:rsid w:val="001A145B"/>
    <w:rsid w:val="001A674C"/>
    <w:rsid w:val="001B179E"/>
    <w:rsid w:val="001B3B24"/>
    <w:rsid w:val="001C0F98"/>
    <w:rsid w:val="001C2A42"/>
    <w:rsid w:val="001C6EA0"/>
    <w:rsid w:val="001D2B0C"/>
    <w:rsid w:val="001D63ED"/>
    <w:rsid w:val="001D7348"/>
    <w:rsid w:val="001E035B"/>
    <w:rsid w:val="001E0961"/>
    <w:rsid w:val="001E3EAE"/>
    <w:rsid w:val="001E5348"/>
    <w:rsid w:val="001E6F32"/>
    <w:rsid w:val="001F0378"/>
    <w:rsid w:val="001F2145"/>
    <w:rsid w:val="001F6262"/>
    <w:rsid w:val="001F67B0"/>
    <w:rsid w:val="001F7B3D"/>
    <w:rsid w:val="00205F9F"/>
    <w:rsid w:val="00210338"/>
    <w:rsid w:val="002115FC"/>
    <w:rsid w:val="00212394"/>
    <w:rsid w:val="002133F8"/>
    <w:rsid w:val="0021423C"/>
    <w:rsid w:val="00230D00"/>
    <w:rsid w:val="00231DF7"/>
    <w:rsid w:val="00231FD1"/>
    <w:rsid w:val="002339E0"/>
    <w:rsid w:val="00233CF8"/>
    <w:rsid w:val="0023575D"/>
    <w:rsid w:val="00237148"/>
    <w:rsid w:val="0024222D"/>
    <w:rsid w:val="00244B0E"/>
    <w:rsid w:val="00244F6C"/>
    <w:rsid w:val="00246754"/>
    <w:rsid w:val="00247622"/>
    <w:rsid w:val="002532C5"/>
    <w:rsid w:val="00260C03"/>
    <w:rsid w:val="00262959"/>
    <w:rsid w:val="0026540E"/>
    <w:rsid w:val="0027225C"/>
    <w:rsid w:val="00275123"/>
    <w:rsid w:val="00282240"/>
    <w:rsid w:val="0028572A"/>
    <w:rsid w:val="002948AD"/>
    <w:rsid w:val="00294C05"/>
    <w:rsid w:val="00294C92"/>
    <w:rsid w:val="002A01CC"/>
    <w:rsid w:val="002A18D2"/>
    <w:rsid w:val="002A61B1"/>
    <w:rsid w:val="002A663C"/>
    <w:rsid w:val="002B1E6C"/>
    <w:rsid w:val="002B2127"/>
    <w:rsid w:val="002B444B"/>
    <w:rsid w:val="002B5887"/>
    <w:rsid w:val="002B72C2"/>
    <w:rsid w:val="002C0692"/>
    <w:rsid w:val="002C0E27"/>
    <w:rsid w:val="002C3040"/>
    <w:rsid w:val="002D022D"/>
    <w:rsid w:val="002D24BB"/>
    <w:rsid w:val="002F2AF7"/>
    <w:rsid w:val="002F55BE"/>
    <w:rsid w:val="002F7E1C"/>
    <w:rsid w:val="00301A75"/>
    <w:rsid w:val="00302F70"/>
    <w:rsid w:val="0030336F"/>
    <w:rsid w:val="0030375E"/>
    <w:rsid w:val="003121A5"/>
    <w:rsid w:val="00312A30"/>
    <w:rsid w:val="003165CE"/>
    <w:rsid w:val="003169C8"/>
    <w:rsid w:val="00320F72"/>
    <w:rsid w:val="0032463E"/>
    <w:rsid w:val="00326224"/>
    <w:rsid w:val="0032676F"/>
    <w:rsid w:val="00331506"/>
    <w:rsid w:val="00337EE4"/>
    <w:rsid w:val="00340FFD"/>
    <w:rsid w:val="00342FDD"/>
    <w:rsid w:val="003506B1"/>
    <w:rsid w:val="00356AC7"/>
    <w:rsid w:val="003609FA"/>
    <w:rsid w:val="00365953"/>
    <w:rsid w:val="00370C87"/>
    <w:rsid w:val="003710C8"/>
    <w:rsid w:val="003750BE"/>
    <w:rsid w:val="00387B9D"/>
    <w:rsid w:val="0039364F"/>
    <w:rsid w:val="00396686"/>
    <w:rsid w:val="0039778E"/>
    <w:rsid w:val="003A441D"/>
    <w:rsid w:val="003B4941"/>
    <w:rsid w:val="003C4010"/>
    <w:rsid w:val="003C5714"/>
    <w:rsid w:val="003C6B9F"/>
    <w:rsid w:val="003C6E2A"/>
    <w:rsid w:val="003D0299"/>
    <w:rsid w:val="003E6D80"/>
    <w:rsid w:val="003F05FA"/>
    <w:rsid w:val="003F0C6D"/>
    <w:rsid w:val="003F244A"/>
    <w:rsid w:val="003F30B8"/>
    <w:rsid w:val="003F4C45"/>
    <w:rsid w:val="003F4CBA"/>
    <w:rsid w:val="003F5F7B"/>
    <w:rsid w:val="003F7D64"/>
    <w:rsid w:val="00414300"/>
    <w:rsid w:val="00425C67"/>
    <w:rsid w:val="00427E7A"/>
    <w:rsid w:val="00430B15"/>
    <w:rsid w:val="00435C21"/>
    <w:rsid w:val="00436307"/>
    <w:rsid w:val="00436C49"/>
    <w:rsid w:val="00442D25"/>
    <w:rsid w:val="00445366"/>
    <w:rsid w:val="00447F5B"/>
    <w:rsid w:val="00461DB0"/>
    <w:rsid w:val="00463926"/>
    <w:rsid w:val="004646E0"/>
    <w:rsid w:val="00464C9A"/>
    <w:rsid w:val="00471373"/>
    <w:rsid w:val="00474F3D"/>
    <w:rsid w:val="00477E3A"/>
    <w:rsid w:val="00483E5F"/>
    <w:rsid w:val="00485FF9"/>
    <w:rsid w:val="004907F0"/>
    <w:rsid w:val="0049140B"/>
    <w:rsid w:val="004923A5"/>
    <w:rsid w:val="00496BFB"/>
    <w:rsid w:val="004A15C7"/>
    <w:rsid w:val="004B013B"/>
    <w:rsid w:val="004B0F38"/>
    <w:rsid w:val="004B112B"/>
    <w:rsid w:val="004B4580"/>
    <w:rsid w:val="004B57DE"/>
    <w:rsid w:val="004C01E4"/>
    <w:rsid w:val="004C086C"/>
    <w:rsid w:val="004C1F56"/>
    <w:rsid w:val="004C27BC"/>
    <w:rsid w:val="004D15F3"/>
    <w:rsid w:val="004D5311"/>
    <w:rsid w:val="004D5DCC"/>
    <w:rsid w:val="004E24F6"/>
    <w:rsid w:val="004F0600"/>
    <w:rsid w:val="004F10AF"/>
    <w:rsid w:val="004F11A4"/>
    <w:rsid w:val="004F2389"/>
    <w:rsid w:val="004F2708"/>
    <w:rsid w:val="004F304D"/>
    <w:rsid w:val="004F61BE"/>
    <w:rsid w:val="004F66B1"/>
    <w:rsid w:val="00502CEB"/>
    <w:rsid w:val="00511C07"/>
    <w:rsid w:val="005173A6"/>
    <w:rsid w:val="00520BAA"/>
    <w:rsid w:val="00525208"/>
    <w:rsid w:val="005257A5"/>
    <w:rsid w:val="005264C0"/>
    <w:rsid w:val="00526A8A"/>
    <w:rsid w:val="00531CC5"/>
    <w:rsid w:val="00531DF2"/>
    <w:rsid w:val="00535BB8"/>
    <w:rsid w:val="00543BA9"/>
    <w:rsid w:val="005442EE"/>
    <w:rsid w:val="005443C3"/>
    <w:rsid w:val="00546C85"/>
    <w:rsid w:val="00547353"/>
    <w:rsid w:val="005474E7"/>
    <w:rsid w:val="005512A3"/>
    <w:rsid w:val="0055227C"/>
    <w:rsid w:val="00555376"/>
    <w:rsid w:val="005578CE"/>
    <w:rsid w:val="00560094"/>
    <w:rsid w:val="00562781"/>
    <w:rsid w:val="00563E83"/>
    <w:rsid w:val="0057271C"/>
    <w:rsid w:val="00572845"/>
    <w:rsid w:val="00580F94"/>
    <w:rsid w:val="00592772"/>
    <w:rsid w:val="0059574A"/>
    <w:rsid w:val="005A1B9B"/>
    <w:rsid w:val="005A5D5F"/>
    <w:rsid w:val="005A6751"/>
    <w:rsid w:val="005A7994"/>
    <w:rsid w:val="005B092E"/>
    <w:rsid w:val="005B152C"/>
    <w:rsid w:val="005B1EE0"/>
    <w:rsid w:val="005B2B24"/>
    <w:rsid w:val="005B4425"/>
    <w:rsid w:val="005B4B94"/>
    <w:rsid w:val="005C3EE8"/>
    <w:rsid w:val="005C5DC2"/>
    <w:rsid w:val="005D34F9"/>
    <w:rsid w:val="005D3D30"/>
    <w:rsid w:val="005D4190"/>
    <w:rsid w:val="005D67A3"/>
    <w:rsid w:val="005E2988"/>
    <w:rsid w:val="005E2A43"/>
    <w:rsid w:val="005E3085"/>
    <w:rsid w:val="005E438A"/>
    <w:rsid w:val="005F2913"/>
    <w:rsid w:val="005F3733"/>
    <w:rsid w:val="005F51E1"/>
    <w:rsid w:val="006035C4"/>
    <w:rsid w:val="00611C80"/>
    <w:rsid w:val="00620692"/>
    <w:rsid w:val="00622598"/>
    <w:rsid w:val="006242CA"/>
    <w:rsid w:val="00627507"/>
    <w:rsid w:val="00633717"/>
    <w:rsid w:val="00633A60"/>
    <w:rsid w:val="00633E63"/>
    <w:rsid w:val="006344E1"/>
    <w:rsid w:val="00637126"/>
    <w:rsid w:val="006545C4"/>
    <w:rsid w:val="00661971"/>
    <w:rsid w:val="00661CE8"/>
    <w:rsid w:val="006623D9"/>
    <w:rsid w:val="0066550C"/>
    <w:rsid w:val="006716F2"/>
    <w:rsid w:val="00674057"/>
    <w:rsid w:val="00677C58"/>
    <w:rsid w:val="0068149A"/>
    <w:rsid w:val="00682BF2"/>
    <w:rsid w:val="006859CE"/>
    <w:rsid w:val="00691270"/>
    <w:rsid w:val="00694BA8"/>
    <w:rsid w:val="006A037C"/>
    <w:rsid w:val="006A36F4"/>
    <w:rsid w:val="006A406F"/>
    <w:rsid w:val="006A5D3A"/>
    <w:rsid w:val="006A6F07"/>
    <w:rsid w:val="006B5CD7"/>
    <w:rsid w:val="006C23D4"/>
    <w:rsid w:val="006C7BB0"/>
    <w:rsid w:val="006D3237"/>
    <w:rsid w:val="006D5061"/>
    <w:rsid w:val="006E2E37"/>
    <w:rsid w:val="006E3CF1"/>
    <w:rsid w:val="006E6333"/>
    <w:rsid w:val="006E7E80"/>
    <w:rsid w:val="006F1DF9"/>
    <w:rsid w:val="006F24DB"/>
    <w:rsid w:val="006F48CA"/>
    <w:rsid w:val="006F5176"/>
    <w:rsid w:val="006F64DD"/>
    <w:rsid w:val="00702826"/>
    <w:rsid w:val="00704051"/>
    <w:rsid w:val="00715127"/>
    <w:rsid w:val="00715E8E"/>
    <w:rsid w:val="00721F45"/>
    <w:rsid w:val="00723580"/>
    <w:rsid w:val="00723755"/>
    <w:rsid w:val="0073136C"/>
    <w:rsid w:val="00731F0F"/>
    <w:rsid w:val="00733250"/>
    <w:rsid w:val="007333BF"/>
    <w:rsid w:val="00741404"/>
    <w:rsid w:val="007448C3"/>
    <w:rsid w:val="007449E5"/>
    <w:rsid w:val="00745B79"/>
    <w:rsid w:val="00746C5A"/>
    <w:rsid w:val="00747FF0"/>
    <w:rsid w:val="00764D4E"/>
    <w:rsid w:val="00765A1F"/>
    <w:rsid w:val="007704A5"/>
    <w:rsid w:val="00775B6D"/>
    <w:rsid w:val="00776D68"/>
    <w:rsid w:val="007850EE"/>
    <w:rsid w:val="00785B95"/>
    <w:rsid w:val="00790E96"/>
    <w:rsid w:val="00793366"/>
    <w:rsid w:val="00795194"/>
    <w:rsid w:val="00796FB2"/>
    <w:rsid w:val="007A002B"/>
    <w:rsid w:val="007A716F"/>
    <w:rsid w:val="007B270A"/>
    <w:rsid w:val="007C0695"/>
    <w:rsid w:val="007C1545"/>
    <w:rsid w:val="007C419A"/>
    <w:rsid w:val="007C4CC8"/>
    <w:rsid w:val="007C5426"/>
    <w:rsid w:val="007C5798"/>
    <w:rsid w:val="007D4832"/>
    <w:rsid w:val="007E05A5"/>
    <w:rsid w:val="007E21B2"/>
    <w:rsid w:val="007E2C4E"/>
    <w:rsid w:val="007E528E"/>
    <w:rsid w:val="007E5B29"/>
    <w:rsid w:val="007F1905"/>
    <w:rsid w:val="0080048F"/>
    <w:rsid w:val="00801300"/>
    <w:rsid w:val="00802735"/>
    <w:rsid w:val="00802C64"/>
    <w:rsid w:val="00805E52"/>
    <w:rsid w:val="008061D0"/>
    <w:rsid w:val="00810B38"/>
    <w:rsid w:val="0082019A"/>
    <w:rsid w:val="008204C7"/>
    <w:rsid w:val="00820992"/>
    <w:rsid w:val="00823602"/>
    <w:rsid w:val="008255F5"/>
    <w:rsid w:val="0083014E"/>
    <w:rsid w:val="0083214A"/>
    <w:rsid w:val="00834220"/>
    <w:rsid w:val="00845723"/>
    <w:rsid w:val="0085019A"/>
    <w:rsid w:val="00851EF9"/>
    <w:rsid w:val="008577FD"/>
    <w:rsid w:val="00860B03"/>
    <w:rsid w:val="0086497A"/>
    <w:rsid w:val="008713A1"/>
    <w:rsid w:val="008754AB"/>
    <w:rsid w:val="00877917"/>
    <w:rsid w:val="0088060C"/>
    <w:rsid w:val="00893576"/>
    <w:rsid w:val="00893E73"/>
    <w:rsid w:val="008A43C4"/>
    <w:rsid w:val="008B02DC"/>
    <w:rsid w:val="008B57CE"/>
    <w:rsid w:val="008B659F"/>
    <w:rsid w:val="008C26DE"/>
    <w:rsid w:val="008D2225"/>
    <w:rsid w:val="008D4752"/>
    <w:rsid w:val="008D552A"/>
    <w:rsid w:val="008D7583"/>
    <w:rsid w:val="008E20C6"/>
    <w:rsid w:val="008E271C"/>
    <w:rsid w:val="008E418E"/>
    <w:rsid w:val="008E4F64"/>
    <w:rsid w:val="008E5BC6"/>
    <w:rsid w:val="008E6A25"/>
    <w:rsid w:val="008F5193"/>
    <w:rsid w:val="009013A7"/>
    <w:rsid w:val="009017FB"/>
    <w:rsid w:val="009017FC"/>
    <w:rsid w:val="00903B43"/>
    <w:rsid w:val="0090506B"/>
    <w:rsid w:val="009050C9"/>
    <w:rsid w:val="009066FC"/>
    <w:rsid w:val="009140A3"/>
    <w:rsid w:val="009144A2"/>
    <w:rsid w:val="0091510C"/>
    <w:rsid w:val="009259AC"/>
    <w:rsid w:val="00926F38"/>
    <w:rsid w:val="00934301"/>
    <w:rsid w:val="00936CD1"/>
    <w:rsid w:val="00941747"/>
    <w:rsid w:val="00941EFB"/>
    <w:rsid w:val="00946997"/>
    <w:rsid w:val="00947AFB"/>
    <w:rsid w:val="0095083F"/>
    <w:rsid w:val="00951D7D"/>
    <w:rsid w:val="00952C12"/>
    <w:rsid w:val="009630C7"/>
    <w:rsid w:val="00972B55"/>
    <w:rsid w:val="009743B7"/>
    <w:rsid w:val="0098228B"/>
    <w:rsid w:val="009828DA"/>
    <w:rsid w:val="00985BAB"/>
    <w:rsid w:val="00997F03"/>
    <w:rsid w:val="009A46DF"/>
    <w:rsid w:val="009B1B5F"/>
    <w:rsid w:val="009B2EC2"/>
    <w:rsid w:val="009B4A22"/>
    <w:rsid w:val="009B6673"/>
    <w:rsid w:val="009C0DF6"/>
    <w:rsid w:val="009C191B"/>
    <w:rsid w:val="009C2BD6"/>
    <w:rsid w:val="009E1F32"/>
    <w:rsid w:val="009E5829"/>
    <w:rsid w:val="009E776C"/>
    <w:rsid w:val="009F1362"/>
    <w:rsid w:val="00A1726E"/>
    <w:rsid w:val="00A204CF"/>
    <w:rsid w:val="00A234F2"/>
    <w:rsid w:val="00A23D49"/>
    <w:rsid w:val="00A27004"/>
    <w:rsid w:val="00A30C29"/>
    <w:rsid w:val="00A34DD6"/>
    <w:rsid w:val="00A36819"/>
    <w:rsid w:val="00A36989"/>
    <w:rsid w:val="00A43628"/>
    <w:rsid w:val="00A46037"/>
    <w:rsid w:val="00A4710C"/>
    <w:rsid w:val="00A47D03"/>
    <w:rsid w:val="00A47D4F"/>
    <w:rsid w:val="00A54192"/>
    <w:rsid w:val="00A562B3"/>
    <w:rsid w:val="00A6035E"/>
    <w:rsid w:val="00A6144C"/>
    <w:rsid w:val="00A660CF"/>
    <w:rsid w:val="00A66617"/>
    <w:rsid w:val="00A671F8"/>
    <w:rsid w:val="00A673A4"/>
    <w:rsid w:val="00A724AE"/>
    <w:rsid w:val="00A73329"/>
    <w:rsid w:val="00A82359"/>
    <w:rsid w:val="00A8348D"/>
    <w:rsid w:val="00A865D2"/>
    <w:rsid w:val="00A922B6"/>
    <w:rsid w:val="00A94C20"/>
    <w:rsid w:val="00A96ED6"/>
    <w:rsid w:val="00AA227F"/>
    <w:rsid w:val="00AA3BC7"/>
    <w:rsid w:val="00AA754A"/>
    <w:rsid w:val="00AB099E"/>
    <w:rsid w:val="00AB1409"/>
    <w:rsid w:val="00AB4328"/>
    <w:rsid w:val="00AB5FA0"/>
    <w:rsid w:val="00AB5FB0"/>
    <w:rsid w:val="00AB6F53"/>
    <w:rsid w:val="00AC1874"/>
    <w:rsid w:val="00AE0A2E"/>
    <w:rsid w:val="00AE354C"/>
    <w:rsid w:val="00AF4B07"/>
    <w:rsid w:val="00AF6186"/>
    <w:rsid w:val="00AF7A3A"/>
    <w:rsid w:val="00B160DB"/>
    <w:rsid w:val="00B20836"/>
    <w:rsid w:val="00B235BB"/>
    <w:rsid w:val="00B27A44"/>
    <w:rsid w:val="00B30BBF"/>
    <w:rsid w:val="00B32FB1"/>
    <w:rsid w:val="00B33C03"/>
    <w:rsid w:val="00B44E56"/>
    <w:rsid w:val="00B46543"/>
    <w:rsid w:val="00B47D33"/>
    <w:rsid w:val="00B52BE0"/>
    <w:rsid w:val="00B54133"/>
    <w:rsid w:val="00B63608"/>
    <w:rsid w:val="00B637B9"/>
    <w:rsid w:val="00B65BD5"/>
    <w:rsid w:val="00B701ED"/>
    <w:rsid w:val="00B77FEC"/>
    <w:rsid w:val="00B8086C"/>
    <w:rsid w:val="00B83AB8"/>
    <w:rsid w:val="00B861B4"/>
    <w:rsid w:val="00B86DFE"/>
    <w:rsid w:val="00B90990"/>
    <w:rsid w:val="00B922FF"/>
    <w:rsid w:val="00B9281E"/>
    <w:rsid w:val="00B93925"/>
    <w:rsid w:val="00B93EFA"/>
    <w:rsid w:val="00B95187"/>
    <w:rsid w:val="00BA2D55"/>
    <w:rsid w:val="00BA71B1"/>
    <w:rsid w:val="00BB0637"/>
    <w:rsid w:val="00BB345F"/>
    <w:rsid w:val="00BB5883"/>
    <w:rsid w:val="00BB68EA"/>
    <w:rsid w:val="00BC07E7"/>
    <w:rsid w:val="00BC1C27"/>
    <w:rsid w:val="00BC6BBF"/>
    <w:rsid w:val="00BD1572"/>
    <w:rsid w:val="00BE14E3"/>
    <w:rsid w:val="00BE3774"/>
    <w:rsid w:val="00BE41E5"/>
    <w:rsid w:val="00BF0BBB"/>
    <w:rsid w:val="00BF4109"/>
    <w:rsid w:val="00BF4158"/>
    <w:rsid w:val="00BF4CC3"/>
    <w:rsid w:val="00C00C72"/>
    <w:rsid w:val="00C054C7"/>
    <w:rsid w:val="00C057B5"/>
    <w:rsid w:val="00C22682"/>
    <w:rsid w:val="00C22687"/>
    <w:rsid w:val="00C264DE"/>
    <w:rsid w:val="00C32E4D"/>
    <w:rsid w:val="00C333A0"/>
    <w:rsid w:val="00C3341C"/>
    <w:rsid w:val="00C36A81"/>
    <w:rsid w:val="00C409A2"/>
    <w:rsid w:val="00C41974"/>
    <w:rsid w:val="00C447AD"/>
    <w:rsid w:val="00C53F4A"/>
    <w:rsid w:val="00C54125"/>
    <w:rsid w:val="00C55B54"/>
    <w:rsid w:val="00C573BF"/>
    <w:rsid w:val="00C6098E"/>
    <w:rsid w:val="00C6152C"/>
    <w:rsid w:val="00C617A9"/>
    <w:rsid w:val="00C621C2"/>
    <w:rsid w:val="00C74810"/>
    <w:rsid w:val="00C77FD1"/>
    <w:rsid w:val="00C90D68"/>
    <w:rsid w:val="00C939FE"/>
    <w:rsid w:val="00C94920"/>
    <w:rsid w:val="00CA4BDA"/>
    <w:rsid w:val="00CB1F66"/>
    <w:rsid w:val="00CB2951"/>
    <w:rsid w:val="00CC60A8"/>
    <w:rsid w:val="00CD282B"/>
    <w:rsid w:val="00CD4C35"/>
    <w:rsid w:val="00CD7369"/>
    <w:rsid w:val="00CE0B0E"/>
    <w:rsid w:val="00CE29D2"/>
    <w:rsid w:val="00CE3831"/>
    <w:rsid w:val="00D00ABB"/>
    <w:rsid w:val="00D02EEC"/>
    <w:rsid w:val="00D03551"/>
    <w:rsid w:val="00D06A63"/>
    <w:rsid w:val="00D078E5"/>
    <w:rsid w:val="00D07E0E"/>
    <w:rsid w:val="00D11478"/>
    <w:rsid w:val="00D15ED0"/>
    <w:rsid w:val="00D21B3E"/>
    <w:rsid w:val="00D21FED"/>
    <w:rsid w:val="00D24251"/>
    <w:rsid w:val="00D343E2"/>
    <w:rsid w:val="00D361A2"/>
    <w:rsid w:val="00D37266"/>
    <w:rsid w:val="00D44C2E"/>
    <w:rsid w:val="00D45414"/>
    <w:rsid w:val="00D53C0F"/>
    <w:rsid w:val="00D566BD"/>
    <w:rsid w:val="00D57A4D"/>
    <w:rsid w:val="00D60AA7"/>
    <w:rsid w:val="00D60D87"/>
    <w:rsid w:val="00D6435D"/>
    <w:rsid w:val="00D6435F"/>
    <w:rsid w:val="00D75E28"/>
    <w:rsid w:val="00D772C2"/>
    <w:rsid w:val="00D77D15"/>
    <w:rsid w:val="00D8008E"/>
    <w:rsid w:val="00D82C45"/>
    <w:rsid w:val="00D835EA"/>
    <w:rsid w:val="00D908A8"/>
    <w:rsid w:val="00D977B6"/>
    <w:rsid w:val="00DA4A31"/>
    <w:rsid w:val="00DA61F2"/>
    <w:rsid w:val="00DA652D"/>
    <w:rsid w:val="00DA7B04"/>
    <w:rsid w:val="00DB1029"/>
    <w:rsid w:val="00DB28B8"/>
    <w:rsid w:val="00DB36C2"/>
    <w:rsid w:val="00DB59C5"/>
    <w:rsid w:val="00DB7196"/>
    <w:rsid w:val="00DC1352"/>
    <w:rsid w:val="00DC169B"/>
    <w:rsid w:val="00DC2AB9"/>
    <w:rsid w:val="00DC3B62"/>
    <w:rsid w:val="00DC63F0"/>
    <w:rsid w:val="00DD6EE5"/>
    <w:rsid w:val="00DE1B8E"/>
    <w:rsid w:val="00DE28D4"/>
    <w:rsid w:val="00DE386C"/>
    <w:rsid w:val="00DE4D35"/>
    <w:rsid w:val="00DF0549"/>
    <w:rsid w:val="00DF098B"/>
    <w:rsid w:val="00DF11C4"/>
    <w:rsid w:val="00DF210C"/>
    <w:rsid w:val="00DF4B6A"/>
    <w:rsid w:val="00E011B8"/>
    <w:rsid w:val="00E02C09"/>
    <w:rsid w:val="00E036FB"/>
    <w:rsid w:val="00E04D59"/>
    <w:rsid w:val="00E07DA1"/>
    <w:rsid w:val="00E123CB"/>
    <w:rsid w:val="00E132C0"/>
    <w:rsid w:val="00E1557C"/>
    <w:rsid w:val="00E20E13"/>
    <w:rsid w:val="00E21DBC"/>
    <w:rsid w:val="00E275D7"/>
    <w:rsid w:val="00E27DBE"/>
    <w:rsid w:val="00E31BA6"/>
    <w:rsid w:val="00E32AB1"/>
    <w:rsid w:val="00E36C71"/>
    <w:rsid w:val="00E40404"/>
    <w:rsid w:val="00E459C6"/>
    <w:rsid w:val="00E47589"/>
    <w:rsid w:val="00E47745"/>
    <w:rsid w:val="00E64915"/>
    <w:rsid w:val="00E661D4"/>
    <w:rsid w:val="00E70091"/>
    <w:rsid w:val="00E720F5"/>
    <w:rsid w:val="00E76D47"/>
    <w:rsid w:val="00E81B3A"/>
    <w:rsid w:val="00E83A32"/>
    <w:rsid w:val="00E849F7"/>
    <w:rsid w:val="00E90302"/>
    <w:rsid w:val="00E9597F"/>
    <w:rsid w:val="00E97396"/>
    <w:rsid w:val="00EA0821"/>
    <w:rsid w:val="00EA185E"/>
    <w:rsid w:val="00EA592A"/>
    <w:rsid w:val="00EA60D3"/>
    <w:rsid w:val="00EB14E4"/>
    <w:rsid w:val="00EB32A5"/>
    <w:rsid w:val="00EB34ED"/>
    <w:rsid w:val="00EB62EF"/>
    <w:rsid w:val="00EB7BE0"/>
    <w:rsid w:val="00EC315E"/>
    <w:rsid w:val="00EC46F0"/>
    <w:rsid w:val="00ED077C"/>
    <w:rsid w:val="00ED1190"/>
    <w:rsid w:val="00ED6544"/>
    <w:rsid w:val="00EE0277"/>
    <w:rsid w:val="00EE1DA9"/>
    <w:rsid w:val="00EE2217"/>
    <w:rsid w:val="00EE3E00"/>
    <w:rsid w:val="00EE57BF"/>
    <w:rsid w:val="00EE5DD2"/>
    <w:rsid w:val="00EF41F1"/>
    <w:rsid w:val="00EF4AAE"/>
    <w:rsid w:val="00EF4F08"/>
    <w:rsid w:val="00EF573B"/>
    <w:rsid w:val="00F00A79"/>
    <w:rsid w:val="00F00E86"/>
    <w:rsid w:val="00F00F8B"/>
    <w:rsid w:val="00F06C2C"/>
    <w:rsid w:val="00F07C1E"/>
    <w:rsid w:val="00F105DB"/>
    <w:rsid w:val="00F132BC"/>
    <w:rsid w:val="00F13D80"/>
    <w:rsid w:val="00F16AAA"/>
    <w:rsid w:val="00F21161"/>
    <w:rsid w:val="00F218EF"/>
    <w:rsid w:val="00F21BC7"/>
    <w:rsid w:val="00F266A2"/>
    <w:rsid w:val="00F32269"/>
    <w:rsid w:val="00F4457E"/>
    <w:rsid w:val="00F56A6F"/>
    <w:rsid w:val="00F5709C"/>
    <w:rsid w:val="00F64EF1"/>
    <w:rsid w:val="00F75CBA"/>
    <w:rsid w:val="00F8765F"/>
    <w:rsid w:val="00F90767"/>
    <w:rsid w:val="00FA4D43"/>
    <w:rsid w:val="00FA685B"/>
    <w:rsid w:val="00FB0C01"/>
    <w:rsid w:val="00FC0845"/>
    <w:rsid w:val="00FC09C3"/>
    <w:rsid w:val="00FC18F2"/>
    <w:rsid w:val="00FC39E5"/>
    <w:rsid w:val="00FC3A78"/>
    <w:rsid w:val="00FC5FFE"/>
    <w:rsid w:val="00FD1005"/>
    <w:rsid w:val="00FD3180"/>
    <w:rsid w:val="00FD3B98"/>
    <w:rsid w:val="00FD6C75"/>
    <w:rsid w:val="00FE71B3"/>
    <w:rsid w:val="00FF42C5"/>
    <w:rsid w:val="00FF507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A234F2"/>
    <w:pPr>
      <w:jc w:val="both"/>
    </w:pPr>
    <w:rPr>
      <w:rFonts w:eastAsiaTheme="minorEastAsia"/>
      <w:sz w:val="24"/>
    </w:rPr>
  </w:style>
  <w:style w:type="paragraph" w:styleId="Heading1">
    <w:name w:val="heading 1"/>
    <w:basedOn w:val="Normal"/>
    <w:next w:val="Normal"/>
    <w:link w:val="Heading1Char"/>
    <w:uiPriority w:val="99"/>
    <w:semiHidden/>
    <w:rsid w:val="00A234F2"/>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A234F2"/>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A234F2"/>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A234F2"/>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A234F2"/>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A234F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qFormat/>
    <w:rsid w:val="00A234F2"/>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9"/>
    <w:semiHidden/>
    <w:qFormat/>
    <w:rsid w:val="00A234F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qFormat/>
    <w:rsid w:val="00A234F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234F2"/>
    <w:rPr>
      <w:rFonts w:ascii="Tahoma" w:hAnsi="Tahoma" w:cs="Tahoma"/>
      <w:sz w:val="16"/>
      <w:szCs w:val="16"/>
    </w:rPr>
  </w:style>
  <w:style w:type="character" w:customStyle="1" w:styleId="BalloonTextChar">
    <w:name w:val="Balloon Text Char"/>
    <w:basedOn w:val="DefaultParagraphFont"/>
    <w:link w:val="BalloonText"/>
    <w:uiPriority w:val="99"/>
    <w:semiHidden/>
    <w:rsid w:val="00A234F2"/>
    <w:rPr>
      <w:rFonts w:ascii="Tahoma" w:eastAsiaTheme="minorEastAsia" w:hAnsi="Tahoma" w:cs="Tahoma"/>
      <w:sz w:val="16"/>
      <w:szCs w:val="16"/>
    </w:rPr>
  </w:style>
  <w:style w:type="character" w:styleId="BookTitle">
    <w:name w:val="Book Title"/>
    <w:uiPriority w:val="99"/>
    <w:semiHidden/>
    <w:qFormat/>
    <w:rsid w:val="00A234F2"/>
    <w:rPr>
      <w:i/>
      <w:iCs/>
      <w:smallCaps/>
      <w:spacing w:val="5"/>
    </w:rPr>
  </w:style>
  <w:style w:type="paragraph" w:customStyle="1" w:styleId="ECHRHeader">
    <w:name w:val="ECHR_Header"/>
    <w:aliases w:val="Ju_Header"/>
    <w:basedOn w:val="Header"/>
    <w:uiPriority w:val="4"/>
    <w:qFormat/>
    <w:rsid w:val="00A234F2"/>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A234F2"/>
    <w:pPr>
      <w:jc w:val="left"/>
    </w:pPr>
    <w:rPr>
      <w:sz w:val="8"/>
    </w:rPr>
  </w:style>
  <w:style w:type="character" w:styleId="Strong">
    <w:name w:val="Strong"/>
    <w:uiPriority w:val="99"/>
    <w:semiHidden/>
    <w:qFormat/>
    <w:rsid w:val="00A234F2"/>
    <w:rPr>
      <w:b/>
      <w:bCs/>
    </w:rPr>
  </w:style>
  <w:style w:type="paragraph" w:styleId="NoSpacing">
    <w:name w:val="No Spacing"/>
    <w:basedOn w:val="Normal"/>
    <w:link w:val="NoSpacingChar"/>
    <w:semiHidden/>
    <w:qFormat/>
    <w:rsid w:val="00A234F2"/>
    <w:rPr>
      <w:sz w:val="22"/>
    </w:rPr>
  </w:style>
  <w:style w:type="character" w:customStyle="1" w:styleId="NoSpacingChar">
    <w:name w:val="No Spacing Char"/>
    <w:basedOn w:val="DefaultParagraphFont"/>
    <w:link w:val="NoSpacing"/>
    <w:semiHidden/>
    <w:rsid w:val="00A234F2"/>
    <w:rPr>
      <w:rFonts w:eastAsiaTheme="minorEastAsia"/>
    </w:rPr>
  </w:style>
  <w:style w:type="paragraph" w:customStyle="1" w:styleId="ECHRFooterLine">
    <w:name w:val="ECHR_Footer_Line"/>
    <w:aliases w:val="Footer_Line"/>
    <w:basedOn w:val="Normal"/>
    <w:next w:val="ECHRFooter"/>
    <w:uiPriority w:val="57"/>
    <w:semiHidden/>
    <w:rsid w:val="00A234F2"/>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A234F2"/>
  </w:style>
  <w:style w:type="paragraph" w:customStyle="1" w:styleId="DecList">
    <w:name w:val="Dec_List"/>
    <w:basedOn w:val="Normal"/>
    <w:uiPriority w:val="9"/>
    <w:semiHidden/>
    <w:qFormat/>
    <w:rsid w:val="00A234F2"/>
    <w:pPr>
      <w:spacing w:before="240"/>
      <w:ind w:left="284"/>
    </w:pPr>
  </w:style>
  <w:style w:type="paragraph" w:customStyle="1" w:styleId="DummyStyle">
    <w:name w:val="Dummy_Style"/>
    <w:basedOn w:val="Normal"/>
    <w:semiHidden/>
    <w:qFormat/>
    <w:rsid w:val="00A234F2"/>
    <w:rPr>
      <w:color w:val="00B050"/>
    </w:rPr>
  </w:style>
  <w:style w:type="paragraph" w:customStyle="1" w:styleId="ECHRTitleCentre3">
    <w:name w:val="ECHR_Title_Centre_3"/>
    <w:aliases w:val="Ju_H_Article"/>
    <w:basedOn w:val="Normal"/>
    <w:next w:val="ECHRParaQuote"/>
    <w:uiPriority w:val="27"/>
    <w:qFormat/>
    <w:rsid w:val="00A234F2"/>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Normal"/>
    <w:next w:val="OpiPara"/>
    <w:uiPriority w:val="39"/>
    <w:qFormat/>
    <w:rsid w:val="00A234F2"/>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A234F2"/>
    <w:pPr>
      <w:numPr>
        <w:numId w:val="21"/>
      </w:numPr>
      <w:jc w:val="left"/>
    </w:pPr>
    <w:rPr>
      <w:b/>
    </w:rPr>
  </w:style>
  <w:style w:type="paragraph" w:customStyle="1" w:styleId="JuCourt">
    <w:name w:val="Ju_Court"/>
    <w:basedOn w:val="Normal"/>
    <w:next w:val="Normal"/>
    <w:uiPriority w:val="16"/>
    <w:qFormat/>
    <w:rsid w:val="00A234F2"/>
    <w:pPr>
      <w:tabs>
        <w:tab w:val="left" w:pos="907"/>
        <w:tab w:val="left" w:pos="1701"/>
        <w:tab w:val="right" w:pos="7371"/>
      </w:tabs>
      <w:spacing w:before="240"/>
      <w:ind w:left="397" w:hanging="397"/>
      <w:jc w:val="left"/>
    </w:pPr>
  </w:style>
  <w:style w:type="paragraph" w:customStyle="1" w:styleId="JuHeaderLandscape">
    <w:name w:val="Ju_Header_Landscape"/>
    <w:basedOn w:val="ECHRHeader"/>
    <w:uiPriority w:val="4"/>
    <w:qFormat/>
    <w:rsid w:val="00A234F2"/>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A234F2"/>
    <w:pPr>
      <w:spacing w:after="240"/>
      <w:jc w:val="center"/>
      <w:outlineLvl w:val="0"/>
    </w:pPr>
    <w:rPr>
      <w:rFonts w:asciiTheme="majorHAnsi" w:hAnsiTheme="majorHAnsi"/>
    </w:rPr>
  </w:style>
  <w:style w:type="paragraph" w:customStyle="1" w:styleId="JuInitialled">
    <w:name w:val="Ju_Initialled"/>
    <w:basedOn w:val="Normal"/>
    <w:uiPriority w:val="31"/>
    <w:qFormat/>
    <w:rsid w:val="00A234F2"/>
    <w:pPr>
      <w:tabs>
        <w:tab w:val="center" w:pos="6407"/>
      </w:tabs>
      <w:spacing w:before="720"/>
      <w:jc w:val="right"/>
    </w:pPr>
  </w:style>
  <w:style w:type="paragraph" w:styleId="Title">
    <w:name w:val="Title"/>
    <w:basedOn w:val="Normal"/>
    <w:next w:val="Normal"/>
    <w:link w:val="TitleChar"/>
    <w:uiPriority w:val="99"/>
    <w:semiHidden/>
    <w:qFormat/>
    <w:rsid w:val="00A234F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semiHidden/>
    <w:rsid w:val="00A234F2"/>
    <w:rPr>
      <w:rFonts w:asciiTheme="majorHAnsi" w:eastAsiaTheme="majorEastAsia" w:hAnsiTheme="majorHAnsi" w:cstheme="majorBidi"/>
      <w:spacing w:val="5"/>
      <w:sz w:val="52"/>
      <w:szCs w:val="52"/>
      <w:lang w:bidi="bg-BG"/>
    </w:rPr>
  </w:style>
  <w:style w:type="paragraph" w:customStyle="1" w:styleId="ECHRHeading3">
    <w:name w:val="ECHR_Heading_3"/>
    <w:aliases w:val="Ju_H_1."/>
    <w:basedOn w:val="Heading3"/>
    <w:next w:val="ECHRPara"/>
    <w:uiPriority w:val="21"/>
    <w:qFormat/>
    <w:rsid w:val="00A234F2"/>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A234F2"/>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A234F2"/>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A234F2"/>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A234F2"/>
    <w:pPr>
      <w:keepNext/>
      <w:keepLines/>
      <w:spacing w:before="240" w:after="120"/>
      <w:ind w:left="1236"/>
    </w:pPr>
    <w:rPr>
      <w:sz w:val="20"/>
    </w:rPr>
  </w:style>
  <w:style w:type="character" w:customStyle="1" w:styleId="JuITMark">
    <w:name w:val="Ju_ITMark"/>
    <w:basedOn w:val="DefaultParagraphFont"/>
    <w:uiPriority w:val="38"/>
    <w:qFormat/>
    <w:rsid w:val="00A234F2"/>
    <w:rPr>
      <w:vanish w:val="0"/>
      <w:color w:val="auto"/>
      <w:sz w:val="14"/>
      <w:bdr w:val="none" w:sz="0" w:space="0" w:color="auto"/>
      <w:shd w:val="clear" w:color="auto" w:fill="BEE5FF" w:themeFill="background1" w:themeFillTint="33"/>
    </w:rPr>
  </w:style>
  <w:style w:type="paragraph" w:customStyle="1" w:styleId="JuListi">
    <w:name w:val="Ju_List_i"/>
    <w:basedOn w:val="Normal"/>
    <w:next w:val="JuLista"/>
    <w:uiPriority w:val="28"/>
    <w:qFormat/>
    <w:rsid w:val="00A234F2"/>
    <w:pPr>
      <w:ind w:left="794"/>
    </w:pPr>
  </w:style>
  <w:style w:type="character" w:customStyle="1" w:styleId="JUNAMES">
    <w:name w:val="JU_NAMES"/>
    <w:uiPriority w:val="17"/>
    <w:qFormat/>
    <w:rsid w:val="00A234F2"/>
    <w:rPr>
      <w:caps w:val="0"/>
      <w:smallCaps/>
    </w:rPr>
  </w:style>
  <w:style w:type="paragraph" w:styleId="Header">
    <w:name w:val="header"/>
    <w:basedOn w:val="Normal"/>
    <w:link w:val="HeaderChar"/>
    <w:uiPriority w:val="57"/>
    <w:semiHidden/>
    <w:rsid w:val="00A234F2"/>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A234F2"/>
    <w:rPr>
      <w:sz w:val="24"/>
    </w:rPr>
  </w:style>
  <w:style w:type="character" w:customStyle="1" w:styleId="Heading1Char">
    <w:name w:val="Heading 1 Char"/>
    <w:basedOn w:val="DefaultParagraphFont"/>
    <w:link w:val="Heading1"/>
    <w:uiPriority w:val="99"/>
    <w:semiHidden/>
    <w:rsid w:val="00A234F2"/>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A234F2"/>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A234F2"/>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A234F2"/>
    <w:rPr>
      <w:rFonts w:asciiTheme="majorHAnsi" w:eastAsiaTheme="majorEastAsia" w:hAnsiTheme="majorHAnsi" w:cstheme="majorBidi"/>
      <w:b/>
      <w:bCs/>
      <w:color w:val="4D4D4D"/>
      <w:sz w:val="26"/>
      <w:szCs w:val="26"/>
    </w:rPr>
  </w:style>
  <w:style w:type="paragraph" w:customStyle="1" w:styleId="JuParaSub">
    <w:name w:val="Ju_Para_Sub"/>
    <w:basedOn w:val="ECHRPara"/>
    <w:uiPriority w:val="13"/>
    <w:qFormat/>
    <w:rsid w:val="00A234F2"/>
    <w:pPr>
      <w:ind w:left="284"/>
    </w:pPr>
  </w:style>
  <w:style w:type="paragraph" w:customStyle="1" w:styleId="JuCase">
    <w:name w:val="Ju_Case"/>
    <w:basedOn w:val="Normal"/>
    <w:next w:val="ECHRPara"/>
    <w:uiPriority w:val="10"/>
    <w:rsid w:val="00A234F2"/>
    <w:pPr>
      <w:ind w:firstLine="284"/>
    </w:pPr>
    <w:rPr>
      <w:b/>
    </w:rPr>
  </w:style>
  <w:style w:type="character" w:customStyle="1" w:styleId="Heading3Char">
    <w:name w:val="Heading 3 Char"/>
    <w:basedOn w:val="DefaultParagraphFont"/>
    <w:link w:val="Heading3"/>
    <w:uiPriority w:val="99"/>
    <w:semiHidden/>
    <w:rsid w:val="00A234F2"/>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A234F2"/>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A234F2"/>
    <w:rPr>
      <w:rFonts w:asciiTheme="majorHAnsi" w:eastAsiaTheme="majorEastAsia" w:hAnsiTheme="majorHAnsi" w:cstheme="majorBidi"/>
      <w:b/>
      <w:bCs/>
      <w:color w:val="808080"/>
    </w:rPr>
  </w:style>
  <w:style w:type="character" w:styleId="SubtleEmphasis">
    <w:name w:val="Subtle Emphasis"/>
    <w:uiPriority w:val="99"/>
    <w:semiHidden/>
    <w:qFormat/>
    <w:rsid w:val="00A234F2"/>
    <w:rPr>
      <w:i/>
      <w:iCs/>
    </w:rPr>
  </w:style>
  <w:style w:type="table" w:customStyle="1" w:styleId="ECHRTable">
    <w:name w:val="ECHR_Table"/>
    <w:basedOn w:val="TableNormal"/>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A234F2"/>
    <w:pPr>
      <w:keepNext/>
      <w:keepLines/>
      <w:spacing w:before="720" w:after="240"/>
      <w:outlineLvl w:val="0"/>
    </w:pPr>
    <w:rPr>
      <w:rFonts w:asciiTheme="majorHAnsi" w:hAnsiTheme="majorHAnsi"/>
      <w:sz w:val="28"/>
    </w:rPr>
  </w:style>
  <w:style w:type="character" w:styleId="Emphasis">
    <w:name w:val="Emphasis"/>
    <w:uiPriority w:val="99"/>
    <w:semiHidden/>
    <w:qFormat/>
    <w:rsid w:val="00A234F2"/>
    <w:rPr>
      <w:b/>
      <w:bCs/>
      <w:i/>
      <w:iCs/>
      <w:spacing w:val="10"/>
      <w:bdr w:val="none" w:sz="0" w:space="0" w:color="auto"/>
      <w:shd w:val="clear" w:color="auto" w:fill="auto"/>
    </w:rPr>
  </w:style>
  <w:style w:type="paragraph" w:styleId="Footer">
    <w:name w:val="footer"/>
    <w:basedOn w:val="Normal"/>
    <w:link w:val="FooterChar"/>
    <w:uiPriority w:val="57"/>
    <w:semiHidden/>
    <w:rsid w:val="00A234F2"/>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A234F2"/>
    <w:rPr>
      <w:sz w:val="24"/>
    </w:rPr>
  </w:style>
  <w:style w:type="character" w:styleId="FootnoteReference">
    <w:name w:val="footnote reference"/>
    <w:basedOn w:val="DefaultParagraphFont"/>
    <w:uiPriority w:val="99"/>
    <w:semiHidden/>
    <w:rsid w:val="00A234F2"/>
    <w:rPr>
      <w:vertAlign w:val="superscript"/>
    </w:rPr>
  </w:style>
  <w:style w:type="paragraph" w:styleId="FootnoteText">
    <w:name w:val="footnote text"/>
    <w:basedOn w:val="Normal"/>
    <w:link w:val="FootnoteTextChar"/>
    <w:uiPriority w:val="99"/>
    <w:semiHidden/>
    <w:rsid w:val="00A234F2"/>
    <w:rPr>
      <w:sz w:val="20"/>
      <w:szCs w:val="20"/>
    </w:rPr>
  </w:style>
  <w:style w:type="character" w:customStyle="1" w:styleId="FootnoteTextChar">
    <w:name w:val="Footnote Text Char"/>
    <w:basedOn w:val="DefaultParagraphFont"/>
    <w:link w:val="FootnoteText"/>
    <w:uiPriority w:val="99"/>
    <w:semiHidden/>
    <w:rsid w:val="00A234F2"/>
    <w:rPr>
      <w:rFonts w:eastAsiaTheme="minorEastAsia"/>
      <w:sz w:val="20"/>
      <w:szCs w:val="20"/>
    </w:rPr>
  </w:style>
  <w:style w:type="character" w:customStyle="1" w:styleId="Heading6Char">
    <w:name w:val="Heading 6 Char"/>
    <w:basedOn w:val="DefaultParagraphFont"/>
    <w:link w:val="Heading6"/>
    <w:uiPriority w:val="99"/>
    <w:semiHidden/>
    <w:rsid w:val="00A234F2"/>
    <w:rPr>
      <w:rFonts w:asciiTheme="majorHAnsi" w:eastAsiaTheme="majorEastAsia" w:hAnsiTheme="majorHAnsi" w:cstheme="majorBidi"/>
      <w:b/>
      <w:bCs/>
      <w:i/>
      <w:iCs/>
      <w:color w:val="7F7F7F" w:themeColor="text1" w:themeTint="80"/>
      <w:sz w:val="24"/>
      <w:lang w:bidi="bg-BG"/>
    </w:rPr>
  </w:style>
  <w:style w:type="character" w:customStyle="1" w:styleId="Heading7Char">
    <w:name w:val="Heading 7 Char"/>
    <w:basedOn w:val="DefaultParagraphFont"/>
    <w:link w:val="Heading7"/>
    <w:uiPriority w:val="99"/>
    <w:semiHidden/>
    <w:rsid w:val="00A234F2"/>
    <w:rPr>
      <w:rFonts w:asciiTheme="majorHAnsi" w:eastAsiaTheme="majorEastAsia" w:hAnsiTheme="majorHAnsi" w:cstheme="majorBidi"/>
      <w:i/>
      <w:iCs/>
      <w:lang w:bidi="bg-BG"/>
    </w:rPr>
  </w:style>
  <w:style w:type="character" w:customStyle="1" w:styleId="Heading8Char">
    <w:name w:val="Heading 8 Char"/>
    <w:basedOn w:val="DefaultParagraphFont"/>
    <w:link w:val="Heading8"/>
    <w:uiPriority w:val="99"/>
    <w:semiHidden/>
    <w:rsid w:val="00A234F2"/>
    <w:rPr>
      <w:rFonts w:asciiTheme="majorHAnsi" w:eastAsiaTheme="majorEastAsia" w:hAnsiTheme="majorHAnsi" w:cstheme="majorBidi"/>
      <w:sz w:val="20"/>
      <w:szCs w:val="20"/>
      <w:lang w:bidi="bg-BG"/>
    </w:rPr>
  </w:style>
  <w:style w:type="character" w:customStyle="1" w:styleId="Heading9Char">
    <w:name w:val="Heading 9 Char"/>
    <w:basedOn w:val="DefaultParagraphFont"/>
    <w:link w:val="Heading9"/>
    <w:uiPriority w:val="99"/>
    <w:semiHidden/>
    <w:rsid w:val="00A234F2"/>
    <w:rPr>
      <w:rFonts w:asciiTheme="majorHAnsi" w:eastAsiaTheme="majorEastAsia" w:hAnsiTheme="majorHAnsi" w:cstheme="majorBidi"/>
      <w:i/>
      <w:iCs/>
      <w:spacing w:val="5"/>
      <w:sz w:val="20"/>
      <w:szCs w:val="20"/>
      <w:lang w:bidi="bg-BG"/>
    </w:rPr>
  </w:style>
  <w:style w:type="character" w:styleId="Hyperlink">
    <w:name w:val="Hyperlink"/>
    <w:basedOn w:val="DefaultParagraphFont"/>
    <w:uiPriority w:val="99"/>
    <w:semiHidden/>
    <w:rsid w:val="00A234F2"/>
    <w:rPr>
      <w:color w:val="0072BC" w:themeColor="hyperlink"/>
      <w:u w:val="single"/>
    </w:rPr>
  </w:style>
  <w:style w:type="character" w:styleId="IntenseEmphasis">
    <w:name w:val="Intense Emphasis"/>
    <w:uiPriority w:val="99"/>
    <w:semiHidden/>
    <w:qFormat/>
    <w:rsid w:val="00A234F2"/>
    <w:rPr>
      <w:b/>
      <w:bCs/>
    </w:rPr>
  </w:style>
  <w:style w:type="paragraph" w:styleId="IntenseQuote">
    <w:name w:val="Intense Quote"/>
    <w:basedOn w:val="Normal"/>
    <w:next w:val="Normal"/>
    <w:link w:val="IntenseQuoteChar"/>
    <w:uiPriority w:val="99"/>
    <w:semiHidden/>
    <w:qFormat/>
    <w:rsid w:val="00A234F2"/>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semiHidden/>
    <w:rsid w:val="00A234F2"/>
    <w:rPr>
      <w:rFonts w:eastAsiaTheme="minorEastAsia"/>
      <w:b/>
      <w:bCs/>
      <w:i/>
      <w:iCs/>
      <w:lang w:bidi="bg-BG"/>
    </w:rPr>
  </w:style>
  <w:style w:type="character" w:styleId="IntenseReference">
    <w:name w:val="Intense Reference"/>
    <w:uiPriority w:val="99"/>
    <w:semiHidden/>
    <w:qFormat/>
    <w:rsid w:val="00A234F2"/>
    <w:rPr>
      <w:smallCaps/>
      <w:spacing w:val="5"/>
      <w:u w:val="single"/>
    </w:rPr>
  </w:style>
  <w:style w:type="paragraph" w:styleId="ListParagraph">
    <w:name w:val="List Paragraph"/>
    <w:basedOn w:val="Normal"/>
    <w:uiPriority w:val="99"/>
    <w:semiHidden/>
    <w:qFormat/>
    <w:rsid w:val="00A234F2"/>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A234F2"/>
    <w:pPr>
      <w:spacing w:before="200"/>
      <w:ind w:left="360" w:right="360"/>
    </w:pPr>
    <w:rPr>
      <w:i/>
      <w:iCs/>
      <w:sz w:val="22"/>
    </w:rPr>
  </w:style>
  <w:style w:type="character" w:customStyle="1" w:styleId="QuoteChar">
    <w:name w:val="Quote Char"/>
    <w:basedOn w:val="DefaultParagraphFont"/>
    <w:link w:val="Quote"/>
    <w:uiPriority w:val="99"/>
    <w:semiHidden/>
    <w:rsid w:val="00A234F2"/>
    <w:rPr>
      <w:rFonts w:eastAsiaTheme="minorEastAsia"/>
      <w:i/>
      <w:iCs/>
      <w:lang w:bidi="bg-BG"/>
    </w:rPr>
  </w:style>
  <w:style w:type="character" w:styleId="SubtleReference">
    <w:name w:val="Subtle Reference"/>
    <w:uiPriority w:val="99"/>
    <w:semiHidden/>
    <w:qFormat/>
    <w:rsid w:val="00A234F2"/>
    <w:rPr>
      <w:smallCaps/>
    </w:rPr>
  </w:style>
  <w:style w:type="table" w:styleId="TableGrid">
    <w:name w:val="Table Grid"/>
    <w:basedOn w:val="TableNormal"/>
    <w:uiPriority w:val="59"/>
    <w:semiHidden/>
    <w:rsid w:val="00A234F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A234F2"/>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A234F2"/>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A234F2"/>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A234F2"/>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A234F2"/>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A234F2"/>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A234F2"/>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A234F2"/>
    <w:pPr>
      <w:spacing w:before="120" w:after="120"/>
      <w:ind w:left="425" w:firstLine="142"/>
    </w:pPr>
    <w:rPr>
      <w:sz w:val="20"/>
    </w:rPr>
  </w:style>
  <w:style w:type="paragraph" w:customStyle="1" w:styleId="ECHRPara">
    <w:name w:val="ECHR_Para"/>
    <w:aliases w:val="Ju_Para"/>
    <w:basedOn w:val="Normal"/>
    <w:link w:val="ECHRParaChar"/>
    <w:uiPriority w:val="12"/>
    <w:qFormat/>
    <w:rsid w:val="00A234F2"/>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A234F2"/>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A234F2"/>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A234F2"/>
    <w:pPr>
      <w:ind w:left="340" w:hanging="340"/>
    </w:pPr>
  </w:style>
  <w:style w:type="paragraph" w:customStyle="1" w:styleId="JuSigned">
    <w:name w:val="Ju_Signed"/>
    <w:basedOn w:val="Normal"/>
    <w:next w:val="JuParaLast"/>
    <w:uiPriority w:val="32"/>
    <w:qFormat/>
    <w:rsid w:val="00A234F2"/>
    <w:pPr>
      <w:tabs>
        <w:tab w:val="center" w:pos="851"/>
        <w:tab w:val="center" w:pos="6407"/>
      </w:tabs>
      <w:spacing w:before="720"/>
      <w:jc w:val="left"/>
    </w:pPr>
  </w:style>
  <w:style w:type="paragraph" w:customStyle="1" w:styleId="JuParaLast">
    <w:name w:val="Ju_Para_Last"/>
    <w:basedOn w:val="Normal"/>
    <w:next w:val="ECHRPara"/>
    <w:uiPriority w:val="30"/>
    <w:qFormat/>
    <w:rsid w:val="00A234F2"/>
    <w:pPr>
      <w:keepNext/>
      <w:keepLines/>
      <w:spacing w:before="240"/>
      <w:ind w:firstLine="284"/>
    </w:pPr>
  </w:style>
  <w:style w:type="paragraph" w:customStyle="1" w:styleId="JuQuotSub">
    <w:name w:val="Ju_Quot_Sub"/>
    <w:basedOn w:val="ECHRParaQuote"/>
    <w:uiPriority w:val="15"/>
    <w:qFormat/>
    <w:rsid w:val="00A234F2"/>
    <w:pPr>
      <w:ind w:left="567"/>
    </w:p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A234F2"/>
    <w:pPr>
      <w:ind w:left="346" w:firstLine="0"/>
    </w:pPr>
  </w:style>
  <w:style w:type="paragraph" w:customStyle="1" w:styleId="JuTitle">
    <w:name w:val="Ju_Title"/>
    <w:basedOn w:val="Normal"/>
    <w:next w:val="ECHRPara"/>
    <w:uiPriority w:val="3"/>
    <w:semiHidden/>
    <w:qFormat/>
    <w:rsid w:val="00A234F2"/>
    <w:pPr>
      <w:spacing w:before="720" w:after="240"/>
      <w:jc w:val="center"/>
      <w:outlineLvl w:val="0"/>
    </w:pPr>
    <w:rPr>
      <w:rFonts w:asciiTheme="majorHAnsi" w:hAnsiTheme="majorHAnsi"/>
      <w:b/>
      <w:caps/>
    </w:r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H1">
    <w:name w:val="Opi_H_1"/>
    <w:basedOn w:val="ECHRHeading2"/>
    <w:uiPriority w:val="42"/>
    <w:qFormat/>
    <w:rsid w:val="00A234F2"/>
    <w:pPr>
      <w:ind w:left="635" w:hanging="357"/>
      <w:outlineLvl w:val="2"/>
    </w:pPr>
  </w:style>
  <w:style w:type="paragraph" w:styleId="ListBullet">
    <w:name w:val="List Bullet"/>
    <w:basedOn w:val="Normal"/>
    <w:uiPriority w:val="99"/>
    <w:semiHidden/>
    <w:rsid w:val="00014566"/>
    <w:pPr>
      <w:numPr>
        <w:numId w:val="1"/>
      </w:numPr>
    </w:pPr>
  </w:style>
  <w:style w:type="paragraph" w:customStyle="1" w:styleId="OpiHa">
    <w:name w:val="Opi_H_a"/>
    <w:basedOn w:val="ECHRHeading3"/>
    <w:uiPriority w:val="43"/>
    <w:qFormat/>
    <w:rsid w:val="00A234F2"/>
    <w:pPr>
      <w:ind w:left="833" w:hanging="357"/>
      <w:outlineLvl w:val="3"/>
    </w:pPr>
    <w:rPr>
      <w:b/>
      <w:i w:val="0"/>
      <w:sz w:val="20"/>
    </w:rPr>
  </w:style>
  <w:style w:type="paragraph" w:styleId="Subtitle">
    <w:name w:val="Subtitle"/>
    <w:basedOn w:val="Normal"/>
    <w:next w:val="Normal"/>
    <w:link w:val="SubtitleChar"/>
    <w:uiPriority w:val="99"/>
    <w:semiHidden/>
    <w:qFormat/>
    <w:rsid w:val="00A234F2"/>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99"/>
    <w:semiHidden/>
    <w:rsid w:val="00A234F2"/>
    <w:rPr>
      <w:rFonts w:asciiTheme="majorHAnsi" w:eastAsiaTheme="majorEastAsia" w:hAnsiTheme="majorHAnsi" w:cstheme="majorBidi"/>
      <w:i/>
      <w:iCs/>
      <w:spacing w:val="13"/>
      <w:sz w:val="24"/>
      <w:szCs w:val="24"/>
      <w:lang w:bidi="bg-BG"/>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A234F2"/>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A234F2"/>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A234F2"/>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HA0">
    <w:name w:val="Opi_H_A"/>
    <w:basedOn w:val="ECHRHeading1"/>
    <w:next w:val="OpiPara"/>
    <w:uiPriority w:val="41"/>
    <w:qFormat/>
    <w:rsid w:val="00A234F2"/>
    <w:pPr>
      <w:tabs>
        <w:tab w:val="clear" w:pos="357"/>
      </w:tabs>
      <w:outlineLvl w:val="1"/>
    </w:pPr>
    <w:rPr>
      <w:b/>
    </w:rPr>
  </w:style>
  <w:style w:type="paragraph" w:customStyle="1" w:styleId="OpiHi">
    <w:name w:val="Opi_H_i"/>
    <w:basedOn w:val="ECHRHeading4"/>
    <w:uiPriority w:val="44"/>
    <w:qFormat/>
    <w:rsid w:val="00A234F2"/>
    <w:pPr>
      <w:ind w:left="1037" w:hanging="357"/>
      <w:outlineLvl w:val="4"/>
    </w:pPr>
    <w:rPr>
      <w:b w:val="0"/>
      <w:i/>
    </w:rPr>
  </w:style>
  <w:style w:type="paragraph" w:customStyle="1" w:styleId="OpiPara">
    <w:name w:val="Opi_Para"/>
    <w:basedOn w:val="ECHRPara"/>
    <w:uiPriority w:val="46"/>
    <w:qFormat/>
    <w:rsid w:val="00A234F2"/>
  </w:style>
  <w:style w:type="paragraph" w:customStyle="1" w:styleId="OpiParaSub">
    <w:name w:val="Opi_Para_Sub"/>
    <w:basedOn w:val="JuParaSub"/>
    <w:uiPriority w:val="47"/>
    <w:qFormat/>
    <w:rsid w:val="00A234F2"/>
  </w:style>
  <w:style w:type="paragraph" w:customStyle="1" w:styleId="OpiQuot">
    <w:name w:val="Opi_Quot"/>
    <w:basedOn w:val="ECHRParaQuote"/>
    <w:uiPriority w:val="48"/>
    <w:qFormat/>
    <w:rsid w:val="00A234F2"/>
  </w:style>
  <w:style w:type="paragraph" w:customStyle="1" w:styleId="OpiQuotSub">
    <w:name w:val="Opi_Quot_Sub"/>
    <w:basedOn w:val="JuQuotSub"/>
    <w:uiPriority w:val="49"/>
    <w:qFormat/>
    <w:rsid w:val="00A234F2"/>
  </w:style>
  <w:style w:type="paragraph" w:customStyle="1" w:styleId="OpiTranslation">
    <w:name w:val="Opi_Translation"/>
    <w:basedOn w:val="Normal"/>
    <w:next w:val="OpiPara"/>
    <w:uiPriority w:val="40"/>
    <w:qFormat/>
    <w:rsid w:val="00A234F2"/>
    <w:pPr>
      <w:jc w:val="center"/>
      <w:outlineLvl w:val="0"/>
    </w:pPr>
    <w:rPr>
      <w:i/>
    </w:rPr>
  </w:style>
  <w:style w:type="character" w:customStyle="1" w:styleId="ECHRParaChar">
    <w:name w:val="ECHR_Para Char"/>
    <w:aliases w:val="Ju_Para Char"/>
    <w:link w:val="ECHRPara"/>
    <w:uiPriority w:val="12"/>
    <w:rsid w:val="00FD3B98"/>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1193612753">
      <w:bodyDiv w:val="1"/>
      <w:marLeft w:val="0"/>
      <w:marRight w:val="0"/>
      <w:marTop w:val="0"/>
      <w:marBottom w:val="0"/>
      <w:divBdr>
        <w:top w:val="none" w:sz="0" w:space="0" w:color="auto"/>
        <w:left w:val="none" w:sz="0" w:space="0" w:color="auto"/>
        <w:bottom w:val="none" w:sz="0" w:space="0" w:color="auto"/>
        <w:right w:val="none" w:sz="0" w:space="0" w:color="auto"/>
      </w:divBdr>
      <w:divsChild>
        <w:div w:id="692153910">
          <w:marLeft w:val="0"/>
          <w:marRight w:val="0"/>
          <w:marTop w:val="0"/>
          <w:marBottom w:val="0"/>
          <w:divBdr>
            <w:top w:val="none" w:sz="0" w:space="0" w:color="auto"/>
            <w:left w:val="none" w:sz="0" w:space="0" w:color="auto"/>
            <w:bottom w:val="none" w:sz="0" w:space="0" w:color="auto"/>
            <w:right w:val="none" w:sz="0" w:space="0" w:color="auto"/>
          </w:divBdr>
          <w:divsChild>
            <w:div w:id="403723651">
              <w:marLeft w:val="0"/>
              <w:marRight w:val="0"/>
              <w:marTop w:val="0"/>
              <w:marBottom w:val="0"/>
              <w:divBdr>
                <w:top w:val="none" w:sz="0" w:space="0" w:color="auto"/>
                <w:left w:val="none" w:sz="0" w:space="0" w:color="auto"/>
                <w:bottom w:val="none" w:sz="0" w:space="0" w:color="auto"/>
                <w:right w:val="none" w:sz="0" w:space="0" w:color="auto"/>
              </w:divBdr>
              <w:divsChild>
                <w:div w:id="994796084">
                  <w:marLeft w:val="0"/>
                  <w:marRight w:val="0"/>
                  <w:marTop w:val="0"/>
                  <w:marBottom w:val="0"/>
                  <w:divBdr>
                    <w:top w:val="none" w:sz="0" w:space="0" w:color="auto"/>
                    <w:left w:val="none" w:sz="0" w:space="0" w:color="auto"/>
                    <w:bottom w:val="none" w:sz="0" w:space="0" w:color="auto"/>
                    <w:right w:val="none" w:sz="0" w:space="0" w:color="auto"/>
                  </w:divBdr>
                  <w:divsChild>
                    <w:div w:id="178276455">
                      <w:marLeft w:val="0"/>
                      <w:marRight w:val="0"/>
                      <w:marTop w:val="0"/>
                      <w:marBottom w:val="0"/>
                      <w:divBdr>
                        <w:top w:val="none" w:sz="0" w:space="0" w:color="auto"/>
                        <w:left w:val="none" w:sz="0" w:space="0" w:color="auto"/>
                        <w:bottom w:val="none" w:sz="0" w:space="0" w:color="auto"/>
                        <w:right w:val="none" w:sz="0" w:space="0" w:color="auto"/>
                      </w:divBdr>
                      <w:divsChild>
                        <w:div w:id="1449159357">
                          <w:marLeft w:val="0"/>
                          <w:marRight w:val="0"/>
                          <w:marTop w:val="0"/>
                          <w:marBottom w:val="0"/>
                          <w:divBdr>
                            <w:top w:val="none" w:sz="0" w:space="0" w:color="auto"/>
                            <w:left w:val="none" w:sz="0" w:space="0" w:color="auto"/>
                            <w:bottom w:val="none" w:sz="0" w:space="0" w:color="auto"/>
                            <w:right w:val="none" w:sz="0" w:space="0" w:color="auto"/>
                          </w:divBdr>
                          <w:divsChild>
                            <w:div w:id="17594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070112">
      <w:bodyDiv w:val="1"/>
      <w:marLeft w:val="0"/>
      <w:marRight w:val="0"/>
      <w:marTop w:val="0"/>
      <w:marBottom w:val="0"/>
      <w:divBdr>
        <w:top w:val="none" w:sz="0" w:space="0" w:color="auto"/>
        <w:left w:val="none" w:sz="0" w:space="0" w:color="auto"/>
        <w:bottom w:val="none" w:sz="0" w:space="0" w:color="auto"/>
        <w:right w:val="none" w:sz="0" w:space="0" w:color="auto"/>
      </w:divBdr>
      <w:divsChild>
        <w:div w:id="1908414061">
          <w:marLeft w:val="0"/>
          <w:marRight w:val="0"/>
          <w:marTop w:val="0"/>
          <w:marBottom w:val="0"/>
          <w:divBdr>
            <w:top w:val="none" w:sz="0" w:space="0" w:color="auto"/>
            <w:left w:val="none" w:sz="0" w:space="0" w:color="auto"/>
            <w:bottom w:val="none" w:sz="0" w:space="0" w:color="auto"/>
            <w:right w:val="none" w:sz="0" w:space="0" w:color="auto"/>
          </w:divBdr>
          <w:divsChild>
            <w:div w:id="1239361808">
              <w:marLeft w:val="0"/>
              <w:marRight w:val="0"/>
              <w:marTop w:val="0"/>
              <w:marBottom w:val="0"/>
              <w:divBdr>
                <w:top w:val="none" w:sz="0" w:space="0" w:color="auto"/>
                <w:left w:val="none" w:sz="0" w:space="0" w:color="auto"/>
                <w:bottom w:val="none" w:sz="0" w:space="0" w:color="auto"/>
                <w:right w:val="none" w:sz="0" w:space="0" w:color="auto"/>
              </w:divBdr>
              <w:divsChild>
                <w:div w:id="2101368313">
                  <w:marLeft w:val="0"/>
                  <w:marRight w:val="0"/>
                  <w:marTop w:val="0"/>
                  <w:marBottom w:val="0"/>
                  <w:divBdr>
                    <w:top w:val="none" w:sz="0" w:space="0" w:color="auto"/>
                    <w:left w:val="none" w:sz="0" w:space="0" w:color="auto"/>
                    <w:bottom w:val="none" w:sz="0" w:space="0" w:color="auto"/>
                    <w:right w:val="none" w:sz="0" w:space="0" w:color="auto"/>
                  </w:divBdr>
                  <w:divsChild>
                    <w:div w:id="1126661829">
                      <w:marLeft w:val="0"/>
                      <w:marRight w:val="0"/>
                      <w:marTop w:val="0"/>
                      <w:marBottom w:val="0"/>
                      <w:divBdr>
                        <w:top w:val="none" w:sz="0" w:space="0" w:color="auto"/>
                        <w:left w:val="none" w:sz="0" w:space="0" w:color="auto"/>
                        <w:bottom w:val="none" w:sz="0" w:space="0" w:color="auto"/>
                        <w:right w:val="none" w:sz="0" w:space="0" w:color="auto"/>
                      </w:divBdr>
                      <w:divsChild>
                        <w:div w:id="74324355">
                          <w:marLeft w:val="0"/>
                          <w:marRight w:val="0"/>
                          <w:marTop w:val="0"/>
                          <w:marBottom w:val="0"/>
                          <w:divBdr>
                            <w:top w:val="none" w:sz="0" w:space="0" w:color="auto"/>
                            <w:left w:val="none" w:sz="0" w:space="0" w:color="auto"/>
                            <w:bottom w:val="none" w:sz="0" w:space="0" w:color="auto"/>
                            <w:right w:val="none" w:sz="0" w:space="0" w:color="auto"/>
                          </w:divBdr>
                          <w:divsChild>
                            <w:div w:id="6029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2391</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2017-07-25T08:48:00Z</dcterms:created>
  <dcterms:modified xsi:type="dcterms:W3CDTF">2017-07-25T08:48:00Z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