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39" w:rsidRPr="00792437" w:rsidRDefault="00C27D39" w:rsidP="00C27D39">
      <w:pPr>
        <w:jc w:val="center"/>
      </w:pPr>
      <w:bookmarkStart w:id="0" w:name="_GoBack"/>
      <w:bookmarkEnd w:id="0"/>
    </w:p>
    <w:p w:rsidR="00C27D39" w:rsidRPr="00792437" w:rsidRDefault="00C27D39" w:rsidP="00C27D39">
      <w:pPr>
        <w:jc w:val="center"/>
        <w:rPr>
          <w:sz w:val="4"/>
          <w:szCs w:val="4"/>
        </w:rPr>
      </w:pPr>
    </w:p>
    <w:p w:rsidR="00C27D39" w:rsidRDefault="00C27D39" w:rsidP="00C27D39">
      <w:pPr>
        <w:pStyle w:val="DecHTitle"/>
      </w:pPr>
      <w:r w:rsidRPr="004E76CC">
        <w:t>ПЕТО ОТДЕЛЕНИЕ</w:t>
      </w:r>
    </w:p>
    <w:p w:rsidR="00614C4D" w:rsidRPr="004E76CC" w:rsidRDefault="00614C4D" w:rsidP="00C27D39">
      <w:pPr>
        <w:pStyle w:val="DecHTitle"/>
      </w:pPr>
    </w:p>
    <w:p w:rsidR="00614C4D" w:rsidRPr="0008273D" w:rsidRDefault="00614C4D" w:rsidP="00614C4D">
      <w:pPr>
        <w:pStyle w:val="ECHRTitleCentre2"/>
        <w:rPr>
          <w:b/>
        </w:rPr>
      </w:pPr>
      <w:proofErr w:type="spellStart"/>
      <w:r w:rsidRPr="0008273D">
        <w:rPr>
          <w:b/>
        </w:rPr>
        <w:t>Джок</w:t>
      </w:r>
      <w:proofErr w:type="spellEnd"/>
      <w:r w:rsidRPr="0008273D">
        <w:rPr>
          <w:b/>
        </w:rPr>
        <w:t xml:space="preserve"> Антъни ПОЛФРИЙМАН</w:t>
      </w:r>
      <w:r w:rsidRPr="0008273D">
        <w:rPr>
          <w:b/>
        </w:rPr>
        <w:br/>
        <w:t>срещу БЪЛГАРИЯ</w:t>
      </w:r>
    </w:p>
    <w:p w:rsidR="00C27D39" w:rsidRDefault="00614C4D" w:rsidP="00614C4D">
      <w:pPr>
        <w:pStyle w:val="ECHRTitleCentre2"/>
      </w:pPr>
      <w:r w:rsidRPr="004E76CC" w:rsidDel="00614C4D">
        <w:t xml:space="preserve"> </w:t>
      </w:r>
      <w:r w:rsidRPr="0008273D">
        <w:rPr>
          <w:i/>
        </w:rPr>
        <w:t>(</w:t>
      </w:r>
      <w:r w:rsidR="00C27D39" w:rsidRPr="0008273D">
        <w:rPr>
          <w:i/>
        </w:rPr>
        <w:t xml:space="preserve">Жалба </w:t>
      </w:r>
      <w:r w:rsidR="00C27D39" w:rsidRPr="0008273D">
        <w:rPr>
          <w:i/>
          <w:cs/>
        </w:rPr>
        <w:t xml:space="preserve">№ </w:t>
      </w:r>
      <w:r w:rsidR="00C27D39" w:rsidRPr="0008273D">
        <w:rPr>
          <w:i/>
        </w:rPr>
        <w:t>59779/14</w:t>
      </w:r>
      <w:r w:rsidRPr="0008273D">
        <w:rPr>
          <w:i/>
        </w:rPr>
        <w:t>)</w:t>
      </w:r>
      <w:r w:rsidR="00C27D39" w:rsidRPr="004E76CC">
        <w:br/>
      </w:r>
    </w:p>
    <w:p w:rsidR="00614C4D" w:rsidRDefault="00614C4D" w:rsidP="0008273D">
      <w:pPr>
        <w:pStyle w:val="ECHRPara"/>
      </w:pPr>
    </w:p>
    <w:p w:rsidR="00614C4D" w:rsidRPr="00871150" w:rsidRDefault="00614C4D" w:rsidP="00614C4D">
      <w:pPr>
        <w:pStyle w:val="DecHTitle"/>
      </w:pPr>
      <w:r w:rsidRPr="004E76CC">
        <w:t>РЕШЕНИЕ</w:t>
      </w:r>
      <w:r w:rsidR="003D7FBA">
        <w:rPr>
          <w:rStyle w:val="FootnoteReference"/>
        </w:rPr>
        <w:footnoteReference w:id="1"/>
      </w:r>
    </w:p>
    <w:p w:rsidR="00614C4D" w:rsidRDefault="00614C4D" w:rsidP="0008273D">
      <w:pPr>
        <w:pStyle w:val="ECHRPara"/>
      </w:pPr>
    </w:p>
    <w:p w:rsidR="00C27D39" w:rsidRPr="004E76CC" w:rsidRDefault="00C27D39" w:rsidP="00C27D39">
      <w:pPr>
        <w:pStyle w:val="ECHRPara"/>
      </w:pPr>
      <w:r w:rsidRPr="004E76CC">
        <w:t xml:space="preserve">Европейският съд по правата на човека (Пето отделение),заседаващ на 16 май 2017 г. </w:t>
      </w:r>
      <w:r w:rsidR="003F7761" w:rsidRPr="004E76CC">
        <w:t xml:space="preserve">като </w:t>
      </w:r>
      <w:r w:rsidRPr="004E76CC">
        <w:t xml:space="preserve">камара </w:t>
      </w:r>
      <w:r w:rsidR="003F7761" w:rsidRPr="004E76CC">
        <w:t xml:space="preserve">в </w:t>
      </w:r>
      <w:r w:rsidRPr="004E76CC">
        <w:t>съст</w:t>
      </w:r>
      <w:r w:rsidR="003F7761" w:rsidRPr="004E76CC">
        <w:t>ав</w:t>
      </w:r>
      <w:r w:rsidRPr="004E76CC">
        <w:t>:</w:t>
      </w:r>
    </w:p>
    <w:p w:rsidR="00C27D39" w:rsidRPr="004E76CC" w:rsidRDefault="00C27D39" w:rsidP="00C27D39">
      <w:pPr>
        <w:pStyle w:val="ECHRDecisionBody"/>
      </w:pPr>
      <w:r w:rsidRPr="004E76CC">
        <w:tab/>
      </w:r>
      <w:proofErr w:type="spellStart"/>
      <w:r w:rsidRPr="004E76CC">
        <w:t>Ангелика</w:t>
      </w:r>
      <w:proofErr w:type="spellEnd"/>
      <w:r w:rsidRPr="004E76CC">
        <w:t xml:space="preserve"> </w:t>
      </w:r>
      <w:proofErr w:type="spellStart"/>
      <w:r w:rsidRPr="004E76CC">
        <w:t>Нусбергер</w:t>
      </w:r>
      <w:proofErr w:type="spellEnd"/>
      <w:r w:rsidRPr="004E76CC">
        <w:t xml:space="preserve"> (</w:t>
      </w:r>
      <w:proofErr w:type="spellStart"/>
      <w:r w:rsidRPr="004E76CC">
        <w:t>Angelika</w:t>
      </w:r>
      <w:proofErr w:type="spellEnd"/>
      <w:r w:rsidRPr="004E76CC">
        <w:t xml:space="preserve"> </w:t>
      </w:r>
      <w:proofErr w:type="spellStart"/>
      <w:r w:rsidRPr="004E76CC">
        <w:t>Nußberger</w:t>
      </w:r>
      <w:proofErr w:type="spellEnd"/>
      <w:r w:rsidRPr="004E76CC">
        <w:t xml:space="preserve">), </w:t>
      </w:r>
      <w:r w:rsidRPr="004E76CC">
        <w:rPr>
          <w:i/>
        </w:rPr>
        <w:t>председател</w:t>
      </w:r>
      <w:r w:rsidRPr="004E76CC">
        <w:t>,</w:t>
      </w:r>
      <w:r w:rsidRPr="004E76CC">
        <w:br/>
      </w:r>
      <w:r w:rsidRPr="004E76CC">
        <w:tab/>
        <w:t xml:space="preserve">Гана </w:t>
      </w:r>
      <w:proofErr w:type="spellStart"/>
      <w:r w:rsidRPr="004E76CC">
        <w:t>Юдкивска</w:t>
      </w:r>
      <w:proofErr w:type="spellEnd"/>
      <w:r w:rsidRPr="004E76CC">
        <w:t xml:space="preserve"> (</w:t>
      </w:r>
      <w:proofErr w:type="spellStart"/>
      <w:r w:rsidRPr="004E76CC">
        <w:t>Ganna</w:t>
      </w:r>
      <w:proofErr w:type="spellEnd"/>
      <w:r w:rsidRPr="004E76CC">
        <w:t xml:space="preserve"> </w:t>
      </w:r>
      <w:proofErr w:type="spellStart"/>
      <w:r w:rsidRPr="004E76CC">
        <w:t>Yudkivska</w:t>
      </w:r>
      <w:proofErr w:type="spellEnd"/>
      <w:r w:rsidRPr="004E76CC">
        <w:t>),</w:t>
      </w:r>
      <w:r w:rsidRPr="004E76CC">
        <w:br/>
      </w:r>
      <w:r w:rsidRPr="004E76CC">
        <w:tab/>
        <w:t xml:space="preserve">Андре </w:t>
      </w:r>
      <w:proofErr w:type="spellStart"/>
      <w:r w:rsidRPr="004E76CC">
        <w:t>Поточки</w:t>
      </w:r>
      <w:proofErr w:type="spellEnd"/>
      <w:r w:rsidRPr="004E76CC">
        <w:t xml:space="preserve"> (</w:t>
      </w:r>
      <w:proofErr w:type="spellStart"/>
      <w:r w:rsidRPr="004E76CC">
        <w:t>André</w:t>
      </w:r>
      <w:proofErr w:type="spellEnd"/>
      <w:r w:rsidRPr="004E76CC">
        <w:t xml:space="preserve"> </w:t>
      </w:r>
      <w:proofErr w:type="spellStart"/>
      <w:r w:rsidRPr="004E76CC">
        <w:t>Potocki</w:t>
      </w:r>
      <w:proofErr w:type="spellEnd"/>
      <w:r w:rsidRPr="004E76CC">
        <w:t>),</w:t>
      </w:r>
      <w:r w:rsidRPr="004E76CC">
        <w:br/>
      </w:r>
      <w:r w:rsidRPr="004E76CC">
        <w:tab/>
      </w:r>
      <w:proofErr w:type="spellStart"/>
      <w:r w:rsidRPr="004E76CC">
        <w:t>Шифра</w:t>
      </w:r>
      <w:proofErr w:type="spellEnd"/>
      <w:r w:rsidRPr="004E76CC">
        <w:t xml:space="preserve"> О</w:t>
      </w:r>
      <w:r w:rsidRPr="004E76CC">
        <w:rPr>
          <w:cs/>
        </w:rPr>
        <w:t>’</w:t>
      </w:r>
      <w:proofErr w:type="spellStart"/>
      <w:r w:rsidRPr="004E76CC">
        <w:t>Лиъри</w:t>
      </w:r>
      <w:proofErr w:type="spellEnd"/>
      <w:r w:rsidRPr="004E76CC">
        <w:t xml:space="preserve"> (</w:t>
      </w:r>
      <w:proofErr w:type="spellStart"/>
      <w:r w:rsidRPr="004E76CC">
        <w:t>Síofra</w:t>
      </w:r>
      <w:proofErr w:type="spellEnd"/>
      <w:r w:rsidRPr="004E76CC">
        <w:t xml:space="preserve"> O</w:t>
      </w:r>
      <w:r w:rsidRPr="004E76CC">
        <w:rPr>
          <w:cs/>
        </w:rPr>
        <w:t>’</w:t>
      </w:r>
      <w:proofErr w:type="spellStart"/>
      <w:r w:rsidRPr="004E76CC">
        <w:t>Leary</w:t>
      </w:r>
      <w:proofErr w:type="spellEnd"/>
      <w:r w:rsidRPr="004E76CC">
        <w:t>),</w:t>
      </w:r>
      <w:r w:rsidRPr="004E76CC">
        <w:br/>
      </w:r>
      <w:r w:rsidRPr="004E76CC">
        <w:tab/>
        <w:t xml:space="preserve">Карло </w:t>
      </w:r>
      <w:proofErr w:type="spellStart"/>
      <w:r w:rsidRPr="004E76CC">
        <w:t>Ранцони</w:t>
      </w:r>
      <w:proofErr w:type="spellEnd"/>
      <w:r w:rsidRPr="004E76CC">
        <w:t xml:space="preserve"> (</w:t>
      </w:r>
      <w:proofErr w:type="spellStart"/>
      <w:r w:rsidRPr="004E76CC">
        <w:t>Carlo</w:t>
      </w:r>
      <w:proofErr w:type="spellEnd"/>
      <w:r w:rsidRPr="004E76CC">
        <w:t xml:space="preserve"> </w:t>
      </w:r>
      <w:proofErr w:type="spellStart"/>
      <w:r w:rsidRPr="004E76CC">
        <w:t>Ranzoni</w:t>
      </w:r>
      <w:proofErr w:type="spellEnd"/>
      <w:r w:rsidRPr="004E76CC">
        <w:t>),</w:t>
      </w:r>
      <w:r w:rsidRPr="004E76CC">
        <w:br/>
      </w:r>
      <w:r w:rsidRPr="004E76CC">
        <w:tab/>
      </w:r>
      <w:proofErr w:type="spellStart"/>
      <w:r w:rsidRPr="004E76CC">
        <w:t>Мартинш</w:t>
      </w:r>
      <w:proofErr w:type="spellEnd"/>
      <w:r w:rsidRPr="004E76CC">
        <w:t xml:space="preserve"> </w:t>
      </w:r>
      <w:proofErr w:type="spellStart"/>
      <w:r w:rsidRPr="004E76CC">
        <w:t>Митс</w:t>
      </w:r>
      <w:proofErr w:type="spellEnd"/>
      <w:r w:rsidRPr="004E76CC">
        <w:t xml:space="preserve"> (</w:t>
      </w:r>
      <w:proofErr w:type="spellStart"/>
      <w:r w:rsidRPr="004E76CC">
        <w:t>Mārtiņš</w:t>
      </w:r>
      <w:proofErr w:type="spellEnd"/>
      <w:r w:rsidRPr="004E76CC">
        <w:t xml:space="preserve"> </w:t>
      </w:r>
      <w:proofErr w:type="spellStart"/>
      <w:r w:rsidRPr="004E76CC">
        <w:t>Mits</w:t>
      </w:r>
      <w:proofErr w:type="spellEnd"/>
      <w:r w:rsidRPr="004E76CC">
        <w:t xml:space="preserve">), </w:t>
      </w:r>
      <w:r w:rsidRPr="004E76CC">
        <w:rPr>
          <w:i/>
        </w:rPr>
        <w:t>съдии</w:t>
      </w:r>
      <w:r w:rsidRPr="004E76CC">
        <w:t>,</w:t>
      </w:r>
      <w:r w:rsidRPr="004E76CC">
        <w:br/>
      </w:r>
      <w:r w:rsidRPr="004E76CC">
        <w:tab/>
        <w:t>Павлина Панова (</w:t>
      </w:r>
      <w:proofErr w:type="spellStart"/>
      <w:r w:rsidRPr="004E76CC">
        <w:t>Pavlina</w:t>
      </w:r>
      <w:proofErr w:type="spellEnd"/>
      <w:r w:rsidRPr="004E76CC">
        <w:t xml:space="preserve"> Panova), ad hoc </w:t>
      </w:r>
      <w:r w:rsidRPr="004E76CC">
        <w:rPr>
          <w:i/>
        </w:rPr>
        <w:t>съдия</w:t>
      </w:r>
      <w:r w:rsidRPr="004E76CC">
        <w:br/>
        <w:t xml:space="preserve">и Милан </w:t>
      </w:r>
      <w:proofErr w:type="spellStart"/>
      <w:r w:rsidRPr="004E76CC">
        <w:t>Блашко</w:t>
      </w:r>
      <w:proofErr w:type="spellEnd"/>
      <w:r w:rsidRPr="004E76CC">
        <w:t xml:space="preserve"> (</w:t>
      </w:r>
      <w:proofErr w:type="spellStart"/>
      <w:r w:rsidRPr="004E76CC">
        <w:t>Milan</w:t>
      </w:r>
      <w:proofErr w:type="spellEnd"/>
      <w:r w:rsidRPr="004E76CC">
        <w:t xml:space="preserve"> </w:t>
      </w:r>
      <w:proofErr w:type="spellStart"/>
      <w:r w:rsidRPr="004E76CC">
        <w:t>Blaško</w:t>
      </w:r>
      <w:proofErr w:type="spellEnd"/>
      <w:r w:rsidRPr="004E76CC">
        <w:t>),</w:t>
      </w:r>
      <w:r w:rsidRPr="004E76CC">
        <w:rPr>
          <w:i/>
        </w:rPr>
        <w:t xml:space="preserve"> заместник-секретар на отделението</w:t>
      </w:r>
    </w:p>
    <w:p w:rsidR="00C27D39" w:rsidRPr="004E76CC" w:rsidRDefault="00C27D39" w:rsidP="00C27D39">
      <w:pPr>
        <w:pStyle w:val="ECHRPara"/>
      </w:pPr>
      <w:r w:rsidRPr="004E76CC">
        <w:t>Като взе предвид горната жалба, подадена на 13 август 2014 г.,</w:t>
      </w:r>
    </w:p>
    <w:p w:rsidR="00C27D39" w:rsidRPr="004E76CC" w:rsidRDefault="00C27D39" w:rsidP="00C27D39">
      <w:pPr>
        <w:pStyle w:val="ECHRPara"/>
      </w:pPr>
      <w:r w:rsidRPr="004E76CC">
        <w:t>Като взе предвид представените от ответното Правителство становища и становищата, представени в отговор от жалбоподателя,</w:t>
      </w:r>
    </w:p>
    <w:p w:rsidR="00C27D39" w:rsidRPr="004E76CC" w:rsidRDefault="00C27D39" w:rsidP="00C27D39">
      <w:pPr>
        <w:pStyle w:val="ECHRPara"/>
      </w:pPr>
      <w:r w:rsidRPr="004E76CC">
        <w:t>Като отбеляза, че г-н Йонко Грозев, избран</w:t>
      </w:r>
      <w:r w:rsidR="003F7761" w:rsidRPr="004E76CC">
        <w:t>ият</w:t>
      </w:r>
      <w:r w:rsidRPr="004E76CC">
        <w:t xml:space="preserve"> от името на България</w:t>
      </w:r>
      <w:r w:rsidR="003F7761" w:rsidRPr="004E76CC">
        <w:t xml:space="preserve"> съдия</w:t>
      </w:r>
      <w:r w:rsidRPr="004E76CC">
        <w:t xml:space="preserve">, се оттегля от </w:t>
      </w:r>
      <w:r w:rsidR="003F7761" w:rsidRPr="004E76CC">
        <w:t>разглеждането на</w:t>
      </w:r>
      <w:r w:rsidRPr="004E76CC">
        <w:t xml:space="preserve"> делото (</w:t>
      </w:r>
      <w:r w:rsidR="003F7761" w:rsidRPr="004E76CC">
        <w:t>п</w:t>
      </w:r>
      <w:r w:rsidRPr="004E76CC">
        <w:t>равило 28 § 3 от Правилника на Съда), и че съответно председателят на Пето отделение назнач</w:t>
      </w:r>
      <w:r w:rsidR="003F7761" w:rsidRPr="004E76CC">
        <w:t>ава</w:t>
      </w:r>
      <w:r w:rsidRPr="004E76CC">
        <w:t xml:space="preserve"> г-жа Павлина Панова като </w:t>
      </w:r>
      <w:r w:rsidRPr="004E76CC">
        <w:rPr>
          <w:i/>
        </w:rPr>
        <w:t>ad hoc</w:t>
      </w:r>
      <w:r w:rsidRPr="004E76CC">
        <w:t xml:space="preserve"> съдия (чл. 26 § 4 от Конвенцията и </w:t>
      </w:r>
      <w:r w:rsidR="0061033B" w:rsidRPr="004E76CC">
        <w:t>п</w:t>
      </w:r>
      <w:r w:rsidRPr="004E76CC">
        <w:t>равило 29 § 1 от Правилника на Съда),</w:t>
      </w:r>
    </w:p>
    <w:p w:rsidR="00614C4D" w:rsidRDefault="00C27D39" w:rsidP="00C27D39">
      <w:pPr>
        <w:pStyle w:val="ECHRPara"/>
      </w:pPr>
      <w:r w:rsidRPr="004E76CC">
        <w:t xml:space="preserve">След </w:t>
      </w:r>
      <w:r w:rsidR="00614C4D">
        <w:t>закрито</w:t>
      </w:r>
      <w:r w:rsidR="00494C03">
        <w:t xml:space="preserve"> </w:t>
      </w:r>
      <w:r w:rsidRPr="004E76CC">
        <w:t>заседание</w:t>
      </w:r>
      <w:r w:rsidR="00494C03">
        <w:t>,</w:t>
      </w:r>
      <w:r w:rsidR="00614C4D">
        <w:t>.</w:t>
      </w:r>
    </w:p>
    <w:p w:rsidR="00C27D39" w:rsidRPr="004E76CC" w:rsidRDefault="00614C4D" w:rsidP="00C27D39">
      <w:pPr>
        <w:pStyle w:val="ECHRPara"/>
      </w:pPr>
      <w:r>
        <w:t>Постанови следното решение</w:t>
      </w:r>
      <w:r w:rsidR="00C27D39" w:rsidRPr="004E76CC">
        <w:t>:</w:t>
      </w:r>
    </w:p>
    <w:p w:rsidR="00C27D39" w:rsidRPr="004E76CC" w:rsidRDefault="00C27D39" w:rsidP="00C27D39">
      <w:pPr>
        <w:pStyle w:val="ECHRTitle1"/>
      </w:pPr>
      <w:r w:rsidRPr="004E76CC">
        <w:lastRenderedPageBreak/>
        <w:t>ФАКТИТЕ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</w:t>
      </w:r>
      <w:r w:rsidRPr="004E76CC">
        <w:fldChar w:fldCharType="end"/>
      </w:r>
      <w:r w:rsidRPr="004E76CC">
        <w:t xml:space="preserve">.  Жалбоподателят, г-н </w:t>
      </w:r>
      <w:proofErr w:type="spellStart"/>
      <w:r w:rsidRPr="004E76CC">
        <w:t>Джок</w:t>
      </w:r>
      <w:proofErr w:type="spellEnd"/>
      <w:r w:rsidRPr="004E76CC">
        <w:t xml:space="preserve"> Антъни Полфрийман, е австралийски гражданин, роден през 1986 г., </w:t>
      </w:r>
      <w:r w:rsidR="003D7FBA">
        <w:t>който</w:t>
      </w:r>
      <w:r w:rsidRPr="004E76CC">
        <w:t xml:space="preserve"> в момента изтърпява присъда лишаване от свобода в София. Той се представлява </w:t>
      </w:r>
      <w:r w:rsidR="00494C03">
        <w:t xml:space="preserve">пред Съда </w:t>
      </w:r>
      <w:r w:rsidRPr="004E76CC">
        <w:t>от г-н К. Кънев от Българския хелзинкски комитет.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</w:t>
      </w:r>
      <w:r w:rsidRPr="004E76CC">
        <w:fldChar w:fldCharType="end"/>
      </w:r>
      <w:r w:rsidRPr="004E76CC">
        <w:t>.  Българското правителство (</w:t>
      </w:r>
      <w:r w:rsidRPr="004E76CC">
        <w:rPr>
          <w:cs/>
        </w:rPr>
        <w:t>„</w:t>
      </w:r>
      <w:r w:rsidRPr="004E76CC">
        <w:t>Правителството</w:t>
      </w:r>
      <w:r w:rsidRPr="004E76CC">
        <w:rPr>
          <w:cs/>
        </w:rPr>
        <w:t>”</w:t>
      </w:r>
      <w:r w:rsidRPr="004E76CC">
        <w:t>) се представлява от правителствения агент г-жа Л. Гюрова от Министерство на правосъдието.</w:t>
      </w:r>
    </w:p>
    <w:p w:rsidR="00C27D39" w:rsidRPr="004E76CC" w:rsidRDefault="00C27D39" w:rsidP="00C27D39">
      <w:pPr>
        <w:pStyle w:val="ECHRHeading2"/>
      </w:pPr>
      <w:r w:rsidRPr="004E76CC">
        <w:t>А.  Обстоятелства</w:t>
      </w:r>
      <w:r w:rsidR="00557DFD" w:rsidRPr="004E76CC">
        <w:t>та</w:t>
      </w:r>
      <w:r w:rsidRPr="004E76CC">
        <w:t xml:space="preserve"> по делото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</w:t>
      </w:r>
      <w:r w:rsidRPr="004E76CC">
        <w:fldChar w:fldCharType="end"/>
      </w:r>
      <w:r w:rsidRPr="004E76CC">
        <w:t>.  Фактите по делото, както са представени от страните, могат да бъдат обобщени по следния начин.</w:t>
      </w:r>
    </w:p>
    <w:p w:rsidR="00C27D39" w:rsidRPr="004E76CC" w:rsidRDefault="00C27D39" w:rsidP="00C27D39">
      <w:pPr>
        <w:pStyle w:val="ECHRHeading3"/>
      </w:pPr>
      <w:r w:rsidRPr="004E76CC">
        <w:t>1.  Предистория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4</w:t>
      </w:r>
      <w:r w:rsidRPr="004E76CC">
        <w:fldChar w:fldCharType="end"/>
      </w:r>
      <w:r w:rsidRPr="004E76CC">
        <w:t xml:space="preserve">.  В нощта на 27 декември 2007 г. жалбоподателят, който служи в Британската армия по време на инцидента, напуска бар в София, когато вижда група от около петнадесет младежи на улицата пред бара. Някои от тях </w:t>
      </w:r>
      <w:r w:rsidR="00494C03">
        <w:t>влизат в конфликт</w:t>
      </w:r>
      <w:r w:rsidRPr="004E76CC">
        <w:t xml:space="preserve"> с двама роми. Жалбоподателят се приближава към тях, изважда нож и започва да го размахва към групата. По време на последвалата борба той намушква и убива един от младежите в групата, 20-годишния син на политик. Той също така тежко ранява друг млад мъж. Малко след това двама полицаи пристигат и арестуват жалбоподателя.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5</w:t>
      </w:r>
      <w:r w:rsidRPr="004E76CC">
        <w:fldChar w:fldCharType="end"/>
      </w:r>
      <w:r w:rsidRPr="004E76CC">
        <w:t xml:space="preserve">.  Жалбоподателят е съден за убийство. Неговата защита е, че се е опитал да защити ромите, които са нападнати от групата младежи. Той също така твърди, че е използвал ножа си </w:t>
      </w:r>
      <w:r w:rsidR="003E452B">
        <w:t xml:space="preserve">за </w:t>
      </w:r>
      <w:r w:rsidRPr="004E76CC">
        <w:t xml:space="preserve">самозащита, когато групата е станала агресивна към него. Прокуратурата твърди, че жалбоподателят </w:t>
      </w:r>
      <w:r w:rsidR="009811C6" w:rsidRPr="004E76CC">
        <w:t>с</w:t>
      </w:r>
      <w:r w:rsidRPr="004E76CC">
        <w:t xml:space="preserve">е </w:t>
      </w:r>
      <w:r w:rsidR="009811C6" w:rsidRPr="004E76CC">
        <w:t xml:space="preserve">насочва </w:t>
      </w:r>
      <w:r w:rsidRPr="004E76CC">
        <w:t>към групата решително</w:t>
      </w:r>
      <w:r w:rsidR="009811C6" w:rsidRPr="004E76CC">
        <w:t>,</w:t>
      </w:r>
      <w:r w:rsidRPr="004E76CC">
        <w:t xml:space="preserve"> с цел да раздава правосъдие. Докато </w:t>
      </w:r>
      <w:r w:rsidR="009811C6" w:rsidRPr="004E76CC">
        <w:t xml:space="preserve">той </w:t>
      </w:r>
      <w:r w:rsidRPr="004E76CC">
        <w:t xml:space="preserve">се намеси, нападението срещу ромите е </w:t>
      </w:r>
      <w:r w:rsidR="009811C6" w:rsidRPr="004E76CC">
        <w:t xml:space="preserve">вече </w:t>
      </w:r>
      <w:r w:rsidRPr="004E76CC">
        <w:t xml:space="preserve">приключило и той не </w:t>
      </w:r>
      <w:r w:rsidR="009811C6" w:rsidRPr="004E76CC">
        <w:t xml:space="preserve">е </w:t>
      </w:r>
      <w:r w:rsidRPr="004E76CC">
        <w:t xml:space="preserve">действал </w:t>
      </w:r>
      <w:r w:rsidR="003E452B">
        <w:t>при</w:t>
      </w:r>
      <w:r w:rsidR="003E452B" w:rsidRPr="004E76CC">
        <w:t xml:space="preserve"> </w:t>
      </w:r>
      <w:r w:rsidRPr="004E76CC">
        <w:t>самозащита, когато намушк</w:t>
      </w:r>
      <w:r w:rsidR="009811C6" w:rsidRPr="004E76CC">
        <w:t>в</w:t>
      </w:r>
      <w:r w:rsidRPr="004E76CC">
        <w:t>а двама членове на групата.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6</w:t>
      </w:r>
      <w:r w:rsidRPr="004E76CC">
        <w:fldChar w:fldCharType="end"/>
      </w:r>
      <w:r w:rsidRPr="004E76CC">
        <w:t xml:space="preserve">.  Жалбоподателят е осъден за убийство през декември 2009 г. Присъдата е потвърдена при </w:t>
      </w:r>
      <w:r w:rsidR="003D7FBA">
        <w:t xml:space="preserve">въззивно </w:t>
      </w:r>
      <w:r w:rsidRPr="004E76CC">
        <w:t>обжалване и касация. Жалбоподателят в момента изтърпява 20-годишна присъда в затвора в гр. София. Както случаят, така и жалбоподателят привл</w:t>
      </w:r>
      <w:r w:rsidR="003D7FBA">
        <w:t>ичат</w:t>
      </w:r>
      <w:r w:rsidRPr="004E76CC">
        <w:t xml:space="preserve"> значително обществено внимание и широко медийно отразяване в България.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7</w:t>
      </w:r>
      <w:r w:rsidRPr="004E76CC">
        <w:fldChar w:fldCharType="end"/>
      </w:r>
      <w:r w:rsidRPr="004E76CC">
        <w:t>.  </w:t>
      </w:r>
      <w:r w:rsidR="003E452B">
        <w:t>Близки</w:t>
      </w:r>
      <w:r w:rsidR="003D7FBA">
        <w:t>те</w:t>
      </w:r>
      <w:r w:rsidR="003E452B">
        <w:t xml:space="preserve"> и далечни</w:t>
      </w:r>
      <w:r w:rsidR="003D7FBA">
        <w:t>те</w:t>
      </w:r>
      <w:r w:rsidR="003E452B">
        <w:t xml:space="preserve"> роднини </w:t>
      </w:r>
      <w:r w:rsidRPr="004E76CC">
        <w:t xml:space="preserve"> на жалбоподателя - родители, братя и сестри, баби и дядовци, братовчеди, лели и чичо - живеят в Австралия; </w:t>
      </w:r>
      <w:r w:rsidR="003D7FBA">
        <w:t xml:space="preserve">жалбоподателят </w:t>
      </w:r>
      <w:r w:rsidRPr="004E76CC">
        <w:t xml:space="preserve">няма партньор или деца в Австралия. Всяко пътуване между Австралия и България за 40-минутните времеви интервали, позволени за посещения, означава значителен разход и отсъствие от Австралия за около седмица. Поради </w:t>
      </w:r>
      <w:r w:rsidR="009811C6" w:rsidRPr="004E76CC">
        <w:t xml:space="preserve">тези </w:t>
      </w:r>
      <w:r w:rsidRPr="004E76CC">
        <w:t xml:space="preserve">ограничения </w:t>
      </w:r>
      <w:r w:rsidRPr="004E76CC">
        <w:lastRenderedPageBreak/>
        <w:t>родителите на жалбоподателя успява</w:t>
      </w:r>
      <w:r w:rsidR="009811C6" w:rsidRPr="004E76CC">
        <w:t>т</w:t>
      </w:r>
      <w:r w:rsidRPr="004E76CC">
        <w:t xml:space="preserve"> да го виждат само веднъж на всеки шест месеца, откакто е лишен от свобода. Такива посещения стават все по-трудни за тях с течение на времето. Неговите баби и дядовци са в края на 80-те си години и </w:t>
      </w:r>
      <w:r w:rsidR="0011460A" w:rsidRPr="004E76CC">
        <w:t xml:space="preserve">затова </w:t>
      </w:r>
      <w:r w:rsidRPr="004E76CC">
        <w:t>пътуването до България ста</w:t>
      </w:r>
      <w:r w:rsidR="0011460A" w:rsidRPr="004E76CC">
        <w:t>ва</w:t>
      </w:r>
      <w:r w:rsidRPr="004E76CC">
        <w:t xml:space="preserve"> почти невъзможно за тях. Редица братовчеди и други близки роднини, включително чичо и четири лели, с които жалбоподателят е много близък, изобщо </w:t>
      </w:r>
      <w:r w:rsidR="004B6616">
        <w:t>нямат възможност</w:t>
      </w:r>
      <w:r w:rsidRPr="004E76CC">
        <w:t xml:space="preserve"> да пътуват.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8</w:t>
      </w:r>
      <w:r w:rsidRPr="004E76CC">
        <w:fldChar w:fldCharType="end"/>
      </w:r>
      <w:r w:rsidRPr="004E76CC">
        <w:t xml:space="preserve">.  Въз основа на информацията </w:t>
      </w:r>
      <w:r w:rsidR="004B6616">
        <w:t>по делото</w:t>
      </w:r>
      <w:r w:rsidRPr="004E76CC">
        <w:t xml:space="preserve"> </w:t>
      </w:r>
      <w:r w:rsidR="003D7FBA">
        <w:t>става</w:t>
      </w:r>
      <w:r w:rsidRPr="004E76CC">
        <w:t xml:space="preserve"> ясно, че жалбоподателят е редовно посещаван в затвора - от членове на семейството</w:t>
      </w:r>
      <w:r w:rsidR="003D7FBA">
        <w:t xml:space="preserve"> си</w:t>
      </w:r>
      <w:r w:rsidRPr="004E76CC">
        <w:t xml:space="preserve">, приятели и познати; по-конкретно, той е посетен 48 пъти между септември 2012 г. и юли 2015 г.; девет от тези посещения са от членове на семейството. Посещенията са разрешени при поискване, включително и по време на периоди, които не спадат към стандартния график за посещение в затворите. Според психологическа оценка, направена през април 2015 г. и представена от българските власти, жалбоподателят е социално и емоционално балансиран и зрял, с реалистична самооценка, запазено чувство за хумор и без признаци на депресивни тенденции, стрес или безпокойство. Той е председател на Българското затворническо сдружение и владее отлично български език както устно, така и писмено. Той показва лидерския си потенциал и се стреми да доминира в затворническата общност, в която е добре интегриран; той е известен сред другите затворници, както чужденци, така и българи, на които често съдейства за изготвянето на техните молби и/или жалби </w:t>
      </w:r>
      <w:r w:rsidR="004B6616">
        <w:t>до</w:t>
      </w:r>
      <w:r w:rsidR="004B6616" w:rsidRPr="004E76CC">
        <w:t xml:space="preserve"> </w:t>
      </w:r>
      <w:r w:rsidRPr="004E76CC">
        <w:t>затворническата администрация.</w:t>
      </w:r>
      <w:r w:rsidRPr="004E76CC">
        <w:rPr>
          <w:color w:val="000000"/>
        </w:rPr>
        <w:t xml:space="preserve"> </w:t>
      </w:r>
      <w:r w:rsidR="003D7FBA">
        <w:rPr>
          <w:color w:val="000000"/>
        </w:rPr>
        <w:t>Н</w:t>
      </w:r>
      <w:r w:rsidRPr="004E76CC">
        <w:rPr>
          <w:color w:val="000000"/>
        </w:rPr>
        <w:t>астанен</w:t>
      </w:r>
      <w:r w:rsidR="003D7FBA">
        <w:rPr>
          <w:color w:val="000000"/>
        </w:rPr>
        <w:t xml:space="preserve"> е</w:t>
      </w:r>
      <w:r w:rsidRPr="004E76CC">
        <w:rPr>
          <w:color w:val="000000"/>
        </w:rPr>
        <w:t xml:space="preserve"> в крилото за чужденци, подпомага чуждестранни затворници, като превежда </w:t>
      </w:r>
      <w:r w:rsidR="003D7FBA">
        <w:rPr>
          <w:color w:val="000000"/>
        </w:rPr>
        <w:t>от</w:t>
      </w:r>
      <w:r w:rsidRPr="004E76CC">
        <w:rPr>
          <w:color w:val="000000"/>
        </w:rPr>
        <w:t xml:space="preserve"> английски </w:t>
      </w:r>
      <w:r w:rsidR="003D7FBA">
        <w:rPr>
          <w:color w:val="000000"/>
        </w:rPr>
        <w:t>на</w:t>
      </w:r>
      <w:r w:rsidRPr="004E76CC">
        <w:rPr>
          <w:color w:val="000000"/>
        </w:rPr>
        <w:t xml:space="preserve"> български език, когато е необходимо, и има редовен достъп до компютърна зала за няколко часа на ден, което му дава възможност да участва в университетски курс за дистанционно обучение, който</w:t>
      </w:r>
      <w:r w:rsidR="004B6616">
        <w:rPr>
          <w:color w:val="000000"/>
        </w:rPr>
        <w:t xml:space="preserve"> носи</w:t>
      </w:r>
      <w:r w:rsidR="00A34BFC" w:rsidRPr="004E76CC">
        <w:rPr>
          <w:color w:val="000000"/>
        </w:rPr>
        <w:t xml:space="preserve"> </w:t>
      </w:r>
      <w:r w:rsidRPr="004E76CC">
        <w:rPr>
          <w:color w:val="000000"/>
        </w:rPr>
        <w:t>образователна степен. Жалбоподателят поддържа активна писмена кореспонденция със семейството и приятелите си.</w:t>
      </w:r>
    </w:p>
    <w:p w:rsidR="00C27D39" w:rsidRPr="004E76CC" w:rsidRDefault="00C27D39" w:rsidP="00C27D39">
      <w:pPr>
        <w:pStyle w:val="ECHRHeading3"/>
      </w:pPr>
      <w:r w:rsidRPr="004E76CC">
        <w:t xml:space="preserve">2.  Отказ за </w:t>
      </w:r>
      <w:r w:rsidR="000B33D6" w:rsidRPr="004E76CC">
        <w:t xml:space="preserve">прехвърляне </w:t>
      </w:r>
      <w:r w:rsidRPr="004E76CC">
        <w:t>на жалбоподателя в Австралия, за да изтърпи остатъка от присъдата си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9</w:t>
      </w:r>
      <w:r w:rsidRPr="004E76CC">
        <w:fldChar w:fldCharType="end"/>
      </w:r>
      <w:r w:rsidRPr="004E76CC">
        <w:t>.  На 12 април 2012 г.</w:t>
      </w:r>
      <w:r w:rsidR="004B6616">
        <w:t>,</w:t>
      </w:r>
      <w:r w:rsidRPr="004E76CC">
        <w:t xml:space="preserve"> по инициатива на жалбоподателя</w:t>
      </w:r>
      <w:r w:rsidR="004B6616">
        <w:t>,</w:t>
      </w:r>
      <w:r w:rsidRPr="004E76CC">
        <w:t xml:space="preserve"> австралийските власти се свързват с българските власти относно възможността за </w:t>
      </w:r>
      <w:r w:rsidR="000B33D6" w:rsidRPr="004E76CC">
        <w:t xml:space="preserve">прехвърляне </w:t>
      </w:r>
      <w:r w:rsidRPr="004E76CC">
        <w:t xml:space="preserve">на жалбоподателя в Австралия, за да продължи да изтърпява присъдата си там. На 25 юни 2012 г. българският главен прокурор отговаря писмено, че въпросът за трансфера на жалбоподателя може да бъде разгледан, едва след като той е </w:t>
      </w:r>
      <w:r w:rsidR="003D7FBA">
        <w:t>погасил</w:t>
      </w:r>
      <w:r w:rsidR="003D7FBA" w:rsidRPr="004E76CC">
        <w:t xml:space="preserve"> </w:t>
      </w:r>
      <w:r w:rsidRPr="004E76CC">
        <w:t>неизплатените обезщетения за вреди на жертвите.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10</w:t>
      </w:r>
      <w:r w:rsidRPr="004E76CC">
        <w:fldChar w:fldCharType="end"/>
      </w:r>
      <w:r w:rsidRPr="004E76CC">
        <w:t xml:space="preserve">.  На 14 май 2013 г. представител на австралийския главен прокурор пише до българския главен прокурор, </w:t>
      </w:r>
      <w:r w:rsidR="00DB1E77">
        <w:t xml:space="preserve">с официално искане за </w:t>
      </w:r>
      <w:r w:rsidRPr="004E76CC">
        <w:t xml:space="preserve">съгласието на </w:t>
      </w:r>
      <w:r w:rsidR="003D7FBA">
        <w:t>б</w:t>
      </w:r>
      <w:r w:rsidRPr="004E76CC">
        <w:t xml:space="preserve">ългарското </w:t>
      </w:r>
      <w:r w:rsidR="000B33D6" w:rsidRPr="004E76CC">
        <w:t>п</w:t>
      </w:r>
      <w:r w:rsidRPr="004E76CC">
        <w:t xml:space="preserve">равителство за трансфер на жалбоподателя в съответствие с Конвенцията на Съвета на Европа от 1983 г. за </w:t>
      </w:r>
      <w:r w:rsidRPr="004E76CC">
        <w:lastRenderedPageBreak/>
        <w:t>трансфер на осъдени лица (</w:t>
      </w:r>
      <w:r w:rsidRPr="004E76CC">
        <w:rPr>
          <w:cs/>
        </w:rPr>
        <w:t>”</w:t>
      </w:r>
      <w:r w:rsidRPr="004E76CC">
        <w:t>Конвенцията за трансфер</w:t>
      </w:r>
      <w:r w:rsidRPr="004E76CC">
        <w:rPr>
          <w:cs/>
        </w:rPr>
        <w:t>”</w:t>
      </w:r>
      <w:r w:rsidRPr="004E76CC">
        <w:t xml:space="preserve">, вж. параграфи 17-21 по-долу). Австралийските власти посочват, че жалбоподателят отговаря на условията за допустимост за трансфер на международни затворници и предлагат редица условия в това отношение. Те включват следното: че трансферът му няма да се извърши, докато не бъдат платени дълговете му в България; че жалбоподателят ще продължи да изтърпява пълната си присъда от лишаване от свобода в Австралия и ще има право на предсрочно освобождаване, след като е изтърпял половината от нея, което също е възможност по българското </w:t>
      </w:r>
      <w:r w:rsidR="00257BE9" w:rsidRPr="004E76CC">
        <w:t>законодателство</w:t>
      </w:r>
      <w:r w:rsidRPr="004E76CC">
        <w:t xml:space="preserve">; че всички намаления на </w:t>
      </w:r>
      <w:r w:rsidR="000276DC">
        <w:t>срока на наказанието</w:t>
      </w:r>
      <w:r w:rsidR="000276DC" w:rsidRPr="004E76CC">
        <w:t xml:space="preserve"> </w:t>
      </w:r>
      <w:r w:rsidRPr="004E76CC">
        <w:t xml:space="preserve">на жалбоподателя, потвърдени от българските власти, ще бъдат отразени </w:t>
      </w:r>
      <w:r w:rsidR="000276DC">
        <w:t>спрямо оставащия срок</w:t>
      </w:r>
      <w:r w:rsidRPr="004E76CC">
        <w:t xml:space="preserve">; и </w:t>
      </w:r>
      <w:r w:rsidR="000276DC">
        <w:t xml:space="preserve">че </w:t>
      </w:r>
      <w:r w:rsidRPr="004E76CC">
        <w:t xml:space="preserve">ако жалбоподателят се възползва от предсрочно освобождаване в Австралия, </w:t>
      </w:r>
      <w:r w:rsidR="000276DC">
        <w:t>ще му бъдат определени условия за това</w:t>
      </w:r>
      <w:r w:rsidRPr="004E76CC">
        <w:t>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11</w:t>
      </w:r>
      <w:r w:rsidRPr="004E76CC">
        <w:fldChar w:fldCharType="end"/>
      </w:r>
      <w:r w:rsidRPr="004E76CC">
        <w:t xml:space="preserve">.  В писмо от 8 юли 2013 г., изпратено чрез българското Министерство на правосъдието, главният прокурор информира австралийския главен прокурор, че трансферът на жалбоподателя е отказан. В писмото се подчертава, че след внимателна преценка на съответните разпоредби на Конвенцията за трансфер и българското </w:t>
      </w:r>
      <w:r w:rsidR="00257BE9" w:rsidRPr="004E76CC">
        <w:t>законодателство</w:t>
      </w:r>
      <w:r w:rsidRPr="004E76CC">
        <w:t>, прокурорът констатира, че условията за трансфер не са изпълнени. По-конкретно, трансферът е възможност, а не задължително следствие от молба, отправена по силата на Конвенцията за трансфер. Жалбоподателят все още трябва да изтърпи над 14 години от 20-годишната си присъда. Важно е, че той не е показал угризения и категорично е отричал лична отговорност за престъплението, което е извършил. Освен това</w:t>
      </w:r>
      <w:r w:rsidR="00C335BA">
        <w:t>,</w:t>
      </w:r>
      <w:r w:rsidRPr="004E76CC">
        <w:t xml:space="preserve"> той е изразил отрицателно и</w:t>
      </w:r>
      <w:r w:rsidR="00C335BA">
        <w:t xml:space="preserve"> мнително</w:t>
      </w:r>
      <w:r w:rsidRPr="004E76CC">
        <w:t xml:space="preserve"> отношение към българската съдебна система като цяло и е демонстрирал враждебност и недоверие към заповедите на затворническата администрация. С оглед на гореизложеното и на факта, че той е изтърпял само </w:t>
      </w:r>
      <w:r w:rsidR="00C335BA">
        <w:t xml:space="preserve">малка </w:t>
      </w:r>
      <w:r w:rsidRPr="004E76CC">
        <w:t xml:space="preserve">част от присъдата си, прокурорът </w:t>
      </w:r>
      <w:r w:rsidR="00257BE9" w:rsidRPr="004E76CC">
        <w:t>намира</w:t>
      </w:r>
      <w:r w:rsidRPr="004E76CC">
        <w:t>, че целта на наказанието, включително за целите на международното право, а именно да превърне осъденото лице в спазващ закона гражданин, не е постигната.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12</w:t>
      </w:r>
      <w:r w:rsidRPr="004E76CC">
        <w:fldChar w:fldCharType="end"/>
      </w:r>
      <w:r w:rsidRPr="004E76CC">
        <w:t>.  На 9 юли 2013 г. българският главен прокурор обявява публично отказа си да разреши трансфера на жалбоподателя, за да изтърпи остатъка от присъдата си в Австралия.</w:t>
      </w:r>
    </w:p>
    <w:p w:rsidR="00C27D39" w:rsidRPr="004E76CC" w:rsidRDefault="00C27D39" w:rsidP="00C27D39">
      <w:pPr>
        <w:pStyle w:val="ECHRHeading3"/>
      </w:pPr>
      <w:r w:rsidRPr="004E76CC">
        <w:t>3.  Обжалване срещу отказа за трансфер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13</w:t>
      </w:r>
      <w:r w:rsidRPr="004E76CC">
        <w:fldChar w:fldCharType="end"/>
      </w:r>
      <w:r w:rsidRPr="004E76CC">
        <w:t xml:space="preserve">.  На неуточнена дата жалбоподателят обжалва пред Административен съд София-град отказа за трансфер в Австралия. </w:t>
      </w:r>
      <w:r w:rsidR="00C335BA">
        <w:t>В частност,</w:t>
      </w:r>
      <w:r w:rsidRPr="004E76CC">
        <w:t xml:space="preserve"> той подчертава, че отказът е в противоречие с основната обосновка на Конвенцията за трансфер, която е да се даде възможност на държавите да си сътрудничат за постигане на целите на </w:t>
      </w:r>
      <w:r w:rsidR="00A84D2A">
        <w:t>правосъдието</w:t>
      </w:r>
      <w:r w:rsidR="00A84D2A" w:rsidRPr="004E76CC">
        <w:t xml:space="preserve"> </w:t>
      </w:r>
      <w:r w:rsidRPr="004E76CC">
        <w:t xml:space="preserve">и социалната реабилитация на осъдените лица. Административен съд </w:t>
      </w:r>
      <w:r w:rsidRPr="004E76CC">
        <w:lastRenderedPageBreak/>
        <w:t xml:space="preserve">София-град обявява жалбата за недопустима, като </w:t>
      </w:r>
      <w:r w:rsidR="00B12CDB" w:rsidRPr="004E76CC">
        <w:t>намира</w:t>
      </w:r>
      <w:r w:rsidRPr="004E76CC">
        <w:t xml:space="preserve">, че отказът на прокурора за трансфер на жалбоподателя не е </w:t>
      </w:r>
      <w:r w:rsidR="00A84D2A">
        <w:t>индивидуален</w:t>
      </w:r>
      <w:r w:rsidR="00A84D2A" w:rsidRPr="004E76CC">
        <w:t xml:space="preserve"> </w:t>
      </w:r>
      <w:r w:rsidRPr="004E76CC">
        <w:t>административен акт, тъй като прокурорът е част от съдебната, а не от изпълнителната власт.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14</w:t>
      </w:r>
      <w:r w:rsidRPr="004E76CC">
        <w:fldChar w:fldCharType="end"/>
      </w:r>
      <w:r w:rsidRPr="004E76CC">
        <w:t>.  Жалбоподателят обжалва. В окончателно решение от 24 април 2014 г. Върховният административен съд постановява, че отказът на главния прокурор не подлежи на контрол от административните съдилища.</w:t>
      </w:r>
    </w:p>
    <w:p w:rsidR="00C27D39" w:rsidRPr="004E76CC" w:rsidRDefault="00C27D39" w:rsidP="00C27D39">
      <w:pPr>
        <w:pStyle w:val="ECHRHeading2"/>
      </w:pPr>
      <w:r w:rsidRPr="004E76CC">
        <w:t>Б. Приложимо вътрешно право и право на Съвета на Европа</w:t>
      </w:r>
    </w:p>
    <w:p w:rsidR="00C27D39" w:rsidRPr="004E76CC" w:rsidRDefault="00C27D39" w:rsidP="00C27D39">
      <w:pPr>
        <w:pStyle w:val="ECHRHeading3"/>
      </w:pPr>
      <w:r w:rsidRPr="004E76CC">
        <w:t>1.  </w:t>
      </w:r>
      <w:r w:rsidR="00A84D2A" w:rsidRPr="004E76CC">
        <w:t>Наказателно</w:t>
      </w:r>
      <w:r w:rsidR="00EC3C26">
        <w:t>-</w:t>
      </w:r>
      <w:r w:rsidR="00A84D2A" w:rsidRPr="004E76CC">
        <w:t>процесуален</w:t>
      </w:r>
      <w:r w:rsidRPr="004E76CC">
        <w:t xml:space="preserve"> кодекс</w:t>
      </w:r>
    </w:p>
    <w:p w:rsidR="00C27D39" w:rsidRPr="004E76CC" w:rsidRDefault="00C27D39" w:rsidP="00C27D39">
      <w:pPr>
        <w:pStyle w:val="ECHRPara"/>
        <w:keepNext/>
        <w:keepLines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15</w:t>
      </w:r>
      <w:r w:rsidRPr="004E76CC">
        <w:fldChar w:fldCharType="end"/>
      </w:r>
      <w:r w:rsidRPr="004E76CC">
        <w:t xml:space="preserve">.  Чл. 453 </w:t>
      </w:r>
      <w:r w:rsidR="00A84D2A">
        <w:t>,ал.</w:t>
      </w:r>
      <w:r w:rsidRPr="004E76CC">
        <w:t xml:space="preserve"> 1</w:t>
      </w:r>
      <w:r w:rsidR="00A84D2A">
        <w:t xml:space="preserve"> НПК</w:t>
      </w:r>
      <w:r w:rsidRPr="004E76CC">
        <w:t xml:space="preserve"> урежда трансфера на осъдени лица. Главният прокурор е компетентният </w:t>
      </w:r>
      <w:r w:rsidR="00A84D2A">
        <w:t>държавен</w:t>
      </w:r>
      <w:r w:rsidR="00A84D2A" w:rsidRPr="004E76CC">
        <w:t xml:space="preserve"> </w:t>
      </w:r>
      <w:r w:rsidRPr="004E76CC">
        <w:t xml:space="preserve">орган, който </w:t>
      </w:r>
      <w:r w:rsidR="00A84D2A">
        <w:t>взима решения</w:t>
      </w:r>
      <w:r w:rsidR="00A84D2A" w:rsidRPr="004E76CC">
        <w:t xml:space="preserve"> </w:t>
      </w:r>
      <w:r w:rsidRPr="004E76CC">
        <w:t xml:space="preserve">относно молбите за трансфер на чужденци, осъдени от български съд, в страната, чиито граждани са, за да изтърпят присъдата си. Главният прокурор договаря такива трансфери със съответния компетентен орган на </w:t>
      </w:r>
      <w:r w:rsidR="0062462E">
        <w:t xml:space="preserve">изпълняващата </w:t>
      </w:r>
      <w:r w:rsidRPr="004E76CC">
        <w:t>държава след съгласието на съответния затворник.</w:t>
      </w:r>
    </w:p>
    <w:p w:rsidR="00C27D39" w:rsidRPr="004E76CC" w:rsidRDefault="00C27D39" w:rsidP="00C27D39">
      <w:pPr>
        <w:pStyle w:val="ECHRPara"/>
        <w:rPr>
          <w:szCs w:val="24"/>
        </w:rPr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16</w:t>
      </w:r>
      <w:r w:rsidRPr="004E76CC">
        <w:fldChar w:fldCharType="end"/>
      </w:r>
      <w:r w:rsidRPr="004E76CC">
        <w:t>.  Нова</w:t>
      </w:r>
      <w:r w:rsidR="00010969">
        <w:t>та редакция на</w:t>
      </w:r>
      <w:r w:rsidRPr="004E76CC">
        <w:t xml:space="preserve"> разпоредба</w:t>
      </w:r>
      <w:r w:rsidR="00010969">
        <w:t>та</w:t>
      </w:r>
      <w:r w:rsidRPr="004E76CC">
        <w:t xml:space="preserve"> на </w:t>
      </w:r>
      <w:r w:rsidR="00A84D2A" w:rsidRPr="004E76CC">
        <w:t>Наказателно</w:t>
      </w:r>
      <w:r w:rsidR="00EC3C26">
        <w:t>-</w:t>
      </w:r>
      <w:r w:rsidR="00A84D2A" w:rsidRPr="004E76CC">
        <w:t>процесуалния</w:t>
      </w:r>
      <w:r w:rsidRPr="004E76CC">
        <w:t xml:space="preserve"> кодекс, чл. 437 </w:t>
      </w:r>
      <w:r w:rsidR="00A84D2A">
        <w:t>,ал.</w:t>
      </w:r>
      <w:r w:rsidRPr="004E76CC">
        <w:t xml:space="preserve"> 2, който е в сила от 7 февруари 2017 г., дава възможност на лицето, изтърпяващо наказание лишаване от свобода, лично да  подаде молба за условно предсрочно освобождаване по чл. 70 </w:t>
      </w:r>
      <w:r w:rsidR="00C4764F">
        <w:t>,ал.</w:t>
      </w:r>
      <w:r w:rsidRPr="004E76CC">
        <w:t xml:space="preserve"> 1 </w:t>
      </w:r>
      <w:r w:rsidR="00C4764F">
        <w:t>т.</w:t>
      </w:r>
      <w:r w:rsidRPr="004E76CC">
        <w:t>1 от Наказателния кодекс, ако той е изтърпял поне половината от присъдата</w:t>
      </w:r>
      <w:r w:rsidR="00C4764F">
        <w:t xml:space="preserve"> си</w:t>
      </w:r>
      <w:r w:rsidRPr="004E76CC">
        <w:t>.</w:t>
      </w:r>
    </w:p>
    <w:p w:rsidR="00C27D39" w:rsidRPr="004E76CC" w:rsidRDefault="00C27D39" w:rsidP="00C27D39">
      <w:pPr>
        <w:pStyle w:val="ECHRHeading3"/>
      </w:pPr>
      <w:r w:rsidRPr="004E76CC">
        <w:t>2.  Конвенцията на Съвета на Европа от 1983 г. за трансфер на осъдени лица (</w:t>
      </w:r>
      <w:r w:rsidRPr="004E76CC">
        <w:rPr>
          <w:cs/>
        </w:rPr>
        <w:t>”</w:t>
      </w:r>
      <w:r w:rsidRPr="004E76CC">
        <w:t>Конвенцията за трансфер</w:t>
      </w:r>
      <w:r w:rsidRPr="004E76CC">
        <w:rPr>
          <w:cs/>
        </w:rPr>
        <w:t>”</w:t>
      </w:r>
      <w:r w:rsidRPr="004E76CC">
        <w:t>)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17</w:t>
      </w:r>
      <w:r w:rsidRPr="004E76CC">
        <w:fldChar w:fldCharType="end"/>
      </w:r>
      <w:r w:rsidRPr="004E76CC">
        <w:t xml:space="preserve">.  Конвенцията за трансфер предвижда формален механизъм, чрез който </w:t>
      </w:r>
      <w:r w:rsidR="00F576F6">
        <w:t>лишените от свобода</w:t>
      </w:r>
      <w:r w:rsidR="00F576F6" w:rsidRPr="004E76CC">
        <w:t xml:space="preserve"> </w:t>
      </w:r>
      <w:r w:rsidRPr="004E76CC">
        <w:t xml:space="preserve">да могат да бъдат прехвърляни от една </w:t>
      </w:r>
      <w:r w:rsidR="00B12CDB" w:rsidRPr="004E76CC">
        <w:t xml:space="preserve">в </w:t>
      </w:r>
      <w:r w:rsidRPr="004E76CC">
        <w:t>друга договаряща държава. Както държави членки, така и държави, които не са членки на Съвета на Европа, могат да се присъединят към тази Конвенция, която влиза в сила на 1 октомври 1994 г. по отношение на България и на 1 януари 2003 г. по отношение на Австралия.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18</w:t>
      </w:r>
      <w:r w:rsidRPr="004E76CC">
        <w:fldChar w:fldCharType="end"/>
      </w:r>
      <w:r w:rsidRPr="004E76CC">
        <w:t>.  Обяснителният доклад към Конвенцията за трансфер посочва в параграф 8, че целта на Конвенцията е:</w:t>
      </w:r>
    </w:p>
    <w:p w:rsidR="00C27D39" w:rsidRPr="004E76CC" w:rsidRDefault="00C27D39" w:rsidP="00C27D39">
      <w:pPr>
        <w:pStyle w:val="ECHRParaQuote"/>
      </w:pPr>
      <w:r w:rsidRPr="004E76CC">
        <w:rPr>
          <w:cs/>
        </w:rPr>
        <w:t>“</w:t>
      </w:r>
      <w:r w:rsidRPr="004E76CC">
        <w:t>да се улесни трансфер</w:t>
      </w:r>
      <w:r w:rsidR="00F576F6">
        <w:t>ът</w:t>
      </w:r>
      <w:r w:rsidRPr="004E76CC">
        <w:t xml:space="preserve"> на чуждестранни затворници в техните страни</w:t>
      </w:r>
      <w:r w:rsidRPr="004E76CC">
        <w:rPr>
          <w:cs/>
        </w:rPr>
        <w:t>”</w:t>
      </w:r>
      <w:r w:rsidRPr="004E76CC">
        <w:t>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19</w:t>
      </w:r>
      <w:r w:rsidRPr="004E76CC">
        <w:fldChar w:fldCharType="end"/>
      </w:r>
      <w:r w:rsidRPr="004E76CC">
        <w:t>.  Чл. 2 от Конвенцията гласи:</w:t>
      </w:r>
    </w:p>
    <w:p w:rsidR="00C27D39" w:rsidRPr="004E76CC" w:rsidRDefault="00C27D39" w:rsidP="00C27D39">
      <w:pPr>
        <w:pStyle w:val="ECHRParaQuote"/>
      </w:pPr>
      <w:r w:rsidRPr="004E76CC">
        <w:rPr>
          <w:cs/>
        </w:rPr>
        <w:t>“</w:t>
      </w:r>
      <w:r w:rsidRPr="004E76CC">
        <w:t xml:space="preserve">1.  Страните се задължават да </w:t>
      </w:r>
      <w:r w:rsidR="00C4764F">
        <w:t>осъществяват</w:t>
      </w:r>
      <w:r w:rsidRPr="004E76CC">
        <w:t xml:space="preserve"> </w:t>
      </w:r>
      <w:r w:rsidR="00C4764F" w:rsidRPr="00C4764F">
        <w:t>в съответствие с</w:t>
      </w:r>
      <w:r w:rsidR="00C4764F">
        <w:t xml:space="preserve"> разпоредбите на тази Конвенция </w:t>
      </w:r>
      <w:r w:rsidRPr="004E76CC">
        <w:t xml:space="preserve">възможно </w:t>
      </w:r>
      <w:r w:rsidR="00C4764F">
        <w:t xml:space="preserve"> най-пълно взаимно</w:t>
      </w:r>
      <w:r w:rsidRPr="004E76CC">
        <w:t xml:space="preserve"> сътрудничество по отношение на трансфера на осъдени лица</w:t>
      </w:r>
      <w:r w:rsidR="00C4764F">
        <w:t>.</w:t>
      </w:r>
      <w:r w:rsidRPr="004E76CC">
        <w:t xml:space="preserve"> 2.  Лице, осъдено на територията на една от Страните, може да бъде прехвърлено на територията на друга Страна в съответствие с разпоредбите на настоящата Конвенция, за да изтърпи </w:t>
      </w:r>
      <w:r w:rsidR="00C4764F">
        <w:t>наказанието, което</w:t>
      </w:r>
      <w:r w:rsidRPr="004E76CC">
        <w:t xml:space="preserve"> му е наложен</w:t>
      </w:r>
      <w:r w:rsidR="00C4764F">
        <w:t>о</w:t>
      </w:r>
      <w:r w:rsidRPr="004E76CC">
        <w:t xml:space="preserve">. За тази цел то може да изрази </w:t>
      </w:r>
      <w:r w:rsidR="00C4764F">
        <w:t xml:space="preserve">пред осъдилата го държава </w:t>
      </w:r>
      <w:r w:rsidRPr="004E76CC">
        <w:t xml:space="preserve"> или </w:t>
      </w:r>
      <w:r w:rsidR="00C4764F">
        <w:t xml:space="preserve">пред изпълняващата държава </w:t>
      </w:r>
      <w:r w:rsidRPr="004E76CC">
        <w:t xml:space="preserve"> </w:t>
      </w:r>
      <w:r w:rsidR="00C4764F">
        <w:t xml:space="preserve">желанието си да бъде предадено съгласно тази </w:t>
      </w:r>
      <w:r w:rsidRPr="004E76CC">
        <w:t xml:space="preserve"> Конвенция.</w:t>
      </w:r>
      <w:r w:rsidRPr="004E76CC">
        <w:rPr>
          <w:cs/>
        </w:rPr>
        <w:t>”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20</w:t>
      </w:r>
      <w:r w:rsidRPr="004E76CC">
        <w:fldChar w:fldCharType="end"/>
      </w:r>
      <w:r w:rsidRPr="004E76CC">
        <w:t>.  Чл. 3 определя различни условия, които трябва да бъдат спазени за</w:t>
      </w:r>
      <w:r w:rsidR="003C2D21">
        <w:t xml:space="preserve"> да се осъществи</w:t>
      </w:r>
      <w:r w:rsidRPr="004E76CC">
        <w:t xml:space="preserve"> трансфер на лице. Осъденото лице може да бъде прехвърлено, само ако е гражданин на </w:t>
      </w:r>
      <w:r w:rsidR="003C2D21">
        <w:t>изпълняващата</w:t>
      </w:r>
      <w:r w:rsidR="003C2D21" w:rsidRPr="004E76CC">
        <w:t xml:space="preserve"> </w:t>
      </w:r>
      <w:r w:rsidR="007B2496" w:rsidRPr="004E76CC">
        <w:t>д</w:t>
      </w:r>
      <w:r w:rsidRPr="004E76CC">
        <w:t xml:space="preserve">ържава. Както осъждащата, така и </w:t>
      </w:r>
      <w:r w:rsidR="003C2D21">
        <w:t>изпълняващата</w:t>
      </w:r>
      <w:r w:rsidRPr="004E76CC">
        <w:t xml:space="preserve"> </w:t>
      </w:r>
      <w:r w:rsidR="007B2496" w:rsidRPr="004E76CC">
        <w:t>д</w:t>
      </w:r>
      <w:r w:rsidRPr="004E76CC">
        <w:t>ържава трябва да дадат съгласието си за трансфера.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21</w:t>
      </w:r>
      <w:r w:rsidRPr="004E76CC">
        <w:fldChar w:fldCharType="end"/>
      </w:r>
      <w:r w:rsidRPr="004E76CC">
        <w:t xml:space="preserve">.  Съгласно чл. 4 всяко осъдено лице, за което може да се прилага Конвенцията за трансфер, ще бъде информирано от осъждащата </w:t>
      </w:r>
      <w:r w:rsidR="007B2496" w:rsidRPr="004E76CC">
        <w:t>д</w:t>
      </w:r>
      <w:r w:rsidRPr="004E76CC">
        <w:t xml:space="preserve">ържава за същността на тази Конвенция и ако то </w:t>
      </w:r>
      <w:r w:rsidR="003C2D21">
        <w:t>прояви</w:t>
      </w:r>
      <w:r w:rsidR="003C2D21" w:rsidRPr="004E76CC">
        <w:t xml:space="preserve"> </w:t>
      </w:r>
      <w:r w:rsidRPr="004E76CC">
        <w:t>интерес да бъд</w:t>
      </w:r>
      <w:r w:rsidR="007B2496" w:rsidRPr="004E76CC">
        <w:t>е</w:t>
      </w:r>
      <w:r w:rsidRPr="004E76CC">
        <w:t xml:space="preserve"> прехвърлено по тази Конвенция, осъждащата </w:t>
      </w:r>
      <w:r w:rsidR="007B2496" w:rsidRPr="004E76CC">
        <w:t>д</w:t>
      </w:r>
      <w:r w:rsidRPr="004E76CC">
        <w:t xml:space="preserve">ържава уведомява за това </w:t>
      </w:r>
      <w:r w:rsidR="003C2D21">
        <w:t>изпълняващата</w:t>
      </w:r>
      <w:r w:rsidR="003C2D21" w:rsidRPr="004E76CC">
        <w:t xml:space="preserve"> </w:t>
      </w:r>
      <w:r w:rsidR="007B2496" w:rsidRPr="004E76CC">
        <w:t>д</w:t>
      </w:r>
      <w:r w:rsidRPr="004E76CC">
        <w:t>ържава възможно най-бързо след влизането в сила на решението.</w:t>
      </w:r>
    </w:p>
    <w:p w:rsidR="00C27D39" w:rsidRPr="004E76CC" w:rsidRDefault="00C27D39" w:rsidP="00C27D39">
      <w:pPr>
        <w:pStyle w:val="ECHRTitle1"/>
      </w:pPr>
      <w:r w:rsidRPr="004E76CC">
        <w:t>ОПЛАКВАНИЯ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22</w:t>
      </w:r>
      <w:r w:rsidRPr="004E76CC">
        <w:fldChar w:fldCharType="end"/>
      </w:r>
      <w:r w:rsidRPr="004E76CC">
        <w:t>.  Жалбоподателят се оплаква по чл. 8 от Конвенцията, че отказът на българските власти да разрешат трансфера му в Австралия е направил невъзможно за него да поддържа личен и семеен живот, тъй като цялото му семейство и други близки роднини живеят в Австралия. Жалбоподателят също така се оплаква по чл. 13 във връзка с чл. 8, че не е имал ефективно вътрешноправно средство за защита по отношение на оплакването си по чл. 8 от Конвенцията.</w:t>
      </w:r>
    </w:p>
    <w:p w:rsidR="00C27D39" w:rsidRPr="004E76CC" w:rsidRDefault="007B2496" w:rsidP="00C27D39">
      <w:pPr>
        <w:pStyle w:val="ECHRTitle1"/>
      </w:pPr>
      <w:r w:rsidRPr="004E76CC">
        <w:t>ПРАВОТО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23</w:t>
      </w:r>
      <w:r w:rsidRPr="004E76CC">
        <w:fldChar w:fldCharType="end"/>
      </w:r>
      <w:r w:rsidRPr="004E76CC">
        <w:t>.  Съдът отбелязва, че жалбоподателят се е оплакал по същество от нарушение на правото си на зачитане на личния и семеен живот, тъй като не е бил в състояние да поддържа контакт с родителите си и други членове на семейството в резултат на отказа на българските власти да разрешат неговия трансфер, за да изтърпи остатъка от присъдата си в австралийски затвор.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24</w:t>
      </w:r>
      <w:r w:rsidRPr="004E76CC">
        <w:fldChar w:fldCharType="end"/>
      </w:r>
      <w:r w:rsidRPr="004E76CC">
        <w:t>.  Това оплакване следва да се разглежда в светлината на чл. 8 от Конвенцията, който гласи:</w:t>
      </w:r>
    </w:p>
    <w:p w:rsidR="00C27D39" w:rsidRPr="004E76CC" w:rsidRDefault="00C27D39" w:rsidP="00C27D39">
      <w:pPr>
        <w:pStyle w:val="ECHRParaQuote"/>
      </w:pPr>
      <w:r w:rsidRPr="004E76CC">
        <w:rPr>
          <w:cs/>
        </w:rPr>
        <w:t>“</w:t>
      </w:r>
      <w:r w:rsidRPr="004E76CC">
        <w:t>1.  </w:t>
      </w:r>
      <w:proofErr w:type="spellStart"/>
      <w:r w:rsidRPr="004E76CC">
        <w:t>Βсеки</w:t>
      </w:r>
      <w:proofErr w:type="spellEnd"/>
      <w:r w:rsidRPr="004E76CC">
        <w:t xml:space="preserve"> има право на неприкосновеност на личния и семейния си живот, на жилището и на тайната на кореспонденцията.</w:t>
      </w:r>
    </w:p>
    <w:p w:rsidR="00C27D39" w:rsidRPr="004E76CC" w:rsidRDefault="00C27D39" w:rsidP="00C27D39">
      <w:pPr>
        <w:pStyle w:val="ECHRParaQuote"/>
      </w:pPr>
      <w:r w:rsidRPr="004E76CC">
        <w:t>2.  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другите.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25</w:t>
      </w:r>
      <w:r w:rsidRPr="004E76CC">
        <w:fldChar w:fldCharType="end"/>
      </w:r>
      <w:r w:rsidRPr="004E76CC">
        <w:t xml:space="preserve">.  Правителството твърди, че главният прокурор е </w:t>
      </w:r>
      <w:r w:rsidR="00EE39C2">
        <w:t>компет</w:t>
      </w:r>
      <w:r w:rsidR="001C042A">
        <w:t>е</w:t>
      </w:r>
      <w:r w:rsidR="00EE39C2">
        <w:t>нтен</w:t>
      </w:r>
      <w:r w:rsidRPr="004E76CC">
        <w:t xml:space="preserve"> да вземе решение по молбата за трансфер, тъй като съгласно Конвенцията за трансфер няма задължение за автоматично даване на позволение за такива молби. Освен това властите не възпрепятства</w:t>
      </w:r>
      <w:r w:rsidR="00F2752C" w:rsidRPr="004E76CC">
        <w:t>т</w:t>
      </w:r>
      <w:r w:rsidRPr="004E76CC">
        <w:t xml:space="preserve"> посещения на жалбоподателя в българския затвор, в който е задържан, и дори допуска</w:t>
      </w:r>
      <w:r w:rsidR="00F2752C" w:rsidRPr="004E76CC">
        <w:t>т</w:t>
      </w:r>
      <w:r w:rsidRPr="004E76CC">
        <w:t xml:space="preserve"> посетители извън обичайните часове за посещение. </w:t>
      </w:r>
      <w:r w:rsidR="00F2752C" w:rsidRPr="004E76CC">
        <w:t>Н</w:t>
      </w:r>
      <w:r w:rsidRPr="004E76CC">
        <w:t xml:space="preserve">акрая, нищо не възпрепятства жалбоподателя да подаде нова молба за трансфер в австралийски затвор, тъй като няма ограничение за броя на такива молби, които биха могли </w:t>
      </w:r>
      <w:r w:rsidR="00EE39C2">
        <w:t>да се подадат</w:t>
      </w:r>
      <w:r w:rsidRPr="004E76CC">
        <w:t>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26</w:t>
      </w:r>
      <w:r w:rsidRPr="004E76CC">
        <w:fldChar w:fldCharType="end"/>
      </w:r>
      <w:r w:rsidRPr="004E76CC">
        <w:t xml:space="preserve">.  Съдът отбелязва, че макар евентуално да може да възникне въпрос дали </w:t>
      </w:r>
      <w:r w:rsidR="00597482">
        <w:t>оплакването</w:t>
      </w:r>
      <w:r w:rsidR="00EE39C2" w:rsidRPr="004E76CC">
        <w:t xml:space="preserve"> </w:t>
      </w:r>
      <w:r w:rsidRPr="004E76CC">
        <w:t>трябва да бъде отхвърлен поради неспазване на шестмесеч</w:t>
      </w:r>
      <w:r w:rsidR="00597482">
        <w:t>ния срок за подаване на жалба</w:t>
      </w:r>
      <w:r w:rsidRPr="004E76CC">
        <w:t xml:space="preserve"> , той не смята за необходимо да разглежда това, тъй като във всеки случай жалбата </w:t>
      </w:r>
      <w:r w:rsidR="00597482">
        <w:t>е</w:t>
      </w:r>
      <w:r w:rsidR="00597482" w:rsidRPr="004E76CC">
        <w:t xml:space="preserve"> </w:t>
      </w:r>
      <w:r w:rsidRPr="004E76CC">
        <w:t xml:space="preserve">несъвместима </w:t>
      </w:r>
      <w:proofErr w:type="spellStart"/>
      <w:r w:rsidRPr="004E76CC">
        <w:rPr>
          <w:i/>
        </w:rPr>
        <w:t>ratione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materiae</w:t>
      </w:r>
      <w:proofErr w:type="spellEnd"/>
      <w:r w:rsidRPr="004E76CC">
        <w:t xml:space="preserve"> с разпоредбите на Конвенцията поради посочените по-долу причини.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27</w:t>
      </w:r>
      <w:r w:rsidRPr="004E76CC">
        <w:fldChar w:fldCharType="end"/>
      </w:r>
      <w:r w:rsidRPr="004E76CC">
        <w:t>.  </w:t>
      </w:r>
      <w:r w:rsidR="00885F4A" w:rsidRPr="004E76CC">
        <w:t>Решаващият въпрос</w:t>
      </w:r>
      <w:r w:rsidRPr="004E76CC">
        <w:t>, който трябва да бъде разгледан в настоящия случай, е именно дали отказът на България да прехвърли жалбоподателя в Австралия попада в приложното поле на чл. 8 от Конвенцията.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28</w:t>
      </w:r>
      <w:r w:rsidRPr="004E76CC">
        <w:fldChar w:fldCharType="end"/>
      </w:r>
      <w:r w:rsidRPr="004E76CC">
        <w:t xml:space="preserve">.  Съдът </w:t>
      </w:r>
      <w:r w:rsidR="00885F4A" w:rsidRPr="004E76CC">
        <w:t>припомня</w:t>
      </w:r>
      <w:r w:rsidRPr="004E76CC">
        <w:t xml:space="preserve">, че жалбоподателят, както и всеки друг </w:t>
      </w:r>
      <w:r w:rsidR="00597482">
        <w:t>лишен от свобода</w:t>
      </w:r>
      <w:r w:rsidRPr="004E76CC">
        <w:t>, има право на личен и семеен живот съгласно чл. 8 от Конвенцията. Съдът многократно</w:t>
      </w:r>
      <w:r w:rsidR="00597482">
        <w:t xml:space="preserve"> е</w:t>
      </w:r>
      <w:r w:rsidRPr="004E76CC">
        <w:t xml:space="preserve"> постановява</w:t>
      </w:r>
      <w:r w:rsidR="00597482">
        <w:t>л</w:t>
      </w:r>
      <w:r w:rsidRPr="004E76CC">
        <w:t xml:space="preserve">, че </w:t>
      </w:r>
      <w:r w:rsidR="00597482">
        <w:t xml:space="preserve">фактът на осъждането не води до загуба на </w:t>
      </w:r>
      <w:r w:rsidRPr="004E76CC">
        <w:t>права</w:t>
      </w:r>
      <w:r w:rsidR="00597482">
        <w:t>та</w:t>
      </w:r>
      <w:r w:rsidRPr="004E76CC">
        <w:t xml:space="preserve"> </w:t>
      </w:r>
      <w:r w:rsidR="00597482">
        <w:t xml:space="preserve">на лишения от свобода </w:t>
      </w:r>
      <w:r w:rsidRPr="004E76CC">
        <w:t xml:space="preserve">по чл. 8 (вж. </w:t>
      </w:r>
      <w:proofErr w:type="spellStart"/>
      <w:r w:rsidRPr="004E76CC">
        <w:rPr>
          <w:i/>
        </w:rPr>
        <w:t>Khoroshenko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Russia</w:t>
      </w:r>
      <w:proofErr w:type="spellEnd"/>
      <w:r w:rsidRPr="004E76CC">
        <w:t xml:space="preserve"> [GC], </w:t>
      </w:r>
      <w:r w:rsidRPr="004E76CC">
        <w:rPr>
          <w:cs/>
        </w:rPr>
        <w:t xml:space="preserve">№ </w:t>
      </w:r>
      <w:r w:rsidRPr="004E76CC">
        <w:t xml:space="preserve">41418/04, §§ 116 -117, ЕСПЧ 2015 г. с допълнителни препратки; също и </w:t>
      </w:r>
      <w:proofErr w:type="spellStart"/>
      <w:r w:rsidRPr="004E76CC">
        <w:rPr>
          <w:i/>
        </w:rPr>
        <w:t>Khodorkovskiy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and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Lebedev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Russia</w:t>
      </w:r>
      <w:proofErr w:type="spellEnd"/>
      <w:r w:rsidRPr="004E76CC">
        <w:t xml:space="preserve">, </w:t>
      </w:r>
      <w:r w:rsidRPr="004E76CC">
        <w:rPr>
          <w:cs/>
        </w:rPr>
        <w:t xml:space="preserve">№ </w:t>
      </w:r>
      <w:r w:rsidRPr="004E76CC">
        <w:t>11082/06 и 13772/05, § 836, 25 юли 2013 г.).</w:t>
      </w:r>
    </w:p>
    <w:p w:rsidR="00C27D39" w:rsidRPr="004E76CC" w:rsidRDefault="00C27D39" w:rsidP="00C27D39">
      <w:pPr>
        <w:pStyle w:val="ECHRPara"/>
        <w:rPr>
          <w:snapToGrid w:val="0"/>
        </w:rPr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29</w:t>
      </w:r>
      <w:r w:rsidRPr="004E76CC">
        <w:fldChar w:fldCharType="end"/>
      </w:r>
      <w:r w:rsidRPr="004E76CC">
        <w:t>.  </w:t>
      </w:r>
      <w:r w:rsidR="00597482">
        <w:t>З</w:t>
      </w:r>
      <w:r w:rsidRPr="004E76CC">
        <w:t xml:space="preserve">адържане, </w:t>
      </w:r>
      <w:r w:rsidR="00742F01">
        <w:t xml:space="preserve">което е </w:t>
      </w:r>
      <w:r w:rsidRPr="004E76CC">
        <w:t>закон</w:t>
      </w:r>
      <w:r w:rsidR="00885F4A" w:rsidRPr="004E76CC">
        <w:t>осъобраз</w:t>
      </w:r>
      <w:r w:rsidRPr="004E76CC">
        <w:t>но</w:t>
      </w:r>
      <w:r w:rsidR="0008273D">
        <w:t xml:space="preserve"> </w:t>
      </w:r>
      <w:r w:rsidR="00597482">
        <w:t>по смисъла на</w:t>
      </w:r>
      <w:r w:rsidRPr="004E76CC">
        <w:t xml:space="preserve"> чл. 5 от Конвенцията, по своята същност </w:t>
      </w:r>
      <w:r w:rsidR="00742F01" w:rsidRPr="00742F01">
        <w:t xml:space="preserve">обаче </w:t>
      </w:r>
      <w:r w:rsidRPr="004E76CC">
        <w:t xml:space="preserve">води до различни ограничения </w:t>
      </w:r>
      <w:r w:rsidR="00885F4A" w:rsidRPr="004E76CC">
        <w:t xml:space="preserve">на </w:t>
      </w:r>
      <w:r w:rsidRPr="004E76CC">
        <w:t xml:space="preserve">личния и семейния живот. </w:t>
      </w:r>
      <w:proofErr w:type="spellStart"/>
      <w:r w:rsidRPr="004E76CC">
        <w:t>Би</w:t>
      </w:r>
      <w:proofErr w:type="spellEnd"/>
      <w:r w:rsidRPr="004E76CC">
        <w:t xml:space="preserve"> било фундаментално погрешно да се анализира всеки отделен случай на задържане след осъждане от гледна точка на чл. 8 и да се гледа </w:t>
      </w:r>
      <w:r w:rsidRPr="004E76CC">
        <w:rPr>
          <w:cs/>
        </w:rPr>
        <w:t>“</w:t>
      </w:r>
      <w:r w:rsidRPr="004E76CC">
        <w:t>закон</w:t>
      </w:r>
      <w:r w:rsidR="00885F4A" w:rsidRPr="004E76CC">
        <w:t>осъобраз</w:t>
      </w:r>
      <w:r w:rsidRPr="004E76CC">
        <w:t>ността</w:t>
      </w:r>
      <w:r w:rsidRPr="004E76CC">
        <w:rPr>
          <w:cs/>
        </w:rPr>
        <w:t xml:space="preserve">” </w:t>
      </w:r>
      <w:r w:rsidRPr="004E76CC">
        <w:t xml:space="preserve">и </w:t>
      </w:r>
      <w:r w:rsidRPr="004E76CC">
        <w:rPr>
          <w:cs/>
        </w:rPr>
        <w:t>“</w:t>
      </w:r>
      <w:r w:rsidRPr="004E76CC">
        <w:t>пропорционалността</w:t>
      </w:r>
      <w:r w:rsidRPr="004E76CC">
        <w:rPr>
          <w:cs/>
        </w:rPr>
        <w:t xml:space="preserve">” </w:t>
      </w:r>
      <w:r w:rsidRPr="004E76CC">
        <w:t>на наказанието лишаване от свобода като такова, тъй като местните власти разполагат с широко право на преценка по въпроси, свързани с изпълнението на наказани</w:t>
      </w:r>
      <w:r w:rsidR="00597482">
        <w:t>ето</w:t>
      </w:r>
      <w:r w:rsidRPr="004E76CC">
        <w:t xml:space="preserve"> (вж. </w:t>
      </w:r>
      <w:proofErr w:type="spellStart"/>
      <w:r w:rsidRPr="004E76CC">
        <w:rPr>
          <w:i/>
        </w:rPr>
        <w:t>Khodorkovskiy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and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Lebedev</w:t>
      </w:r>
      <w:proofErr w:type="spellEnd"/>
      <w:r w:rsidRPr="004E76CC">
        <w:t xml:space="preserve">, цитирано по-горе, §§ 835-836; вж. също </w:t>
      </w:r>
      <w:proofErr w:type="spellStart"/>
      <w:r w:rsidRPr="004E76CC">
        <w:rPr>
          <w:i/>
        </w:rPr>
        <w:t>Labaca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Larrea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France</w:t>
      </w:r>
      <w:proofErr w:type="spellEnd"/>
      <w:r w:rsidRPr="004E76CC">
        <w:t xml:space="preserve"> (решение за допустимост), </w:t>
      </w:r>
      <w:r w:rsidRPr="004E76CC">
        <w:rPr>
          <w:cs/>
        </w:rPr>
        <w:t xml:space="preserve">№ </w:t>
      </w:r>
      <w:r w:rsidRPr="004E76CC">
        <w:t>56710/13, § 41, 2 март 2017 г.).</w:t>
      </w:r>
    </w:p>
    <w:p w:rsidR="00C27D39" w:rsidRPr="004E76CC" w:rsidRDefault="00C27D39" w:rsidP="00C27D39">
      <w:pPr>
        <w:pStyle w:val="ECHRPara"/>
        <w:rPr>
          <w:snapToGrid w:val="0"/>
        </w:rPr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30</w:t>
      </w:r>
      <w:r w:rsidRPr="004E76CC">
        <w:fldChar w:fldCharType="end"/>
      </w:r>
      <w:r w:rsidRPr="004E76CC">
        <w:t>.   Съдът също така е постанов</w:t>
      </w:r>
      <w:r w:rsidR="00597482">
        <w:t>ява</w:t>
      </w:r>
      <w:r w:rsidRPr="004E76CC">
        <w:t xml:space="preserve">л в контекста на вътрешнодържавните трансфери, че тази свобода на преценка, особено що се отнася до разпределението на </w:t>
      </w:r>
      <w:r w:rsidR="00597482">
        <w:t>лишените от свобода</w:t>
      </w:r>
      <w:r w:rsidRPr="004E76CC">
        <w:t xml:space="preserve">, не е абсолютна (вж. </w:t>
      </w:r>
      <w:proofErr w:type="spellStart"/>
      <w:r w:rsidRPr="004E76CC">
        <w:rPr>
          <w:i/>
        </w:rPr>
        <w:t>Rodzevillo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Ukraine</w:t>
      </w:r>
      <w:proofErr w:type="spellEnd"/>
      <w:r w:rsidRPr="004E76CC">
        <w:rPr>
          <w:i/>
        </w:rPr>
        <w:t>,</w:t>
      </w:r>
      <w:r w:rsidRPr="004E76CC">
        <w:t xml:space="preserve"> </w:t>
      </w:r>
      <w:r w:rsidRPr="004E76CC">
        <w:rPr>
          <w:cs/>
        </w:rPr>
        <w:t xml:space="preserve">№ </w:t>
      </w:r>
      <w:r w:rsidRPr="004E76CC">
        <w:t>38771/05, § 83, 14 януари 2016 г.).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31</w:t>
      </w:r>
      <w:r w:rsidRPr="004E76CC">
        <w:fldChar w:fldCharType="end"/>
      </w:r>
      <w:r w:rsidRPr="004E76CC">
        <w:t xml:space="preserve">.  Фактът, че жалбоподателят продължава да се ползва от някои права по чл. 8, не е решаващ обаче за това дали отказ да бъде прехвърлен в друга държава </w:t>
      </w:r>
      <w:r w:rsidR="0006056E">
        <w:t>,</w:t>
      </w:r>
      <w:r w:rsidRPr="004E76CC">
        <w:t xml:space="preserve"> </w:t>
      </w:r>
      <w:r w:rsidR="00597482">
        <w:t xml:space="preserve">още повече </w:t>
      </w:r>
      <w:r w:rsidRPr="004E76CC">
        <w:t>в държава извън Съвета на Европа и която не е страна по Конвенцията, попада в обхвата на тази разпоредба.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32</w:t>
      </w:r>
      <w:r w:rsidRPr="004E76CC">
        <w:fldChar w:fldCharType="end"/>
      </w:r>
      <w:r w:rsidRPr="004E76CC">
        <w:t xml:space="preserve">.  Що се отнася до този централен въпрос, Съдът отбелязва на първо място, че няма доказателства, че българското законодателство предоставя на жалбоподателя право на трансфер в Австралия. Жалбоподателят не </w:t>
      </w:r>
      <w:r w:rsidR="004649F0" w:rsidRPr="004E76CC">
        <w:t xml:space="preserve">се </w:t>
      </w:r>
      <w:r w:rsidRPr="004E76CC">
        <w:t xml:space="preserve">позовава на относими правни разпоредби, които биха </w:t>
      </w:r>
      <w:r w:rsidR="0006056E">
        <w:t xml:space="preserve">свидетелствали за </w:t>
      </w:r>
      <w:r w:rsidR="0006056E" w:rsidRPr="004E76CC">
        <w:t xml:space="preserve"> </w:t>
      </w:r>
      <w:r w:rsidRPr="004E76CC">
        <w:t xml:space="preserve">наличието на такова право; съдебно решение на национален съд, разпореждащо такъв трансфер, също не е представено пред Съда. Съответно не може да се твърди, че жалбоподателят има каквото и да </w:t>
      </w:r>
      <w:r w:rsidR="004649F0" w:rsidRPr="004E76CC">
        <w:t xml:space="preserve">е </w:t>
      </w:r>
      <w:r w:rsidRPr="004E76CC">
        <w:t xml:space="preserve">материално право по българското законодателство да бъде прехвърлен в своята страна на произход (вж. по подобен начин </w:t>
      </w:r>
      <w:proofErr w:type="spellStart"/>
      <w:r w:rsidRPr="004E76CC">
        <w:rPr>
          <w:i/>
        </w:rPr>
        <w:t>Plepi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Albania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and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Greec</w:t>
      </w:r>
      <w:r w:rsidRPr="004E76CC">
        <w:t>e</w:t>
      </w:r>
      <w:proofErr w:type="spellEnd"/>
      <w:r w:rsidRPr="004E76CC">
        <w:t xml:space="preserve">, (решение за допустимост), </w:t>
      </w:r>
      <w:r w:rsidRPr="004E76CC">
        <w:rPr>
          <w:cs/>
        </w:rPr>
        <w:t xml:space="preserve">№ </w:t>
      </w:r>
      <w:r w:rsidRPr="004E76CC">
        <w:t xml:space="preserve">11546/05, 33285/05 и 33288/05, 4 май 2010 г. и </w:t>
      </w:r>
      <w:proofErr w:type="spellStart"/>
      <w:r w:rsidRPr="004E76CC">
        <w:rPr>
          <w:i/>
        </w:rPr>
        <w:t>Serce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Romania</w:t>
      </w:r>
      <w:proofErr w:type="spellEnd"/>
      <w:r w:rsidRPr="004E76CC">
        <w:t xml:space="preserve">, </w:t>
      </w:r>
      <w:r w:rsidRPr="004E76CC">
        <w:rPr>
          <w:cs/>
        </w:rPr>
        <w:t xml:space="preserve">№ </w:t>
      </w:r>
      <w:r w:rsidRPr="004E76CC">
        <w:t>35049/08, § 53, 30 юни 2015 г.).</w:t>
      </w:r>
    </w:p>
    <w:p w:rsidR="00C27D39" w:rsidRPr="004E76CC" w:rsidRDefault="00C27D39" w:rsidP="00C27D39">
      <w:pPr>
        <w:pStyle w:val="ECHRPara"/>
        <w:rPr>
          <w:i/>
          <w:szCs w:val="24"/>
        </w:rPr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33</w:t>
      </w:r>
      <w:r w:rsidRPr="004E76CC">
        <w:fldChar w:fldCharType="end"/>
      </w:r>
      <w:r w:rsidRPr="004E76CC">
        <w:t xml:space="preserve">.  Макар да е вярно, че </w:t>
      </w:r>
      <w:r w:rsidR="00597482">
        <w:t>преценката за</w:t>
      </w:r>
      <w:r w:rsidRPr="004E76CC">
        <w:t xml:space="preserve"> това дали право, което жалбоподател претендира, съществува или не във вътрешния правен ред, е по-често срещано </w:t>
      </w:r>
      <w:r w:rsidR="00597482">
        <w:t>при оплаквания</w:t>
      </w:r>
      <w:r w:rsidR="00597482" w:rsidRPr="004E76CC">
        <w:t xml:space="preserve"> </w:t>
      </w:r>
      <w:r w:rsidRPr="004E76CC">
        <w:t xml:space="preserve">по чл. 6 (вж. </w:t>
      </w:r>
      <w:proofErr w:type="spellStart"/>
      <w:r w:rsidRPr="004E76CC">
        <w:rPr>
          <w:i/>
        </w:rPr>
        <w:t>Frydlender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France</w:t>
      </w:r>
      <w:proofErr w:type="spellEnd"/>
      <w:r w:rsidRPr="004E76CC">
        <w:t xml:space="preserve"> [GC], </w:t>
      </w:r>
      <w:r w:rsidRPr="004E76CC">
        <w:rPr>
          <w:cs/>
        </w:rPr>
        <w:t>№</w:t>
      </w:r>
      <w:r w:rsidRPr="004E76CC">
        <w:t> </w:t>
      </w:r>
      <w:hyperlink r:id="rId8" w:anchor="{&quot;appno&quot;:[&quot;30979/96&quot;]}" w:tgtFrame="_blank" w:history="1">
        <w:r w:rsidRPr="004E76CC">
          <w:t>30979/96</w:t>
        </w:r>
      </w:hyperlink>
      <w:r w:rsidRPr="004E76CC">
        <w:t xml:space="preserve">, § 27, ЕСПЧ 2000-VII; </w:t>
      </w:r>
      <w:proofErr w:type="spellStart"/>
      <w:r w:rsidRPr="004E76CC">
        <w:rPr>
          <w:i/>
        </w:rPr>
        <w:t>Vilho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Eskelinen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and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Others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Finland</w:t>
      </w:r>
      <w:proofErr w:type="spellEnd"/>
      <w:r w:rsidRPr="004E76CC">
        <w:t xml:space="preserve"> [GC], </w:t>
      </w:r>
      <w:r w:rsidRPr="004E76CC">
        <w:rPr>
          <w:cs/>
        </w:rPr>
        <w:t xml:space="preserve">№ </w:t>
      </w:r>
      <w:r w:rsidRPr="004E76CC">
        <w:t xml:space="preserve">63235/00, § 40, ЕСПЧ 2007-II; </w:t>
      </w:r>
      <w:proofErr w:type="spellStart"/>
      <w:r w:rsidRPr="004E76CC">
        <w:rPr>
          <w:i/>
        </w:rPr>
        <w:t>Gorou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Greece</w:t>
      </w:r>
      <w:proofErr w:type="spellEnd"/>
      <w:r w:rsidRPr="004E76CC">
        <w:rPr>
          <w:i/>
        </w:rPr>
        <w:t xml:space="preserve"> (</w:t>
      </w:r>
      <w:proofErr w:type="spellStart"/>
      <w:r w:rsidRPr="004E76CC">
        <w:rPr>
          <w:i/>
        </w:rPr>
        <w:t>no</w:t>
      </w:r>
      <w:proofErr w:type="spellEnd"/>
      <w:r w:rsidRPr="004E76CC">
        <w:rPr>
          <w:i/>
        </w:rPr>
        <w:t>. 2)</w:t>
      </w:r>
      <w:r w:rsidRPr="004E76CC">
        <w:t xml:space="preserve"> [GC], </w:t>
      </w:r>
      <w:r w:rsidRPr="004E76CC">
        <w:rPr>
          <w:cs/>
        </w:rPr>
        <w:t>№</w:t>
      </w:r>
      <w:r w:rsidRPr="004E76CC">
        <w:t xml:space="preserve"> 12686/03, § 24, , 20 март 2009 г.) или чл. 1 от Протокол </w:t>
      </w:r>
      <w:r w:rsidRPr="004E76CC">
        <w:rPr>
          <w:cs/>
        </w:rPr>
        <w:t xml:space="preserve">№ </w:t>
      </w:r>
      <w:r w:rsidRPr="004E76CC">
        <w:t xml:space="preserve">1 към Конвенцията (вж. </w:t>
      </w:r>
      <w:proofErr w:type="spellStart"/>
      <w:r w:rsidRPr="004E76CC">
        <w:rPr>
          <w:i/>
        </w:rPr>
        <w:t>Gratzinger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and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Gratzingerova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the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Czech</w:t>
      </w:r>
      <w:proofErr w:type="spellEnd"/>
      <w:r w:rsidRPr="004E76CC">
        <w:rPr>
          <w:i/>
        </w:rPr>
        <w:t xml:space="preserve"> Republic</w:t>
      </w:r>
      <w:r w:rsidRPr="004E76CC">
        <w:t xml:space="preserve"> (решение за допустимост) [GC], </w:t>
      </w:r>
      <w:r w:rsidRPr="004E76CC">
        <w:rPr>
          <w:cs/>
        </w:rPr>
        <w:t xml:space="preserve">№ </w:t>
      </w:r>
      <w:r w:rsidRPr="004E76CC">
        <w:t xml:space="preserve">39794/98, §§ 72-74, ЕСПЧ 2002-VII), </w:t>
      </w:r>
      <w:r w:rsidR="00597482">
        <w:t xml:space="preserve">подобен подход, свързан с преценка на националното </w:t>
      </w:r>
      <w:r w:rsidR="004649F0" w:rsidRPr="004E76CC">
        <w:t>законодателство</w:t>
      </w:r>
      <w:r w:rsidRPr="004E76CC">
        <w:t xml:space="preserve"> и съдебна практика</w:t>
      </w:r>
      <w:r w:rsidR="00597482">
        <w:t xml:space="preserve"> може да бъде възприет от Съда и</w:t>
      </w:r>
      <w:r w:rsidRPr="004E76CC">
        <w:t xml:space="preserve"> като част от  анализ</w:t>
      </w:r>
      <w:r w:rsidR="00597482">
        <w:t>а</w:t>
      </w:r>
      <w:r w:rsidRPr="004E76CC">
        <w:t xml:space="preserve"> на приложимостта на чл. 8 към дадено оплакване (вж. например </w:t>
      </w:r>
      <w:proofErr w:type="spellStart"/>
      <w:r w:rsidRPr="004E76CC">
        <w:rPr>
          <w:i/>
        </w:rPr>
        <w:t>Manenc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France</w:t>
      </w:r>
      <w:proofErr w:type="spellEnd"/>
      <w:r w:rsidRPr="004E76CC">
        <w:rPr>
          <w:i/>
        </w:rPr>
        <w:t xml:space="preserve"> </w:t>
      </w:r>
      <w:r w:rsidRPr="004E76CC">
        <w:t xml:space="preserve">(решение за допустимост), </w:t>
      </w:r>
      <w:r w:rsidRPr="004E76CC">
        <w:rPr>
          <w:cs/>
        </w:rPr>
        <w:t xml:space="preserve">№ </w:t>
      </w:r>
      <w:r w:rsidRPr="004E76CC">
        <w:t xml:space="preserve">66686/09, 21 септември 2010 г., и </w:t>
      </w:r>
      <w:proofErr w:type="spellStart"/>
      <w:r w:rsidRPr="004E76CC">
        <w:rPr>
          <w:i/>
        </w:rPr>
        <w:t>Aldeguer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Tomás</w:t>
      </w:r>
      <w:proofErr w:type="spellEnd"/>
      <w:r w:rsidRPr="004E76CC">
        <w:t xml:space="preserve"> </w:t>
      </w:r>
      <w:r w:rsidRPr="004E76CC">
        <w:rPr>
          <w:i/>
        </w:rPr>
        <w:t xml:space="preserve">v. </w:t>
      </w:r>
      <w:proofErr w:type="spellStart"/>
      <w:r w:rsidRPr="004E76CC">
        <w:rPr>
          <w:i/>
        </w:rPr>
        <w:t>Spain</w:t>
      </w:r>
      <w:proofErr w:type="spellEnd"/>
      <w:r w:rsidRPr="004E76CC">
        <w:t xml:space="preserve">, </w:t>
      </w:r>
      <w:r w:rsidRPr="004E76CC">
        <w:rPr>
          <w:cs/>
        </w:rPr>
        <w:t xml:space="preserve">№ </w:t>
      </w:r>
      <w:r w:rsidRPr="004E76CC">
        <w:t>35214/09, §§ 76-77, 14 юни 2016 г.).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34</w:t>
      </w:r>
      <w:r w:rsidRPr="004E76CC">
        <w:fldChar w:fldCharType="end"/>
      </w:r>
      <w:r w:rsidRPr="004E76CC">
        <w:t xml:space="preserve">.  Съдът последователно постановява, че чл. 8, независимо от широкия </w:t>
      </w:r>
      <w:r w:rsidR="00E0168C">
        <w:t>си</w:t>
      </w:r>
      <w:r w:rsidRPr="004E76CC">
        <w:t xml:space="preserve"> обхват, </w:t>
      </w:r>
      <w:r w:rsidR="00E0168C">
        <w:t xml:space="preserve">няма за цел </w:t>
      </w:r>
      <w:r w:rsidRPr="004E76CC">
        <w:t xml:space="preserve">да запълни твърдяна празнота в защитата на основните права, която произтича от решението на ответната държава да </w:t>
      </w:r>
      <w:r w:rsidR="00E0168C">
        <w:t>направи преценка</w:t>
      </w:r>
      <w:r w:rsidR="001D600F">
        <w:t>,</w:t>
      </w:r>
      <w:r w:rsidRPr="004E76CC">
        <w:t xml:space="preserve"> в съответствие с международното право</w:t>
      </w:r>
      <w:r w:rsidR="001D600F">
        <w:t>,</w:t>
      </w:r>
      <w:r w:rsidRPr="004E76CC">
        <w:t xml:space="preserve"> да не предоставя конкретно материално право (вж., </w:t>
      </w:r>
      <w:proofErr w:type="spellStart"/>
      <w:r w:rsidRPr="004E76CC">
        <w:rPr>
          <w:i/>
        </w:rPr>
        <w:t>mutatis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mutandis</w:t>
      </w:r>
      <w:proofErr w:type="spellEnd"/>
      <w:r w:rsidRPr="004E76CC">
        <w:t xml:space="preserve">, </w:t>
      </w:r>
      <w:proofErr w:type="spellStart"/>
      <w:r w:rsidRPr="004E76CC">
        <w:rPr>
          <w:i/>
        </w:rPr>
        <w:t>Misick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the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United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Kingdom</w:t>
      </w:r>
      <w:proofErr w:type="spellEnd"/>
      <w:r w:rsidRPr="004E76CC">
        <w:t xml:space="preserve"> (решение за допустимост), </w:t>
      </w:r>
      <w:r w:rsidRPr="004E76CC">
        <w:rPr>
          <w:cs/>
        </w:rPr>
        <w:t xml:space="preserve">№ </w:t>
      </w:r>
      <w:r w:rsidRPr="004E76CC">
        <w:t>10781/10, 16 октомври 2012 г.).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35</w:t>
      </w:r>
      <w:r w:rsidRPr="004E76CC">
        <w:fldChar w:fldCharType="end"/>
      </w:r>
      <w:r w:rsidRPr="004E76CC">
        <w:t>.  На второ място</w:t>
      </w:r>
      <w:r w:rsidR="00E0168C">
        <w:t>,</w:t>
      </w:r>
      <w:r w:rsidRPr="004E76CC">
        <w:t xml:space="preserve"> Съдът отбелязва, че разпоредбите на международните споразумения могат от своя страна да създадат индивидуални права, защитени от Конвенцията. Това може да възникне, когато </w:t>
      </w:r>
      <w:r w:rsidR="001D600F">
        <w:t>норма</w:t>
      </w:r>
      <w:r w:rsidR="001D600F" w:rsidRPr="004E76CC">
        <w:t xml:space="preserve"> </w:t>
      </w:r>
      <w:r w:rsidRPr="004E76CC">
        <w:t xml:space="preserve">на международен договор е пряко приложима (вж. </w:t>
      </w:r>
      <w:r w:rsidRPr="004E76CC">
        <w:rPr>
          <w:i/>
        </w:rPr>
        <w:t xml:space="preserve">S.A. </w:t>
      </w:r>
      <w:proofErr w:type="spellStart"/>
      <w:r w:rsidRPr="004E76CC">
        <w:rPr>
          <w:i/>
        </w:rPr>
        <w:t>Dangeville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France</w:t>
      </w:r>
      <w:proofErr w:type="spellEnd"/>
      <w:r w:rsidRPr="004E76CC">
        <w:t xml:space="preserve">, </w:t>
      </w:r>
      <w:r w:rsidRPr="004E76CC">
        <w:rPr>
          <w:cs/>
        </w:rPr>
        <w:t xml:space="preserve">№ </w:t>
      </w:r>
      <w:r w:rsidRPr="004E76CC">
        <w:t xml:space="preserve">36677/97, ​​§§ 46-48, ЕСПЧ 2002-III) или когато е влязла в сила необходимата </w:t>
      </w:r>
      <w:r w:rsidR="001D600F">
        <w:t>вътрешна</w:t>
      </w:r>
      <w:r w:rsidR="001D600F" w:rsidRPr="004E76CC">
        <w:t xml:space="preserve"> </w:t>
      </w:r>
      <w:r w:rsidRPr="004E76CC">
        <w:t xml:space="preserve">нормативна уредба за прилагането ѝ (вж. </w:t>
      </w:r>
      <w:proofErr w:type="spellStart"/>
      <w:r w:rsidRPr="004E76CC">
        <w:rPr>
          <w:i/>
        </w:rPr>
        <w:t>Beaumartin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France</w:t>
      </w:r>
      <w:proofErr w:type="spellEnd"/>
      <w:r w:rsidRPr="004E76CC">
        <w:t xml:space="preserve">, 24 ноември 1994 г., §§ 27-28, Серия А </w:t>
      </w:r>
      <w:r w:rsidRPr="004E76CC">
        <w:rPr>
          <w:cs/>
        </w:rPr>
        <w:t xml:space="preserve">№ </w:t>
      </w:r>
      <w:r w:rsidRPr="004E76CC">
        <w:t xml:space="preserve">296-В). Разпоредбите на Конвенцията за трансфер, приложима между България и Австралия, обаче се ограничават до предоставяне на междудържавна процедурна рамка за трансфер на осъдени лица. Конвенцията за трансфер не създава никакво индивидуално материално право </w:t>
      </w:r>
      <w:proofErr w:type="spellStart"/>
      <w:r w:rsidRPr="004E76CC">
        <w:rPr>
          <w:i/>
        </w:rPr>
        <w:t>per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se</w:t>
      </w:r>
      <w:proofErr w:type="spellEnd"/>
      <w:r w:rsidRPr="004E76CC">
        <w:t>. Тя също така не съдържа задължение за държавите</w:t>
      </w:r>
      <w:r w:rsidR="00EA5F9D" w:rsidRPr="004E76CC">
        <w:t>,</w:t>
      </w:r>
      <w:r w:rsidRPr="004E76CC">
        <w:t xml:space="preserve"> страни </w:t>
      </w:r>
      <w:r w:rsidR="00EA5F9D" w:rsidRPr="004E76CC">
        <w:t xml:space="preserve">по нея, </w:t>
      </w:r>
      <w:r w:rsidRPr="004E76CC">
        <w:t xml:space="preserve">да се съобразят с молба за трансфер (вж. </w:t>
      </w:r>
      <w:proofErr w:type="spellStart"/>
      <w:r w:rsidRPr="004E76CC">
        <w:rPr>
          <w:i/>
        </w:rPr>
        <w:t>Plepi</w:t>
      </w:r>
      <w:proofErr w:type="spellEnd"/>
      <w:r w:rsidRPr="004E76CC">
        <w:t xml:space="preserve">, цитирано по-горе, </w:t>
      </w:r>
      <w:proofErr w:type="spellStart"/>
      <w:r w:rsidRPr="004E76CC">
        <w:rPr>
          <w:i/>
        </w:rPr>
        <w:t>Passaris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Greece</w:t>
      </w:r>
      <w:proofErr w:type="spellEnd"/>
      <w:r w:rsidRPr="004E76CC">
        <w:t xml:space="preserve"> (решение за допустимост), </w:t>
      </w:r>
      <w:r w:rsidRPr="004E76CC">
        <w:rPr>
          <w:cs/>
        </w:rPr>
        <w:t xml:space="preserve">№ </w:t>
      </w:r>
      <w:r w:rsidRPr="004E76CC">
        <w:t xml:space="preserve">53344/07, 4 септември 2009 г., и </w:t>
      </w:r>
      <w:proofErr w:type="spellStart"/>
      <w:r w:rsidRPr="004E76CC">
        <w:rPr>
          <w:i/>
        </w:rPr>
        <w:t>Serce</w:t>
      </w:r>
      <w:proofErr w:type="spellEnd"/>
      <w:r w:rsidRPr="004E76CC">
        <w:t>, цитирано по-горе, § 54).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36</w:t>
      </w:r>
      <w:r w:rsidRPr="004E76CC">
        <w:fldChar w:fldCharType="end"/>
      </w:r>
      <w:r w:rsidRPr="004E76CC">
        <w:t xml:space="preserve">.  Трето и най-важно, самата Конвенция не предоставя на </w:t>
      </w:r>
      <w:r w:rsidR="00E0168C">
        <w:t>лишените от свобода</w:t>
      </w:r>
      <w:r w:rsidR="00E0168C" w:rsidRPr="004E76CC">
        <w:t xml:space="preserve"> </w:t>
      </w:r>
      <w:r w:rsidRPr="004E76CC">
        <w:t xml:space="preserve">правото да избират своето място на </w:t>
      </w:r>
      <w:r w:rsidR="00E0168C">
        <w:t>изтърпяване на наказанието</w:t>
      </w:r>
      <w:r w:rsidR="00E0168C" w:rsidRPr="004E76CC">
        <w:t xml:space="preserve"> </w:t>
      </w:r>
      <w:r w:rsidRPr="004E76CC">
        <w:t xml:space="preserve">(вж. </w:t>
      </w:r>
      <w:proofErr w:type="spellStart"/>
      <w:r w:rsidRPr="004E76CC">
        <w:rPr>
          <w:i/>
        </w:rPr>
        <w:t>Vintman</w:t>
      </w:r>
      <w:proofErr w:type="spellEnd"/>
      <w:r w:rsidRPr="004E76CC">
        <w:rPr>
          <w:i/>
        </w:rPr>
        <w:t xml:space="preserve"> v. </w:t>
      </w:r>
      <w:proofErr w:type="spellStart"/>
      <w:r w:rsidRPr="004E76CC">
        <w:rPr>
          <w:i/>
        </w:rPr>
        <w:t>Ukraine</w:t>
      </w:r>
      <w:proofErr w:type="spellEnd"/>
      <w:r w:rsidRPr="004E76CC">
        <w:t xml:space="preserve">, </w:t>
      </w:r>
      <w:r w:rsidRPr="004E76CC">
        <w:rPr>
          <w:cs/>
        </w:rPr>
        <w:t xml:space="preserve">№ </w:t>
      </w:r>
      <w:r w:rsidRPr="004E76CC">
        <w:t xml:space="preserve">28403/05, § 78, 23 октомври 2014 г., и </w:t>
      </w:r>
      <w:proofErr w:type="spellStart"/>
      <w:r w:rsidRPr="004E76CC">
        <w:rPr>
          <w:i/>
        </w:rPr>
        <w:t>Rodzevillo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Ukraine</w:t>
      </w:r>
      <w:proofErr w:type="spellEnd"/>
      <w:r w:rsidRPr="004E76CC">
        <w:t xml:space="preserve">, цитирано по-горе, § 83, по отношение на молбите за вътрешнодържавни трансфери, и </w:t>
      </w:r>
      <w:proofErr w:type="spellStart"/>
      <w:r w:rsidRPr="004E76CC">
        <w:rPr>
          <w:i/>
        </w:rPr>
        <w:t>Plepi</w:t>
      </w:r>
      <w:proofErr w:type="spellEnd"/>
      <w:r w:rsidRPr="004E76CC">
        <w:t xml:space="preserve">, цитирано по-горе, и </w:t>
      </w:r>
      <w:proofErr w:type="spellStart"/>
      <w:r w:rsidRPr="004E76CC">
        <w:rPr>
          <w:i/>
        </w:rPr>
        <w:t>Serce</w:t>
      </w:r>
      <w:proofErr w:type="spellEnd"/>
      <w:r w:rsidRPr="004E76CC">
        <w:t>, цитирано по-горе, § 55, по отношение на молбите за междудържавен трансфер). Разделянето на жалбоподателя</w:t>
      </w:r>
      <w:r w:rsidR="00E0168C">
        <w:t xml:space="preserve"> -</w:t>
      </w:r>
      <w:r w:rsidRPr="004E76CC">
        <w:t xml:space="preserve"> затворник от семейството му и отдалечаването му от него се считат за неизбежни последствия от задържането след упражняването от страна на местните власти на техните правомощия в областта на </w:t>
      </w:r>
      <w:r w:rsidR="00E0168C">
        <w:t>налагането на наказания</w:t>
      </w:r>
      <w:r w:rsidRPr="004E76CC">
        <w:t xml:space="preserve"> (вж. </w:t>
      </w:r>
      <w:proofErr w:type="spellStart"/>
      <w:r w:rsidRPr="004E76CC">
        <w:rPr>
          <w:i/>
        </w:rPr>
        <w:t>Selmani</w:t>
      </w:r>
      <w:proofErr w:type="spellEnd"/>
      <w:r w:rsidRPr="004E76CC">
        <w:rPr>
          <w:i/>
        </w:rPr>
        <w:t xml:space="preserve"> v. </w:t>
      </w:r>
      <w:proofErr w:type="spellStart"/>
      <w:r w:rsidRPr="004E76CC">
        <w:rPr>
          <w:i/>
        </w:rPr>
        <w:t>Switzerland</w:t>
      </w:r>
      <w:proofErr w:type="spellEnd"/>
      <w:r w:rsidRPr="004E76CC">
        <w:t xml:space="preserve"> (решение за допустимост), </w:t>
      </w:r>
      <w:r w:rsidRPr="004E76CC">
        <w:rPr>
          <w:cs/>
        </w:rPr>
        <w:t>№</w:t>
      </w:r>
      <w:r w:rsidRPr="004E76CC">
        <w:t xml:space="preserve"> 70258/01, 28 юни 2001 г.; </w:t>
      </w:r>
      <w:proofErr w:type="spellStart"/>
      <w:r w:rsidRPr="004E76CC">
        <w:rPr>
          <w:i/>
        </w:rPr>
        <w:t>Serce</w:t>
      </w:r>
      <w:proofErr w:type="spellEnd"/>
      <w:r w:rsidRPr="004E76CC">
        <w:t xml:space="preserve">, цитирано по-горе, § 55; и </w:t>
      </w:r>
      <w:proofErr w:type="spellStart"/>
      <w:r w:rsidRPr="004E76CC">
        <w:rPr>
          <w:i/>
        </w:rPr>
        <w:t>Labaca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Larrea</w:t>
      </w:r>
      <w:proofErr w:type="spellEnd"/>
      <w:r w:rsidRPr="004E76CC">
        <w:t>,</w:t>
      </w:r>
      <w:r w:rsidRPr="004E76CC">
        <w:rPr>
          <w:i/>
        </w:rPr>
        <w:t xml:space="preserve"> </w:t>
      </w:r>
      <w:r w:rsidRPr="004E76CC">
        <w:t>цитирано по-горе, § 42).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37</w:t>
      </w:r>
      <w:r w:rsidRPr="004E76CC">
        <w:fldChar w:fldCharType="end"/>
      </w:r>
      <w:r w:rsidRPr="004E76CC">
        <w:t xml:space="preserve">.  В неотдавнашното решение </w:t>
      </w:r>
      <w:proofErr w:type="spellStart"/>
      <w:r w:rsidRPr="004E76CC">
        <w:rPr>
          <w:i/>
        </w:rPr>
        <w:t>Serce</w:t>
      </w:r>
      <w:proofErr w:type="spellEnd"/>
      <w:r w:rsidRPr="004E76CC">
        <w:t xml:space="preserve">, цитирано по-горе, Съдът потвърждава несъвместимостта </w:t>
      </w:r>
      <w:proofErr w:type="spellStart"/>
      <w:r w:rsidRPr="004E76CC">
        <w:rPr>
          <w:i/>
        </w:rPr>
        <w:t>ratione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materiae</w:t>
      </w:r>
      <w:proofErr w:type="spellEnd"/>
      <w:r w:rsidRPr="004E76CC">
        <w:t xml:space="preserve"> на оплакване, </w:t>
      </w:r>
      <w:r w:rsidR="00A34F03">
        <w:t xml:space="preserve">подобно на </w:t>
      </w:r>
      <w:r w:rsidRPr="004E76CC">
        <w:t xml:space="preserve">това в настоящия случай. Жалбоподателят, турски гражданин, осъден на 18 години затвор в Румъния, се оплаква от отказа на румънските власти да го прехвърлят в друга държава членка на Съвета на Европа - Турция, за да изтърпи остатъка от присъда си там, близо до своята съпруга и деца. Въпреки че </w:t>
      </w:r>
      <w:r w:rsidR="00EA5F9D" w:rsidRPr="004E76CC">
        <w:t>намира</w:t>
      </w:r>
      <w:r w:rsidRPr="004E76CC">
        <w:t xml:space="preserve">, че нехигиенични условия, при които е задържан в Румъния, липсата на дейности или работа и пренаселеността на затвора, нарушават правата </w:t>
      </w:r>
      <w:r w:rsidR="00E0168C">
        <w:t>на жалбоподателя</w:t>
      </w:r>
      <w:r w:rsidRPr="004E76CC">
        <w:t xml:space="preserve"> по чл. 3, Съдът потвърждава, че чл. 8 от Конвенцията не е приложим към молбата му за междудържавен трансфер.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38</w:t>
      </w:r>
      <w:r w:rsidRPr="004E76CC">
        <w:fldChar w:fldCharType="end"/>
      </w:r>
      <w:r w:rsidRPr="004E76CC">
        <w:t xml:space="preserve">.  Дори да се допусне, че чл. 8 от Конвенцията може да се счита за приложим към молба за междудържавно прехвърляне като разглежданото в настоящия случай, Съдът отбелязва, че отказът на българските власти да удовлетворят </w:t>
      </w:r>
      <w:r w:rsidR="00A34F03">
        <w:t>искането</w:t>
      </w:r>
      <w:r w:rsidRPr="004E76CC">
        <w:t xml:space="preserve"> на австралийските власти за трансфер е мотивиран и процедурата не показва никакви признаци на произвол (вж. параграф 11 по-горе). Освен това, както е посочено в</w:t>
      </w:r>
      <w:r w:rsidR="00A34F03">
        <w:t xml:space="preserve"> становището</w:t>
      </w:r>
      <w:r w:rsidRPr="004E76CC">
        <w:t xml:space="preserve"> на </w:t>
      </w:r>
      <w:r w:rsidR="00E0168C">
        <w:t>б</w:t>
      </w:r>
      <w:r w:rsidRPr="004E76CC">
        <w:t xml:space="preserve">ългарското </w:t>
      </w:r>
      <w:r w:rsidR="00C17A8A" w:rsidRPr="004E76CC">
        <w:t>п</w:t>
      </w:r>
      <w:r w:rsidRPr="004E76CC">
        <w:t xml:space="preserve">равителство и както е видно от разпоредбите на Конвенцията за трансфер, австралийската държава има възможност въз основа на молба в този смисъл от страна на жалбоподателя да подаде нова молба в бъдеще, обяснявайки защо българската държава трябва да упражни своето право на преценка в съответствие с настоящата Конвенция, като прехвърли жалбоподателя в Австралия, където да изтърпи остатъка от </w:t>
      </w:r>
      <w:r w:rsidR="00E0168C">
        <w:t>наказанието</w:t>
      </w:r>
      <w:r w:rsidR="00E0168C" w:rsidRPr="004E76CC">
        <w:t xml:space="preserve"> </w:t>
      </w:r>
      <w:r w:rsidRPr="004E76CC">
        <w:t>си. Накрая, от информацията, представена пред Съда (вж. параграф 8 по-горе), е видно, че жалбоподателят има възможност да поддържа известни семейни и социални връзки и че властите са дали възможност за посещения от чужбина чрез гъвкаво прилагане на графика за посещения в затвора.</w:t>
      </w:r>
    </w:p>
    <w:p w:rsidR="00C27D39" w:rsidRPr="004E76CC" w:rsidRDefault="00C27D39" w:rsidP="00C27D39">
      <w:pPr>
        <w:pStyle w:val="ECHRPara"/>
      </w:pPr>
      <w:r w:rsidRPr="004E76CC">
        <w:fldChar w:fldCharType="begin"/>
      </w:r>
      <w:r w:rsidRPr="004E76CC">
        <w:instrText xml:space="preserve"> SEQ level0 \*arabic </w:instrText>
      </w:r>
      <w:r w:rsidRPr="004E76CC">
        <w:fldChar w:fldCharType="separate"/>
      </w:r>
      <w:r w:rsidRPr="004E76CC">
        <w:t>39</w:t>
      </w:r>
      <w:r w:rsidRPr="004E76CC">
        <w:fldChar w:fldCharType="end"/>
      </w:r>
      <w:r w:rsidRPr="004E76CC">
        <w:t xml:space="preserve">.  От причините, изложени в параграфи 29-37 по-горе, обаче следва, че оплакването на жалбоподателя по чл. 8 е несъвместимо </w:t>
      </w:r>
      <w:proofErr w:type="spellStart"/>
      <w:r w:rsidRPr="004E76CC">
        <w:rPr>
          <w:i/>
        </w:rPr>
        <w:t>ratione</w:t>
      </w:r>
      <w:proofErr w:type="spellEnd"/>
      <w:r w:rsidRPr="004E76CC">
        <w:rPr>
          <w:i/>
        </w:rPr>
        <w:t xml:space="preserve"> </w:t>
      </w:r>
      <w:proofErr w:type="spellStart"/>
      <w:r w:rsidRPr="004E76CC">
        <w:rPr>
          <w:i/>
        </w:rPr>
        <w:t>materiae</w:t>
      </w:r>
      <w:proofErr w:type="spellEnd"/>
      <w:r w:rsidRPr="004E76CC">
        <w:t xml:space="preserve"> с разпоредбите на Конвенцията по смисъла на чл. 35 § 3(a) от Конвенцията. Като взема </w:t>
      </w:r>
      <w:r w:rsidR="00C17A8A" w:rsidRPr="004E76CC">
        <w:t xml:space="preserve">предвид </w:t>
      </w:r>
      <w:r w:rsidRPr="004E76CC">
        <w:t xml:space="preserve">изложените по-горе мотиви и заключения по отношение на оплакването по чл. 8, Съдът </w:t>
      </w:r>
      <w:r w:rsidR="00C17A8A" w:rsidRPr="004E76CC">
        <w:t>намира</w:t>
      </w:r>
      <w:r w:rsidRPr="004E76CC">
        <w:t>, че жалбоподателят няма обоснована претенция по смисъла на чл. 13 от Конвенцията. От това следва, че това оплакване е явно необосновано по смисъла на чл. 35 § 3(а) от Конвенцията. С</w:t>
      </w:r>
      <w:r w:rsidR="00C17A8A" w:rsidRPr="004E76CC">
        <w:t>ледователно</w:t>
      </w:r>
      <w:r w:rsidRPr="004E76CC">
        <w:t xml:space="preserve"> жалбата трябва да бъде отхвърлена в съответствие с чл. 35 § 4 от Конвенцията.</w:t>
      </w:r>
    </w:p>
    <w:p w:rsidR="00C27D39" w:rsidRPr="004E76CC" w:rsidRDefault="00C27D39" w:rsidP="00C27D39">
      <w:pPr>
        <w:pStyle w:val="JuParaLast"/>
        <w:suppressLineNumbers/>
      </w:pPr>
      <w:r w:rsidRPr="004E76CC">
        <w:t>По тези съображения Съдът с мнозинство</w:t>
      </w:r>
    </w:p>
    <w:p w:rsidR="00C27D39" w:rsidRPr="004E76CC" w:rsidRDefault="00C27D39" w:rsidP="00C27D39">
      <w:pPr>
        <w:pStyle w:val="DecList"/>
        <w:suppressLineNumbers/>
      </w:pPr>
      <w:r w:rsidRPr="004E76CC">
        <w:rPr>
          <w:i/>
        </w:rPr>
        <w:t>Обявява</w:t>
      </w:r>
      <w:r w:rsidRPr="004E76CC">
        <w:t xml:space="preserve"> жалбата за недопустима.</w:t>
      </w:r>
    </w:p>
    <w:p w:rsidR="00C27D39" w:rsidRPr="004E76CC" w:rsidRDefault="00C27D39" w:rsidP="00C27D39">
      <w:pPr>
        <w:pStyle w:val="ECHRPara"/>
        <w:rPr>
          <w:sz w:val="2"/>
          <w:szCs w:val="2"/>
        </w:rPr>
      </w:pPr>
    </w:p>
    <w:p w:rsidR="00C27D39" w:rsidRPr="004E76CC" w:rsidRDefault="00C27D39" w:rsidP="00C27D39">
      <w:pPr>
        <w:pStyle w:val="DecList"/>
      </w:pPr>
      <w:r w:rsidRPr="004E76CC">
        <w:t>Изготвено на английски език и съобщено писмено на 8 юни 2017 г.</w:t>
      </w:r>
    </w:p>
    <w:p w:rsidR="00C27D39" w:rsidRPr="00792437" w:rsidRDefault="00C27D39" w:rsidP="00C27D39">
      <w:pPr>
        <w:pStyle w:val="JuSigned"/>
      </w:pPr>
      <w:r w:rsidRPr="004E76CC">
        <w:tab/>
        <w:t xml:space="preserve">Милан </w:t>
      </w:r>
      <w:proofErr w:type="spellStart"/>
      <w:r w:rsidRPr="004E76CC">
        <w:t>Блашко</w:t>
      </w:r>
      <w:proofErr w:type="spellEnd"/>
      <w:r w:rsidRPr="004E76CC">
        <w:t xml:space="preserve"> </w:t>
      </w:r>
      <w:r w:rsidRPr="004E76CC">
        <w:tab/>
      </w:r>
      <w:proofErr w:type="spellStart"/>
      <w:r w:rsidRPr="004E76CC">
        <w:t>Ангелика</w:t>
      </w:r>
      <w:proofErr w:type="spellEnd"/>
      <w:r w:rsidRPr="004E76CC">
        <w:t xml:space="preserve"> </w:t>
      </w:r>
      <w:proofErr w:type="spellStart"/>
      <w:r w:rsidRPr="004E76CC">
        <w:t>Нусбергер</w:t>
      </w:r>
      <w:proofErr w:type="spellEnd"/>
      <w:r w:rsidRPr="004E76CC">
        <w:br/>
      </w:r>
      <w:r w:rsidRPr="004E76CC">
        <w:tab/>
      </w:r>
      <w:r w:rsidR="00C17A8A" w:rsidRPr="004E76CC">
        <w:t>з</w:t>
      </w:r>
      <w:r w:rsidRPr="004E76CC">
        <w:t>аместник-секретар</w:t>
      </w:r>
      <w:r w:rsidRPr="004E76CC">
        <w:tab/>
      </w:r>
      <w:r w:rsidR="00C17A8A" w:rsidRPr="004E76CC">
        <w:t>п</w:t>
      </w:r>
      <w:r w:rsidRPr="004E76CC">
        <w:t>редседател</w:t>
      </w:r>
    </w:p>
    <w:sectPr w:rsidR="00C27D39" w:rsidRPr="00792437" w:rsidSect="00C27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E2" w:rsidRPr="00B36C64" w:rsidRDefault="00F639E2" w:rsidP="00C27D39">
      <w:r>
        <w:separator/>
      </w:r>
    </w:p>
  </w:endnote>
  <w:endnote w:type="continuationSeparator" w:id="0">
    <w:p w:rsidR="00F639E2" w:rsidRPr="00B36C64" w:rsidRDefault="00F639E2" w:rsidP="00C2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B8" w:rsidRDefault="000B0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B8" w:rsidRDefault="000B0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39" w:rsidRPr="00B36C64" w:rsidRDefault="00871150" w:rsidP="00C27D39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2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D39" w:rsidRPr="00B36C64" w:rsidRDefault="00C27D39" w:rsidP="00C27D3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E2" w:rsidRPr="00B36C64" w:rsidRDefault="00F639E2" w:rsidP="00C27D39">
      <w:r>
        <w:separator/>
      </w:r>
    </w:p>
  </w:footnote>
  <w:footnote w:type="continuationSeparator" w:id="0">
    <w:p w:rsidR="00F639E2" w:rsidRPr="00B36C64" w:rsidRDefault="00F639E2" w:rsidP="00C27D39">
      <w:r>
        <w:continuationSeparator/>
      </w:r>
    </w:p>
  </w:footnote>
  <w:footnote w:id="1">
    <w:p w:rsidR="003D7FBA" w:rsidRDefault="003D7FBA">
      <w:pPr>
        <w:pStyle w:val="FootnoteText"/>
      </w:pPr>
      <w:r>
        <w:rPr>
          <w:rStyle w:val="FootnoteReference"/>
        </w:rPr>
        <w:footnoteRef/>
      </w:r>
      <w:r>
        <w:t xml:space="preserve"> Решението е по допустимост.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39" w:rsidRPr="00B36C64" w:rsidRDefault="00C27D39" w:rsidP="00C27D39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09B8">
      <w:rPr>
        <w:rStyle w:val="PageNumber"/>
        <w:noProof/>
      </w:rPr>
      <w:t>10</w:t>
    </w:r>
    <w:r>
      <w:rPr>
        <w:rStyle w:val="PageNumber"/>
      </w:rPr>
      <w:fldChar w:fldCharType="end"/>
    </w:r>
    <w:r>
      <w:tab/>
    </w:r>
    <w:r w:rsidR="0076417A">
      <w:t xml:space="preserve">РЕШЕНИЕ </w:t>
    </w:r>
    <w:r>
      <w:t>ПОЛФРИЙМАН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39" w:rsidRPr="00B36C64" w:rsidRDefault="00C27D39" w:rsidP="00C27D39">
    <w:pPr>
      <w:pStyle w:val="ECHRHeader"/>
    </w:pPr>
    <w:r>
      <w:tab/>
    </w:r>
    <w:r w:rsidR="0076417A">
      <w:t xml:space="preserve">РЕШЕНИЕ </w:t>
    </w:r>
    <w:r>
      <w:t>ПОЛФРИЙМАН СРЕЩУ 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09B8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39" w:rsidRPr="00B36C64" w:rsidRDefault="00871150" w:rsidP="00C27D39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D39" w:rsidRPr="00B36C64" w:rsidRDefault="00C27D39" w:rsidP="00C27D3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30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147C8E"/>
    <w:rsid w:val="00010969"/>
    <w:rsid w:val="000276DC"/>
    <w:rsid w:val="0006056E"/>
    <w:rsid w:val="00081493"/>
    <w:rsid w:val="0008273D"/>
    <w:rsid w:val="000B09B8"/>
    <w:rsid w:val="000B33D6"/>
    <w:rsid w:val="0011460A"/>
    <w:rsid w:val="00147C8E"/>
    <w:rsid w:val="001607B4"/>
    <w:rsid w:val="001C042A"/>
    <w:rsid w:val="001D600F"/>
    <w:rsid w:val="001E65E1"/>
    <w:rsid w:val="00257BE9"/>
    <w:rsid w:val="00350CCE"/>
    <w:rsid w:val="003C2D21"/>
    <w:rsid w:val="003D7FBA"/>
    <w:rsid w:val="003E452B"/>
    <w:rsid w:val="003F7761"/>
    <w:rsid w:val="0042753E"/>
    <w:rsid w:val="004649F0"/>
    <w:rsid w:val="00494C03"/>
    <w:rsid w:val="004B6616"/>
    <w:rsid w:val="004E76CC"/>
    <w:rsid w:val="00557DFD"/>
    <w:rsid w:val="005643F3"/>
    <w:rsid w:val="00597482"/>
    <w:rsid w:val="0061033B"/>
    <w:rsid w:val="00614C4D"/>
    <w:rsid w:val="0062462E"/>
    <w:rsid w:val="00742F01"/>
    <w:rsid w:val="0076417A"/>
    <w:rsid w:val="007B2496"/>
    <w:rsid w:val="00871150"/>
    <w:rsid w:val="00885F4A"/>
    <w:rsid w:val="009062E4"/>
    <w:rsid w:val="00944B2A"/>
    <w:rsid w:val="009811C6"/>
    <w:rsid w:val="00A34BFC"/>
    <w:rsid w:val="00A34F03"/>
    <w:rsid w:val="00A84D2A"/>
    <w:rsid w:val="00AA46E5"/>
    <w:rsid w:val="00AE649D"/>
    <w:rsid w:val="00AE7ED9"/>
    <w:rsid w:val="00B12CDB"/>
    <w:rsid w:val="00B419D9"/>
    <w:rsid w:val="00C17A8A"/>
    <w:rsid w:val="00C27D39"/>
    <w:rsid w:val="00C335BA"/>
    <w:rsid w:val="00C4764F"/>
    <w:rsid w:val="00C56D5C"/>
    <w:rsid w:val="00C90502"/>
    <w:rsid w:val="00CF6A78"/>
    <w:rsid w:val="00D84EA0"/>
    <w:rsid w:val="00D96A43"/>
    <w:rsid w:val="00DB1E77"/>
    <w:rsid w:val="00E0168C"/>
    <w:rsid w:val="00E1592B"/>
    <w:rsid w:val="00EA5F9D"/>
    <w:rsid w:val="00EC3C26"/>
    <w:rsid w:val="00EE39C2"/>
    <w:rsid w:val="00F12D24"/>
    <w:rsid w:val="00F2752C"/>
    <w:rsid w:val="00F467F3"/>
    <w:rsid w:val="00F576F6"/>
    <w:rsid w:val="00F639E2"/>
    <w:rsid w:val="00FA7BA3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B50ED2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B50ED2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B50ED2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B50ED2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B50ED2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B50ED2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B50ED2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B50ED2"/>
    <w:pPr>
      <w:outlineLvl w:val="6"/>
    </w:pPr>
    <w:rPr>
      <w:rFonts w:eastAsia="MS Gothic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B50ED2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B50ED2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B50ED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B50ED2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  <w:lang w:val="bg-BG" w:eastAsia="bg-BG"/>
    </w:rPr>
  </w:style>
  <w:style w:type="character" w:styleId="CommentReference">
    <w:name w:val="annotation reference"/>
    <w:uiPriority w:val="99"/>
    <w:semiHidden/>
    <w:rsid w:val="00E93FC7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link w:val="CommentText"/>
    <w:semiHidden/>
    <w:rsid w:val="00E93FC7"/>
    <w:rPr>
      <w:rFonts w:eastAsia="MS Mincho"/>
      <w:sz w:val="20"/>
      <w:lang w:val="bg-BG" w:eastAsia="bg-BG"/>
    </w:rPr>
  </w:style>
  <w:style w:type="paragraph" w:customStyle="1" w:styleId="DecHTitle">
    <w:name w:val="Dec_H_Title"/>
    <w:basedOn w:val="ECHRTitleCentre1"/>
    <w:uiPriority w:val="7"/>
    <w:qFormat/>
    <w:rsid w:val="00B50ED2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B50ED2"/>
    <w:pPr>
      <w:spacing w:after="240"/>
      <w:jc w:val="center"/>
      <w:outlineLvl w:val="0"/>
    </w:pPr>
  </w:style>
  <w:style w:type="paragraph" w:customStyle="1" w:styleId="DummyStyle">
    <w:name w:val="Dummy_Style"/>
    <w:basedOn w:val="Normal"/>
    <w:semiHidden/>
    <w:qFormat/>
    <w:rsid w:val="00B50ED2"/>
    <w:rPr>
      <w:color w:val="00B050"/>
    </w:rPr>
  </w:style>
  <w:style w:type="paragraph" w:customStyle="1" w:styleId="ECHRHeader">
    <w:name w:val="ECHR_Header"/>
    <w:aliases w:val="Ju_Header"/>
    <w:basedOn w:val="Header"/>
    <w:uiPriority w:val="4"/>
    <w:qFormat/>
    <w:rsid w:val="00B50ED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57"/>
    <w:semiHidden/>
    <w:rsid w:val="00B50ED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57"/>
    <w:semiHidden/>
    <w:rsid w:val="00B50ED2"/>
    <w:rPr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B5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ED2"/>
    <w:rPr>
      <w:rFonts w:ascii="Tahoma" w:eastAsia="MS Mincho" w:hAnsi="Tahoma" w:cs="Tahoma"/>
      <w:sz w:val="16"/>
      <w:szCs w:val="16"/>
      <w:lang w:val="bg-BG" w:eastAsia="bg-BG"/>
    </w:rPr>
  </w:style>
  <w:style w:type="paragraph" w:customStyle="1" w:styleId="JuAppQuestion">
    <w:name w:val="Ju_App_Question"/>
    <w:basedOn w:val="Normal"/>
    <w:uiPriority w:val="5"/>
    <w:qFormat/>
    <w:rsid w:val="00B50ED2"/>
    <w:pPr>
      <w:numPr>
        <w:numId w:val="20"/>
      </w:numPr>
      <w:jc w:val="left"/>
    </w:pPr>
    <w:rPr>
      <w:b/>
    </w:rPr>
  </w:style>
  <w:style w:type="paragraph" w:customStyle="1" w:styleId="JuCase">
    <w:name w:val="Ju_Case"/>
    <w:basedOn w:val="Normal"/>
    <w:next w:val="ECHRPara"/>
    <w:uiPriority w:val="10"/>
    <w:semiHidden/>
    <w:rsid w:val="00B50ED2"/>
    <w:pPr>
      <w:ind w:firstLine="284"/>
    </w:pPr>
    <w:rPr>
      <w:b/>
    </w:rPr>
  </w:style>
  <w:style w:type="paragraph" w:customStyle="1" w:styleId="ECHRParaQuote">
    <w:name w:val="ECHR_Para_Quote"/>
    <w:aliases w:val="Ju_Quot"/>
    <w:basedOn w:val="Normal"/>
    <w:uiPriority w:val="14"/>
    <w:qFormat/>
    <w:rsid w:val="00B50ED2"/>
    <w:pPr>
      <w:spacing w:before="120" w:after="120"/>
      <w:ind w:left="425" w:firstLine="142"/>
    </w:pPr>
    <w:rPr>
      <w:sz w:val="20"/>
    </w:rPr>
  </w:style>
  <w:style w:type="paragraph" w:customStyle="1" w:styleId="JuCourt">
    <w:name w:val="Ju_Court"/>
    <w:basedOn w:val="Normal"/>
    <w:next w:val="Normal"/>
    <w:uiPriority w:val="16"/>
    <w:qFormat/>
    <w:rsid w:val="00B50ED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B50ED2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"/>
    <w:uiPriority w:val="31"/>
    <w:qFormat/>
    <w:rsid w:val="00B50ED2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uiPriority w:val="38"/>
    <w:semiHidden/>
    <w:qFormat/>
    <w:rsid w:val="00B50ED2"/>
    <w:rPr>
      <w:color w:val="000000"/>
      <w:sz w:val="14"/>
      <w:bdr w:val="none" w:sz="0" w:space="0" w:color="auto"/>
      <w:lang w:val="bg-BG" w:eastAsia="bg-BG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B50ED2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B50ED2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List">
    <w:name w:val="Ju_List"/>
    <w:basedOn w:val="Normal"/>
    <w:uiPriority w:val="28"/>
    <w:qFormat/>
    <w:rsid w:val="00B50ED2"/>
    <w:pPr>
      <w:ind w:left="340" w:hanging="340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B50ED2"/>
    <w:pPr>
      <w:keepNext/>
      <w:keepLines/>
      <w:spacing w:before="720" w:after="240"/>
      <w:outlineLvl w:val="0"/>
    </w:pPr>
    <w:rPr>
      <w:sz w:val="28"/>
    </w:rPr>
  </w:style>
  <w:style w:type="paragraph" w:customStyle="1" w:styleId="JuLista">
    <w:name w:val="Ju_List_a"/>
    <w:basedOn w:val="JuList"/>
    <w:uiPriority w:val="28"/>
    <w:qFormat/>
    <w:rsid w:val="00B50ED2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B50ED2"/>
    <w:pPr>
      <w:ind w:left="794"/>
    </w:pPr>
  </w:style>
  <w:style w:type="character" w:customStyle="1" w:styleId="JUNAMES">
    <w:name w:val="JU_NAMES"/>
    <w:uiPriority w:val="17"/>
    <w:qFormat/>
    <w:rsid w:val="00B50ED2"/>
    <w:rPr>
      <w:smallCaps/>
      <w:lang w:val="bg-BG" w:eastAsia="bg-BG"/>
    </w:rPr>
  </w:style>
  <w:style w:type="paragraph" w:customStyle="1" w:styleId="JuParaSub">
    <w:name w:val="Ju_Para_Sub"/>
    <w:basedOn w:val="ECHRPara"/>
    <w:uiPriority w:val="13"/>
    <w:qFormat/>
    <w:rsid w:val="00B50ED2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B50ED2"/>
    <w:pPr>
      <w:ind w:left="567"/>
    </w:pPr>
  </w:style>
  <w:style w:type="paragraph" w:customStyle="1" w:styleId="JuTitle">
    <w:name w:val="Ju_Title"/>
    <w:basedOn w:val="Normal"/>
    <w:next w:val="ECHRPara"/>
    <w:uiPriority w:val="3"/>
    <w:qFormat/>
    <w:rsid w:val="00B50ED2"/>
    <w:pPr>
      <w:spacing w:before="720" w:after="240"/>
      <w:jc w:val="center"/>
      <w:outlineLvl w:val="0"/>
    </w:pPr>
    <w:rPr>
      <w:b/>
      <w: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B50ED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character" w:customStyle="1" w:styleId="Heading1Char">
    <w:name w:val="Heading 1 Char"/>
    <w:link w:val="Heading1"/>
    <w:uiPriority w:val="99"/>
    <w:semiHidden/>
    <w:rsid w:val="00B50ED2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B50ED2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B50ED2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B50ED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character" w:customStyle="1" w:styleId="Heading3Char">
    <w:name w:val="Heading 3 Char"/>
    <w:link w:val="Heading3"/>
    <w:uiPriority w:val="99"/>
    <w:semiHidden/>
    <w:rsid w:val="00B50ED2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B50ED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character" w:customStyle="1" w:styleId="Heading4Char">
    <w:name w:val="Heading 4 Char"/>
    <w:link w:val="Heading4"/>
    <w:uiPriority w:val="99"/>
    <w:semiHidden/>
    <w:rsid w:val="00B50ED2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B50ED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character" w:customStyle="1" w:styleId="Heading5Char">
    <w:name w:val="Heading 5 Char"/>
    <w:link w:val="Heading5"/>
    <w:uiPriority w:val="99"/>
    <w:semiHidden/>
    <w:rsid w:val="00B50ED2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B50ED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000000"/>
      <w:sz w:val="20"/>
    </w:rPr>
  </w:style>
  <w:style w:type="character" w:customStyle="1" w:styleId="Heading6Char">
    <w:name w:val="Heading 6 Char"/>
    <w:link w:val="Heading6"/>
    <w:uiPriority w:val="99"/>
    <w:semiHidden/>
    <w:rsid w:val="00B50ED2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B50ED2"/>
    <w:pPr>
      <w:keepNext/>
      <w:keepLines/>
      <w:spacing w:before="240" w:after="120"/>
      <w:ind w:left="1236"/>
    </w:pPr>
    <w:rPr>
      <w:sz w:val="20"/>
    </w:rPr>
  </w:style>
  <w:style w:type="character" w:customStyle="1" w:styleId="Heading7Char">
    <w:name w:val="Heading 7 Char"/>
    <w:link w:val="Heading7"/>
    <w:uiPriority w:val="99"/>
    <w:semiHidden/>
    <w:rsid w:val="00B50ED2"/>
    <w:rPr>
      <w:rFonts w:ascii="Times New Roman" w:eastAsia="MS Gothic" w:hAnsi="Times New Roman" w:cs="Times New Roman"/>
      <w:i/>
      <w:iCs/>
      <w:lang w:val="bg-BG" w:eastAsia="bg-BG" w:bidi="en-US"/>
    </w:rPr>
  </w:style>
  <w:style w:type="paragraph" w:customStyle="1" w:styleId="JuParaLast">
    <w:name w:val="Ju_Para_Last"/>
    <w:basedOn w:val="Normal"/>
    <w:next w:val="ECHRPara"/>
    <w:uiPriority w:val="30"/>
    <w:qFormat/>
    <w:rsid w:val="00B50ED2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B50ED2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B50ED2"/>
    <w:pPr>
      <w:tabs>
        <w:tab w:val="left" w:pos="567"/>
        <w:tab w:val="left" w:pos="1134"/>
      </w:tabs>
      <w:jc w:val="left"/>
    </w:pPr>
  </w:style>
  <w:style w:type="paragraph" w:customStyle="1" w:styleId="OpiH1">
    <w:name w:val="Opi_H_1"/>
    <w:basedOn w:val="ECHRHeading2"/>
    <w:uiPriority w:val="42"/>
    <w:semiHidden/>
    <w:qFormat/>
    <w:rsid w:val="00B50ED2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B50ED2"/>
    <w:pPr>
      <w:ind w:left="833" w:hanging="357"/>
      <w:outlineLvl w:val="3"/>
    </w:pPr>
    <w:rPr>
      <w:b/>
      <w:i w:val="0"/>
      <w:sz w:val="20"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B50ED2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B50ED2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B50ED2"/>
  </w:style>
  <w:style w:type="paragraph" w:customStyle="1" w:styleId="OpiParaSub">
    <w:name w:val="Opi_Para_Sub"/>
    <w:basedOn w:val="JuParaSub"/>
    <w:uiPriority w:val="47"/>
    <w:semiHidden/>
    <w:qFormat/>
    <w:rsid w:val="00B50ED2"/>
  </w:style>
  <w:style w:type="character" w:customStyle="1" w:styleId="Heading8Char">
    <w:name w:val="Heading 8 Char"/>
    <w:link w:val="Heading8"/>
    <w:uiPriority w:val="99"/>
    <w:semiHidden/>
    <w:rsid w:val="00B50ED2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B50ED2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B50ED2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B50ED2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B50ED2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B50ED2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character" w:styleId="Strong">
    <w:name w:val="Strong"/>
    <w:uiPriority w:val="99"/>
    <w:semiHidden/>
    <w:qFormat/>
    <w:rsid w:val="00B50ED2"/>
    <w:rPr>
      <w:b/>
      <w:bCs/>
      <w:lang w:val="bg-BG" w:eastAsia="bg-BG"/>
    </w:rPr>
  </w:style>
  <w:style w:type="character" w:styleId="Emphasis">
    <w:name w:val="Emphasis"/>
    <w:uiPriority w:val="99"/>
    <w:semiHidden/>
    <w:qFormat/>
    <w:rsid w:val="00B50ED2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B50ED2"/>
    <w:rPr>
      <w:sz w:val="22"/>
    </w:rPr>
  </w:style>
  <w:style w:type="character" w:customStyle="1" w:styleId="NoSpacingChar">
    <w:name w:val="No Spacing Char"/>
    <w:link w:val="NoSpacing"/>
    <w:semiHidden/>
    <w:rsid w:val="00B50ED2"/>
    <w:rPr>
      <w:rFonts w:eastAsia="MS Mincho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B50E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B50ED2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link w:val="Quote"/>
    <w:uiPriority w:val="99"/>
    <w:semiHidden/>
    <w:rsid w:val="00B50ED2"/>
    <w:rPr>
      <w:rFonts w:eastAsia="MS Mincho"/>
      <w:i/>
      <w:iCs/>
      <w:lang w:val="bg-BG" w:eastAsia="bg-BG"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50ED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B50ED2"/>
    <w:rPr>
      <w:rFonts w:eastAsia="MS Mincho"/>
      <w:b/>
      <w:bCs/>
      <w:i/>
      <w:iCs/>
      <w:lang w:val="bg-BG" w:eastAsia="bg-BG" w:bidi="en-US"/>
    </w:rPr>
  </w:style>
  <w:style w:type="character" w:styleId="SubtleEmphasis">
    <w:name w:val="Subtle Emphasis"/>
    <w:uiPriority w:val="99"/>
    <w:semiHidden/>
    <w:qFormat/>
    <w:rsid w:val="00B50ED2"/>
    <w:rPr>
      <w:i/>
      <w:iCs/>
      <w:lang w:val="bg-BG" w:eastAsia="bg-BG"/>
    </w:rPr>
  </w:style>
  <w:style w:type="character" w:styleId="IntenseEmphasis">
    <w:name w:val="Intense Emphasis"/>
    <w:uiPriority w:val="99"/>
    <w:semiHidden/>
    <w:qFormat/>
    <w:rsid w:val="00B50ED2"/>
    <w:rPr>
      <w:b/>
      <w:bCs/>
      <w:lang w:val="bg-BG" w:eastAsia="bg-BG"/>
    </w:rPr>
  </w:style>
  <w:style w:type="character" w:styleId="SubtleReference">
    <w:name w:val="Subtle Reference"/>
    <w:uiPriority w:val="99"/>
    <w:semiHidden/>
    <w:qFormat/>
    <w:rsid w:val="00B50ED2"/>
    <w:rPr>
      <w:smallCaps/>
      <w:lang w:val="bg-BG" w:eastAsia="bg-BG"/>
    </w:rPr>
  </w:style>
  <w:style w:type="character" w:styleId="IntenseReference">
    <w:name w:val="Intense Reference"/>
    <w:uiPriority w:val="99"/>
    <w:semiHidden/>
    <w:qFormat/>
    <w:rsid w:val="00B50ED2"/>
    <w:rPr>
      <w:smallCaps/>
      <w:spacing w:val="5"/>
      <w:u w:val="single"/>
      <w:lang w:val="bg-BG" w:eastAsia="bg-BG"/>
    </w:rPr>
  </w:style>
  <w:style w:type="character" w:styleId="BookTitle">
    <w:name w:val="Book Title"/>
    <w:uiPriority w:val="99"/>
    <w:semiHidden/>
    <w:qFormat/>
    <w:rsid w:val="00B50ED2"/>
    <w:rPr>
      <w:i/>
      <w:iCs/>
      <w:smallCaps/>
      <w:spacing w:val="5"/>
      <w:lang w:val="bg-BG" w:eastAsia="bg-BG"/>
    </w:rPr>
  </w:style>
  <w:style w:type="paragraph" w:styleId="TOCHeading">
    <w:name w:val="TOC Heading"/>
    <w:basedOn w:val="Normal"/>
    <w:next w:val="Normal"/>
    <w:uiPriority w:val="99"/>
    <w:semiHidden/>
    <w:qFormat/>
    <w:rsid w:val="00B50ED2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numbering" w:styleId="111111">
    <w:name w:val="Outline List 2"/>
    <w:basedOn w:val="NoList"/>
    <w:uiPriority w:val="99"/>
    <w:semiHidden/>
    <w:unhideWhenUsed/>
    <w:rsid w:val="00E93FC7"/>
  </w:style>
  <w:style w:type="numbering" w:styleId="1ai">
    <w:name w:val="Outline List 1"/>
    <w:basedOn w:val="NoList"/>
    <w:uiPriority w:val="99"/>
    <w:semiHidden/>
    <w:unhideWhenUsed/>
    <w:rsid w:val="00E93FC7"/>
  </w:style>
  <w:style w:type="numbering" w:styleId="ArticleSection">
    <w:name w:val="Outline List 3"/>
    <w:basedOn w:val="NoList"/>
    <w:uiPriority w:val="99"/>
    <w:semiHidden/>
    <w:unhideWhenUsed/>
    <w:rsid w:val="00E93FC7"/>
  </w:style>
  <w:style w:type="paragraph" w:styleId="Bibliography">
    <w:name w:val="Bibliography"/>
    <w:basedOn w:val="Normal"/>
    <w:next w:val="Normal"/>
    <w:uiPriority w:val="37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frame="1"/>
        <w:left w:val="single" w:sz="2" w:space="10" w:color="0072BC" w:frame="1"/>
        <w:bottom w:val="single" w:sz="2" w:space="10" w:color="0072BC" w:frame="1"/>
        <w:right w:val="single" w:sz="2" w:space="10" w:color="0072BC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93FC7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93FC7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93FC7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73"/>
    <w:semiHidden/>
    <w:rsid w:val="00E93FC7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72"/>
    <w:semiHidden/>
    <w:rsid w:val="00E93FC7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E93FC7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93FC7"/>
    <w:rPr>
      <w:rFonts w:eastAsia="MS Mincho"/>
      <w:b/>
      <w:bCs/>
      <w:sz w:val="20"/>
      <w:szCs w:val="20"/>
      <w:lang w:val="bg-BG" w:eastAsia="bg-BG"/>
    </w:rPr>
  </w:style>
  <w:style w:type="table" w:styleId="DarkList">
    <w:name w:val="Dark List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70"/>
    <w:semiHidden/>
    <w:rsid w:val="00E93FC7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link w:val="Date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3FC7"/>
    <w:rPr>
      <w:rFonts w:ascii="Tahoma" w:eastAsia="MS Mincho" w:hAnsi="Tahoma" w:cs="Tahoma"/>
      <w:sz w:val="16"/>
      <w:szCs w:val="16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link w:val="E-mailSignature"/>
    <w:uiPriority w:val="99"/>
    <w:semiHidden/>
    <w:rsid w:val="00E93FC7"/>
    <w:rPr>
      <w:rFonts w:eastAsia="MS Mincho"/>
      <w:sz w:val="24"/>
      <w:lang w:val="bg-BG" w:eastAsia="bg-BG"/>
    </w:rPr>
  </w:style>
  <w:style w:type="character" w:styleId="EndnoteReference">
    <w:name w:val="endnote reference"/>
    <w:uiPriority w:val="99"/>
    <w:semiHidden/>
    <w:unhideWhenUsed/>
    <w:rsid w:val="00E93FC7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93FC7"/>
    <w:rPr>
      <w:rFonts w:eastAsia="MS Mincho"/>
      <w:sz w:val="20"/>
      <w:szCs w:val="20"/>
      <w:lang w:val="bg-BG" w:eastAsia="bg-BG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rFonts w:eastAsia="MS Gothic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93FC7"/>
    <w:rPr>
      <w:color w:val="7030A0"/>
      <w:u w:val="single"/>
      <w:lang w:val="bg-BG" w:eastAsia="bg-BG"/>
    </w:rPr>
  </w:style>
  <w:style w:type="character" w:styleId="FootnoteReference">
    <w:name w:val="footnote reference"/>
    <w:uiPriority w:val="99"/>
    <w:semiHidden/>
    <w:rsid w:val="00B50ED2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B50E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50ED2"/>
    <w:rPr>
      <w:rFonts w:eastAsia="MS Mincho"/>
      <w:sz w:val="20"/>
      <w:szCs w:val="20"/>
      <w:lang w:val="bg-BG" w:eastAsia="bg-BG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93FC7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unhideWhenUsed/>
    <w:rsid w:val="00E93FC7"/>
    <w:rPr>
      <w:i/>
      <w:iCs/>
      <w:lang w:val="bg-BG" w:eastAsia="bg-BG"/>
    </w:rPr>
  </w:style>
  <w:style w:type="character" w:styleId="HTMLCode">
    <w:name w:val="HTML Code"/>
    <w:uiPriority w:val="99"/>
    <w:semiHidden/>
    <w:unhideWhenUsed/>
    <w:rsid w:val="00E93FC7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unhideWhenUsed/>
    <w:rsid w:val="00E93FC7"/>
    <w:rPr>
      <w:i/>
      <w:iCs/>
      <w:lang w:val="bg-BG" w:eastAsia="bg-BG"/>
    </w:rPr>
  </w:style>
  <w:style w:type="character" w:styleId="HTMLKeyboard">
    <w:name w:val="HTML Keyboard"/>
    <w:uiPriority w:val="99"/>
    <w:semiHidden/>
    <w:unhideWhenUsed/>
    <w:rsid w:val="00E93FC7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93FC7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unhideWhenUsed/>
    <w:rsid w:val="00E93FC7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unhideWhenUsed/>
    <w:rsid w:val="00E93FC7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unhideWhenUsed/>
    <w:rsid w:val="00E93FC7"/>
    <w:rPr>
      <w:i/>
      <w:iCs/>
      <w:lang w:val="bg-BG" w:eastAsia="bg-BG"/>
    </w:rPr>
  </w:style>
  <w:style w:type="character" w:styleId="Hyperlink">
    <w:name w:val="Hyperlink"/>
    <w:uiPriority w:val="99"/>
    <w:semiHidden/>
    <w:rsid w:val="00B50ED2"/>
    <w:rPr>
      <w:color w:val="0072BC"/>
      <w:u w:val="single"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rFonts w:eastAsia="MS Gothic"/>
      <w:b/>
      <w:bCs/>
    </w:rPr>
  </w:style>
  <w:style w:type="table" w:styleId="LightGrid">
    <w:name w:val="Light Grid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60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E93FC7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60"/>
    <w:semiHidden/>
    <w:rsid w:val="00E93FC7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60"/>
    <w:semiHidden/>
    <w:rsid w:val="00E93FC7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60"/>
    <w:semiHidden/>
    <w:rsid w:val="00E93FC7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60"/>
    <w:semiHidden/>
    <w:rsid w:val="00E93FC7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60"/>
    <w:semiHidden/>
    <w:rsid w:val="00E93FC7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E93FC7"/>
    <w:rPr>
      <w:rFonts w:ascii="Consolas" w:eastAsia="MS Mincho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68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65"/>
    <w:semiHidden/>
    <w:rsid w:val="00E93FC7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93FC7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93FC7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E93FC7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FC7"/>
  </w:style>
  <w:style w:type="character" w:customStyle="1" w:styleId="NoteHeadingChar">
    <w:name w:val="Note Heading Char"/>
    <w:link w:val="NoteHeading"/>
    <w:uiPriority w:val="99"/>
    <w:semiHidden/>
    <w:rsid w:val="00E93FC7"/>
    <w:rPr>
      <w:rFonts w:eastAsia="MS Mincho"/>
      <w:sz w:val="24"/>
      <w:lang w:val="bg-BG" w:eastAsia="bg-BG"/>
    </w:rPr>
  </w:style>
  <w:style w:type="character" w:styleId="PlaceholderText">
    <w:name w:val="Placeholder Text"/>
    <w:uiPriority w:val="99"/>
    <w:semiHidden/>
    <w:rsid w:val="00B50ED2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93FC7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link w:val="Salutation"/>
    <w:uiPriority w:val="99"/>
    <w:semiHidden/>
    <w:rsid w:val="00E93FC7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93FC7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B50ED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B50ED2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B50ED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B50ED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B50ED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B50ED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B50ED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B50ED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B50ED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B50ED2"/>
    <w:pPr>
      <w:jc w:val="left"/>
    </w:pPr>
    <w:rPr>
      <w:sz w:val="8"/>
    </w:rPr>
  </w:style>
  <w:style w:type="paragraph" w:customStyle="1" w:styleId="OpiQuot">
    <w:name w:val="Opi_Quot"/>
    <w:basedOn w:val="ECHRParaQuote"/>
    <w:uiPriority w:val="48"/>
    <w:semiHidden/>
    <w:qFormat/>
    <w:rsid w:val="00B50ED2"/>
  </w:style>
  <w:style w:type="paragraph" w:styleId="Footer">
    <w:name w:val="footer"/>
    <w:basedOn w:val="Normal"/>
    <w:link w:val="FooterChar"/>
    <w:uiPriority w:val="57"/>
    <w:semiHidden/>
    <w:rsid w:val="00B50ED2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57"/>
    <w:semiHidden/>
    <w:rsid w:val="00B50ED2"/>
    <w:rPr>
      <w:sz w:val="24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B50ED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B50ED2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paragraph" w:customStyle="1" w:styleId="OpiQuotSub">
    <w:name w:val="Opi_Quot_Sub"/>
    <w:basedOn w:val="JuQuotSub"/>
    <w:uiPriority w:val="49"/>
    <w:semiHidden/>
    <w:qFormat/>
    <w:rsid w:val="00B50ED2"/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B50ED2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147C8E"/>
    <w:rPr>
      <w:rFonts w:eastAsia="MS Mincho"/>
      <w:sz w:val="24"/>
      <w:lang w:val="bg-BG" w:eastAsia="bg-BG"/>
    </w:rPr>
  </w:style>
  <w:style w:type="paragraph" w:styleId="Revision">
    <w:name w:val="Revision"/>
    <w:hidden/>
    <w:uiPriority w:val="99"/>
    <w:semiHidden/>
    <w:rsid w:val="00614C4D"/>
    <w:rPr>
      <w:rFonts w:eastAsia="MS Mincho"/>
      <w:sz w:val="24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sites/eng/Pages/search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B0DE-ECDF-4BD7-8B4E-69A63A9B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23433</CharactersWithSpaces>
  <SharedDoc>false</SharedDoc>
  <HLinks>
    <vt:vector size="6" baseType="variant">
      <vt:variant>
        <vt:i4>5242967</vt:i4>
      </vt:variant>
      <vt:variant>
        <vt:i4>99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{"appno":["30979/96"]}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2018-08-09T12:33:00Z</dcterms:created>
  <dcterms:modified xsi:type="dcterms:W3CDTF">2018-08-09T12:33:00Z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