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9D" w:rsidRPr="00E17978" w:rsidRDefault="0011749D" w:rsidP="000F37E6">
      <w:bookmarkStart w:id="0" w:name="_GoBack"/>
      <w:bookmarkEnd w:id="0"/>
    </w:p>
    <w:p w:rsidR="000F37E6" w:rsidRDefault="000F37E6">
      <w:pPr>
        <w:jc w:val="center"/>
        <w:rPr>
          <w:sz w:val="28"/>
          <w:szCs w:val="28"/>
          <w:lang w:val="bg-BG"/>
        </w:rPr>
      </w:pPr>
    </w:p>
    <w:p w:rsidR="00DB1B3A" w:rsidRDefault="00DB1B3A">
      <w:pPr>
        <w:jc w:val="center"/>
      </w:pPr>
    </w:p>
    <w:p w:rsidR="0011749D" w:rsidRPr="00C1666E" w:rsidRDefault="00C1666E">
      <w:pPr>
        <w:jc w:val="center"/>
        <w:rPr>
          <w:lang w:val="bg-BG"/>
        </w:rPr>
      </w:pPr>
      <w:r>
        <w:rPr>
          <w:lang w:val="bg-BG"/>
        </w:rPr>
        <w:t>ГОЛЯМА КАМАРА</w:t>
      </w:r>
    </w:p>
    <w:p w:rsidR="0011749D" w:rsidRPr="00E17978" w:rsidRDefault="0011749D">
      <w:pPr>
        <w:jc w:val="center"/>
      </w:pPr>
    </w:p>
    <w:p w:rsidR="0011749D" w:rsidRPr="00E17978" w:rsidRDefault="0011749D">
      <w:pPr>
        <w:jc w:val="center"/>
      </w:pPr>
    </w:p>
    <w:p w:rsidR="0011749D" w:rsidRPr="00E17978" w:rsidRDefault="0011749D">
      <w:pPr>
        <w:jc w:val="center"/>
      </w:pPr>
    </w:p>
    <w:p w:rsidR="0011749D" w:rsidRPr="00E17978" w:rsidRDefault="0011749D">
      <w:pPr>
        <w:jc w:val="center"/>
      </w:pPr>
    </w:p>
    <w:p w:rsidR="00CD49A7" w:rsidRPr="00E17978" w:rsidRDefault="00CD49A7">
      <w:pPr>
        <w:jc w:val="center"/>
      </w:pPr>
    </w:p>
    <w:p w:rsidR="00CD49A7" w:rsidRPr="00945ED6" w:rsidRDefault="00945ED6">
      <w:pPr>
        <w:jc w:val="center"/>
        <w:rPr>
          <w:b/>
          <w:lang w:val="en-US"/>
        </w:rPr>
      </w:pPr>
      <w:r>
        <w:rPr>
          <w:b/>
          <w:lang w:val="bg-BG"/>
        </w:rPr>
        <w:t xml:space="preserve">ДЕЛО </w:t>
      </w:r>
      <w:r w:rsidR="00126EB2" w:rsidRPr="00E17978">
        <w:rPr>
          <w:b/>
        </w:rPr>
        <w:t>ŽDANOKA</w:t>
      </w:r>
      <w:r w:rsidR="00DF6067">
        <w:rPr>
          <w:b/>
          <w:lang w:val="bg-BG"/>
        </w:rPr>
        <w:t xml:space="preserve"> </w:t>
      </w:r>
      <w:r w:rsidR="00177AED">
        <w:rPr>
          <w:b/>
          <w:lang w:val="bg-BG"/>
        </w:rPr>
        <w:t>срещу</w:t>
      </w:r>
      <w:r w:rsidR="00DF6067">
        <w:rPr>
          <w:b/>
          <w:lang w:val="bg-BG"/>
        </w:rPr>
        <w:t xml:space="preserve"> ЛАТВИЯ</w:t>
      </w:r>
    </w:p>
    <w:p w:rsidR="00CD49A7" w:rsidRPr="00E17978" w:rsidRDefault="00CD49A7">
      <w:pPr>
        <w:jc w:val="center"/>
      </w:pPr>
    </w:p>
    <w:p w:rsidR="0011749D" w:rsidRPr="00E17978" w:rsidRDefault="00CD49A7" w:rsidP="0011749D">
      <w:pPr>
        <w:jc w:val="center"/>
        <w:rPr>
          <w:i/>
        </w:rPr>
      </w:pPr>
      <w:r w:rsidRPr="00E17978">
        <w:rPr>
          <w:i/>
        </w:rPr>
        <w:t>(</w:t>
      </w:r>
      <w:r w:rsidR="00DF6067">
        <w:rPr>
          <w:i/>
        </w:rPr>
        <w:t xml:space="preserve">Жалба </w:t>
      </w:r>
      <w:r w:rsidR="00DF6067" w:rsidRPr="00DF6067">
        <w:rPr>
          <w:i/>
          <w:lang w:val="bg-BG"/>
        </w:rPr>
        <w:t>№</w:t>
      </w:r>
      <w:r w:rsidR="00A13D5D" w:rsidRPr="00E17978">
        <w:rPr>
          <w:i/>
        </w:rPr>
        <w:t xml:space="preserve"> 58278/00</w:t>
      </w:r>
      <w:r w:rsidRPr="00E17978">
        <w:rPr>
          <w:i/>
        </w:rPr>
        <w:t>)</w:t>
      </w:r>
    </w:p>
    <w:p w:rsidR="0011749D" w:rsidRPr="00E17978" w:rsidRDefault="0011749D" w:rsidP="0011749D">
      <w:pPr>
        <w:jc w:val="center"/>
        <w:rPr>
          <w:i/>
        </w:rPr>
      </w:pPr>
    </w:p>
    <w:p w:rsidR="0011749D" w:rsidRPr="00E17978" w:rsidRDefault="0011749D" w:rsidP="0011749D">
      <w:pPr>
        <w:jc w:val="center"/>
        <w:rPr>
          <w:i/>
        </w:rPr>
      </w:pPr>
    </w:p>
    <w:p w:rsidR="0011749D" w:rsidRPr="00E17978" w:rsidRDefault="0011749D" w:rsidP="0011749D">
      <w:pPr>
        <w:jc w:val="center"/>
        <w:rPr>
          <w:i/>
        </w:rPr>
      </w:pPr>
    </w:p>
    <w:p w:rsidR="0011749D" w:rsidRPr="00E17978" w:rsidRDefault="0011749D" w:rsidP="0011749D">
      <w:pPr>
        <w:jc w:val="center"/>
        <w:rPr>
          <w:i/>
        </w:rPr>
      </w:pPr>
    </w:p>
    <w:p w:rsidR="0011749D" w:rsidRPr="00E17978" w:rsidRDefault="0011749D" w:rsidP="0011749D">
      <w:pPr>
        <w:jc w:val="center"/>
        <w:rPr>
          <w:i/>
        </w:rPr>
      </w:pPr>
    </w:p>
    <w:p w:rsidR="0011749D" w:rsidRPr="00E17978" w:rsidRDefault="0011749D" w:rsidP="0011749D">
      <w:pPr>
        <w:jc w:val="center"/>
        <w:rPr>
          <w:i/>
        </w:rPr>
      </w:pPr>
    </w:p>
    <w:p w:rsidR="0011749D" w:rsidRPr="00E17978" w:rsidRDefault="0011749D" w:rsidP="0011749D">
      <w:pPr>
        <w:jc w:val="center"/>
        <w:rPr>
          <w:i/>
        </w:rPr>
      </w:pPr>
    </w:p>
    <w:p w:rsidR="0011749D" w:rsidRPr="00E17978" w:rsidRDefault="0011749D" w:rsidP="0011749D">
      <w:pPr>
        <w:jc w:val="center"/>
        <w:rPr>
          <w:i/>
        </w:rPr>
      </w:pPr>
    </w:p>
    <w:p w:rsidR="0011749D" w:rsidRPr="00E17978" w:rsidRDefault="0011749D" w:rsidP="0011749D">
      <w:pPr>
        <w:jc w:val="center"/>
        <w:rPr>
          <w:i/>
        </w:rPr>
      </w:pPr>
    </w:p>
    <w:p w:rsidR="0011749D" w:rsidRPr="00E17978" w:rsidRDefault="0011749D" w:rsidP="0011749D">
      <w:pPr>
        <w:jc w:val="center"/>
        <w:rPr>
          <w:i/>
        </w:rPr>
      </w:pPr>
    </w:p>
    <w:p w:rsidR="0011749D" w:rsidRPr="00C1666E" w:rsidRDefault="00C1666E" w:rsidP="0011749D">
      <w:pPr>
        <w:jc w:val="center"/>
        <w:rPr>
          <w:lang w:val="bg-BG"/>
        </w:rPr>
      </w:pPr>
      <w:r>
        <w:rPr>
          <w:lang w:val="bg-BG"/>
        </w:rPr>
        <w:t>РЕШЕНИЕ</w:t>
      </w:r>
    </w:p>
    <w:p w:rsidR="0011749D" w:rsidRPr="00E17978" w:rsidRDefault="0011749D" w:rsidP="0011749D">
      <w:pPr>
        <w:jc w:val="center"/>
      </w:pPr>
    </w:p>
    <w:p w:rsidR="0011749D" w:rsidRPr="00E17978" w:rsidRDefault="0011749D" w:rsidP="0011749D">
      <w:pPr>
        <w:jc w:val="center"/>
      </w:pPr>
    </w:p>
    <w:p w:rsidR="0011749D" w:rsidRPr="00E17978" w:rsidRDefault="0011749D" w:rsidP="0011749D">
      <w:pPr>
        <w:jc w:val="center"/>
      </w:pPr>
    </w:p>
    <w:p w:rsidR="0011749D" w:rsidRPr="00C1666E" w:rsidRDefault="00C1666E" w:rsidP="0011749D">
      <w:pPr>
        <w:jc w:val="center"/>
        <w:rPr>
          <w:lang w:val="bg-BG"/>
        </w:rPr>
      </w:pPr>
      <w:r>
        <w:rPr>
          <w:lang w:val="bg-BG"/>
        </w:rPr>
        <w:t>СТРАСБУРГ</w:t>
      </w:r>
    </w:p>
    <w:p w:rsidR="0011749D" w:rsidRPr="00E17978" w:rsidRDefault="0011749D" w:rsidP="0011749D">
      <w:pPr>
        <w:jc w:val="center"/>
      </w:pPr>
    </w:p>
    <w:p w:rsidR="005A5ED0" w:rsidRPr="00126EB2" w:rsidRDefault="00C1666E" w:rsidP="0011749D">
      <w:pPr>
        <w:jc w:val="center"/>
        <w:rPr>
          <w:lang w:val="bg-BG"/>
        </w:rPr>
      </w:pPr>
      <w:r>
        <w:t>16 март</w:t>
      </w:r>
      <w:r w:rsidR="00DD39EE" w:rsidRPr="00E17978">
        <w:t xml:space="preserve"> 2006</w:t>
      </w:r>
      <w:r w:rsidR="00126EB2">
        <w:t xml:space="preserve"> </w:t>
      </w:r>
      <w:r w:rsidR="00126EB2">
        <w:rPr>
          <w:lang w:val="bg-BG"/>
        </w:rPr>
        <w:t>г.</w:t>
      </w:r>
    </w:p>
    <w:p w:rsidR="0011749D" w:rsidRPr="00E17978" w:rsidRDefault="0011749D" w:rsidP="0011749D">
      <w:pPr>
        <w:jc w:val="center"/>
      </w:pPr>
    </w:p>
    <w:p w:rsidR="0011749D" w:rsidRPr="00E17978" w:rsidRDefault="0011749D" w:rsidP="0011749D">
      <w:pPr>
        <w:jc w:val="center"/>
      </w:pPr>
    </w:p>
    <w:p w:rsidR="0011749D" w:rsidRPr="00E17978" w:rsidRDefault="0011749D">
      <w:pPr>
        <w:pStyle w:val="JuCase"/>
        <w:sectPr w:rsidR="0011749D" w:rsidRPr="00E17978" w:rsidSect="0011749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326"/>
        </w:sectPr>
      </w:pPr>
    </w:p>
    <w:p w:rsidR="00CD49A7" w:rsidRPr="00E17978" w:rsidRDefault="00CB5D81">
      <w:pPr>
        <w:pStyle w:val="JuCase"/>
      </w:pPr>
      <w:r>
        <w:rPr>
          <w:lang w:val="bg-BG"/>
        </w:rPr>
        <w:lastRenderedPageBreak/>
        <w:t xml:space="preserve">По делото </w:t>
      </w:r>
      <w:r w:rsidR="00126EB2" w:rsidRPr="00E17978">
        <w:t>Ždanoka</w:t>
      </w:r>
      <w:r w:rsidR="00DF6067">
        <w:rPr>
          <w:lang w:val="bg-BG"/>
        </w:rPr>
        <w:t xml:space="preserve"> срещу Латвия</w:t>
      </w:r>
    </w:p>
    <w:p w:rsidR="00CD49A7" w:rsidRPr="00B8206D" w:rsidRDefault="005606E6" w:rsidP="00B8206D">
      <w:pPr>
        <w:pStyle w:val="JuPara"/>
        <w:rPr>
          <w:lang w:val="en-GB"/>
        </w:rPr>
      </w:pPr>
      <w:r>
        <w:rPr>
          <w:lang w:val="bg-BG"/>
        </w:rPr>
        <w:t>Европейският съд по правата на човека,</w:t>
      </w:r>
      <w:r w:rsidR="00742229">
        <w:rPr>
          <w:lang w:val="bg-BG"/>
        </w:rPr>
        <w:t xml:space="preserve"> в заседание на Голямата камара</w:t>
      </w:r>
      <w:r w:rsidR="00742229" w:rsidRPr="00C51877">
        <w:rPr>
          <w:lang w:val="bg-BG"/>
        </w:rPr>
        <w:t>,</w:t>
      </w:r>
      <w:r w:rsidRPr="00C51877">
        <w:rPr>
          <w:lang w:val="bg-BG"/>
        </w:rPr>
        <w:t xml:space="preserve"> в състав:</w:t>
      </w:r>
      <w:r>
        <w:rPr>
          <w:lang w:val="bg-BG"/>
        </w:rPr>
        <w:t xml:space="preserve"> </w:t>
      </w:r>
    </w:p>
    <w:p w:rsidR="00CD49A7" w:rsidRPr="00E17978" w:rsidRDefault="00340962">
      <w:pPr>
        <w:pStyle w:val="JuJudges"/>
      </w:pPr>
      <w:r w:rsidRPr="00340962">
        <w:tab/>
      </w:r>
      <w:r w:rsidR="00B93676">
        <w:rPr>
          <w:lang w:val="bg-BG"/>
        </w:rPr>
        <w:t>Луциус Вилдхабер (</w:t>
      </w:r>
      <w:r w:rsidRPr="00340962">
        <w:t>Luzius</w:t>
      </w:r>
      <w:r>
        <w:t xml:space="preserve"> </w:t>
      </w:r>
      <w:r w:rsidRPr="00340962">
        <w:t>Wildhaber</w:t>
      </w:r>
      <w:r w:rsidR="00B93676">
        <w:rPr>
          <w:lang w:val="bg-BG"/>
        </w:rPr>
        <w:t>)</w:t>
      </w:r>
      <w:r>
        <w:t>,</w:t>
      </w:r>
      <w:r w:rsidR="00B93676">
        <w:rPr>
          <w:i/>
        </w:rPr>
        <w:t xml:space="preserve"> Председател</w:t>
      </w:r>
      <w:r w:rsidRPr="00373032">
        <w:t>,</w:t>
      </w:r>
      <w:r>
        <w:rPr>
          <w:i/>
        </w:rPr>
        <w:br/>
      </w:r>
      <w:r w:rsidRPr="00340962">
        <w:tab/>
      </w:r>
      <w:r w:rsidR="00B93676">
        <w:rPr>
          <w:lang w:val="bg-BG"/>
        </w:rPr>
        <w:t>Христос Розакис (</w:t>
      </w:r>
      <w:r w:rsidRPr="00340962">
        <w:t>Christos</w:t>
      </w:r>
      <w:r>
        <w:t xml:space="preserve"> </w:t>
      </w:r>
      <w:r w:rsidRPr="00340962">
        <w:t>Rozakis</w:t>
      </w:r>
      <w:r w:rsidR="00B93676">
        <w:rPr>
          <w:lang w:val="bg-BG"/>
        </w:rPr>
        <w:t>)</w:t>
      </w:r>
      <w:r>
        <w:t>,</w:t>
      </w:r>
      <w:r>
        <w:rPr>
          <w:i/>
        </w:rPr>
        <w:br/>
      </w:r>
      <w:r w:rsidRPr="00340962">
        <w:tab/>
      </w:r>
      <w:r w:rsidR="00B93676">
        <w:rPr>
          <w:lang w:val="bg-BG"/>
        </w:rPr>
        <w:t>Жан-Пол Коста (</w:t>
      </w:r>
      <w:r w:rsidRPr="00340962">
        <w:t>Jean-Paul</w:t>
      </w:r>
      <w:r>
        <w:t xml:space="preserve"> </w:t>
      </w:r>
      <w:r w:rsidRPr="00340962">
        <w:t>Costa</w:t>
      </w:r>
      <w:r w:rsidR="00B93676">
        <w:rPr>
          <w:lang w:val="bg-BG"/>
        </w:rPr>
        <w:t>)</w:t>
      </w:r>
      <w:r>
        <w:t>,</w:t>
      </w:r>
      <w:r>
        <w:rPr>
          <w:i/>
        </w:rPr>
        <w:br/>
      </w:r>
      <w:r w:rsidRPr="00340962">
        <w:tab/>
      </w:r>
      <w:r w:rsidR="00B93676">
        <w:rPr>
          <w:lang w:val="bg-BG"/>
        </w:rPr>
        <w:t>Николас Браца (</w:t>
      </w:r>
      <w:r w:rsidRPr="00340962">
        <w:t>Nicolas</w:t>
      </w:r>
      <w:r>
        <w:t xml:space="preserve"> </w:t>
      </w:r>
      <w:r w:rsidRPr="00340962">
        <w:t>Bratza</w:t>
      </w:r>
      <w:r w:rsidR="00B93676">
        <w:rPr>
          <w:lang w:val="bg-BG"/>
        </w:rPr>
        <w:t>)</w:t>
      </w:r>
      <w:r>
        <w:t>,</w:t>
      </w:r>
      <w:r>
        <w:rPr>
          <w:i/>
        </w:rPr>
        <w:br/>
      </w:r>
      <w:r w:rsidRPr="00340962">
        <w:tab/>
      </w:r>
      <w:r w:rsidR="00B93676">
        <w:rPr>
          <w:lang w:val="bg-BG"/>
        </w:rPr>
        <w:t xml:space="preserve">Боштян </w:t>
      </w:r>
      <w:r w:rsidR="00126EB2">
        <w:rPr>
          <w:lang w:val="bg-BG"/>
        </w:rPr>
        <w:t xml:space="preserve">М. </w:t>
      </w:r>
      <w:r w:rsidR="00B93676">
        <w:rPr>
          <w:lang w:val="bg-BG"/>
        </w:rPr>
        <w:t>Зупанчич (</w:t>
      </w:r>
      <w:r w:rsidRPr="00340962">
        <w:t>Boštjan M.</w:t>
      </w:r>
      <w:r>
        <w:t xml:space="preserve"> </w:t>
      </w:r>
      <w:r w:rsidRPr="00340962">
        <w:t>Zupančič</w:t>
      </w:r>
      <w:r w:rsidR="00B93676">
        <w:rPr>
          <w:lang w:val="bg-BG"/>
        </w:rPr>
        <w:t>)</w:t>
      </w:r>
      <w:r>
        <w:t>,</w:t>
      </w:r>
      <w:r>
        <w:rPr>
          <w:i/>
        </w:rPr>
        <w:br/>
      </w:r>
      <w:r w:rsidRPr="00340962">
        <w:tab/>
      </w:r>
      <w:r w:rsidR="00126EB2">
        <w:rPr>
          <w:lang w:val="bg-BG"/>
        </w:rPr>
        <w:t>Лукис Лукаиде</w:t>
      </w:r>
      <w:r w:rsidR="00B93676">
        <w:rPr>
          <w:lang w:val="bg-BG"/>
        </w:rPr>
        <w:t>с (</w:t>
      </w:r>
      <w:r w:rsidRPr="00340962">
        <w:t>Loukis</w:t>
      </w:r>
      <w:r>
        <w:t xml:space="preserve"> </w:t>
      </w:r>
      <w:r w:rsidRPr="00340962">
        <w:t>Loucaides</w:t>
      </w:r>
      <w:r w:rsidR="00B93676">
        <w:rPr>
          <w:lang w:val="bg-BG"/>
        </w:rPr>
        <w:t>)</w:t>
      </w:r>
      <w:r>
        <w:t>,</w:t>
      </w:r>
      <w:r>
        <w:rPr>
          <w:i/>
        </w:rPr>
        <w:br/>
      </w:r>
      <w:r w:rsidRPr="00340962">
        <w:tab/>
      </w:r>
      <w:r w:rsidR="006C4FF1">
        <w:rPr>
          <w:lang w:val="bg-BG"/>
        </w:rPr>
        <w:t>Ръза Тюрмен (</w:t>
      </w:r>
      <w:r w:rsidRPr="00340962">
        <w:t>Rıza</w:t>
      </w:r>
      <w:r>
        <w:t xml:space="preserve"> </w:t>
      </w:r>
      <w:r w:rsidRPr="00340962">
        <w:t>Türmen</w:t>
      </w:r>
      <w:r w:rsidR="006C4FF1">
        <w:rPr>
          <w:lang w:val="bg-BG"/>
        </w:rPr>
        <w:t>)</w:t>
      </w:r>
      <w:r>
        <w:t>,</w:t>
      </w:r>
      <w:r>
        <w:rPr>
          <w:i/>
        </w:rPr>
        <w:br/>
      </w:r>
      <w:r w:rsidRPr="00340962">
        <w:tab/>
      </w:r>
      <w:r w:rsidR="006C4FF1">
        <w:rPr>
          <w:lang w:val="bg-BG"/>
        </w:rPr>
        <w:t>Хосеп Касадевал (</w:t>
      </w:r>
      <w:r w:rsidRPr="00340962">
        <w:t>Josep</w:t>
      </w:r>
      <w:r>
        <w:t xml:space="preserve"> </w:t>
      </w:r>
      <w:r w:rsidRPr="00340962">
        <w:t>Casadevall</w:t>
      </w:r>
      <w:r w:rsidR="006C4FF1">
        <w:rPr>
          <w:lang w:val="bg-BG"/>
        </w:rPr>
        <w:t>)</w:t>
      </w:r>
      <w:r>
        <w:t>,</w:t>
      </w:r>
      <w:r>
        <w:rPr>
          <w:i/>
        </w:rPr>
        <w:br/>
      </w:r>
      <w:r w:rsidRPr="00340962">
        <w:tab/>
      </w:r>
      <w:r w:rsidR="006C4FF1">
        <w:rPr>
          <w:lang w:val="bg-BG"/>
        </w:rPr>
        <w:t>Андра</w:t>
      </w:r>
      <w:r w:rsidR="00177AED">
        <w:rPr>
          <w:lang w:val="bg-BG"/>
        </w:rPr>
        <w:t>ш</w:t>
      </w:r>
      <w:r w:rsidR="006C4FF1">
        <w:rPr>
          <w:lang w:val="bg-BG"/>
        </w:rPr>
        <w:t xml:space="preserve"> Бака (</w:t>
      </w:r>
      <w:r w:rsidRPr="00340962">
        <w:t>András</w:t>
      </w:r>
      <w:r>
        <w:t xml:space="preserve"> </w:t>
      </w:r>
      <w:r w:rsidRPr="00340962">
        <w:t>Baka</w:t>
      </w:r>
      <w:r w:rsidR="006C4FF1">
        <w:rPr>
          <w:lang w:val="bg-BG"/>
        </w:rPr>
        <w:t>)</w:t>
      </w:r>
      <w:r>
        <w:t>,</w:t>
      </w:r>
      <w:r>
        <w:rPr>
          <w:i/>
        </w:rPr>
        <w:br/>
      </w:r>
      <w:r w:rsidRPr="00340962">
        <w:tab/>
      </w:r>
      <w:r w:rsidR="006C4FF1">
        <w:rPr>
          <w:lang w:val="bg-BG"/>
        </w:rPr>
        <w:t>Райт Марусте (</w:t>
      </w:r>
      <w:r w:rsidRPr="00340962">
        <w:t>Rait</w:t>
      </w:r>
      <w:r>
        <w:t xml:space="preserve"> </w:t>
      </w:r>
      <w:r w:rsidRPr="00340962">
        <w:t>Maruste</w:t>
      </w:r>
      <w:r w:rsidR="006C4FF1">
        <w:rPr>
          <w:lang w:val="bg-BG"/>
        </w:rPr>
        <w:t>)</w:t>
      </w:r>
      <w:r>
        <w:t>,</w:t>
      </w:r>
      <w:r>
        <w:rPr>
          <w:i/>
        </w:rPr>
        <w:br/>
      </w:r>
      <w:r w:rsidRPr="00340962">
        <w:tab/>
      </w:r>
      <w:r w:rsidR="006C4FF1">
        <w:rPr>
          <w:lang w:val="bg-BG"/>
        </w:rPr>
        <w:t>Хавиер Борего Борего (</w:t>
      </w:r>
      <w:r w:rsidRPr="00340962">
        <w:t>Javier</w:t>
      </w:r>
      <w:r>
        <w:t xml:space="preserve"> </w:t>
      </w:r>
      <w:r w:rsidRPr="00340962">
        <w:t>Borrego Borrego</w:t>
      </w:r>
      <w:r w:rsidR="006C4FF1">
        <w:rPr>
          <w:lang w:val="bg-BG"/>
        </w:rPr>
        <w:t>)</w:t>
      </w:r>
      <w:r>
        <w:t>,</w:t>
      </w:r>
      <w:r>
        <w:rPr>
          <w:i/>
        </w:rPr>
        <w:br/>
      </w:r>
      <w:r w:rsidRPr="00340962">
        <w:tab/>
      </w:r>
      <w:r w:rsidR="001C2BB9">
        <w:rPr>
          <w:lang w:val="bg-BG"/>
        </w:rPr>
        <w:t>Елизабет Фура-</w:t>
      </w:r>
      <w:r w:rsidR="009A31EB">
        <w:rPr>
          <w:lang w:val="bg-BG"/>
        </w:rPr>
        <w:t>С</w:t>
      </w:r>
      <w:r w:rsidR="001C2BB9">
        <w:rPr>
          <w:lang w:val="bg-BG"/>
        </w:rPr>
        <w:t>анд</w:t>
      </w:r>
      <w:r w:rsidR="009A31EB">
        <w:rPr>
          <w:lang w:val="bg-BG"/>
        </w:rPr>
        <w:t>ст</w:t>
      </w:r>
      <w:r w:rsidR="001C2BB9">
        <w:rPr>
          <w:lang w:val="bg-BG"/>
        </w:rPr>
        <w:t>рьом (</w:t>
      </w:r>
      <w:r w:rsidRPr="00340962">
        <w:t>Elisabet</w:t>
      </w:r>
      <w:r>
        <w:t xml:space="preserve"> </w:t>
      </w:r>
      <w:r w:rsidRPr="00340962">
        <w:t>Fura-Sandström</w:t>
      </w:r>
      <w:r w:rsidR="001C2BB9">
        <w:rPr>
          <w:lang w:val="bg-BG"/>
        </w:rPr>
        <w:t>)</w:t>
      </w:r>
      <w:r>
        <w:t>,</w:t>
      </w:r>
      <w:r>
        <w:rPr>
          <w:i/>
        </w:rPr>
        <w:br/>
      </w:r>
      <w:r w:rsidRPr="00340962">
        <w:tab/>
      </w:r>
      <w:r w:rsidR="0043296C">
        <w:rPr>
          <w:lang w:val="bg-BG"/>
        </w:rPr>
        <w:t>Алвина Гюлумян (</w:t>
      </w:r>
      <w:r w:rsidRPr="00340962">
        <w:t>Alvina</w:t>
      </w:r>
      <w:r>
        <w:t xml:space="preserve"> </w:t>
      </w:r>
      <w:r w:rsidRPr="00340962">
        <w:t>Gyulumyan</w:t>
      </w:r>
      <w:r w:rsidR="0043296C">
        <w:rPr>
          <w:lang w:val="bg-BG"/>
        </w:rPr>
        <w:t>)</w:t>
      </w:r>
      <w:r>
        <w:t>,</w:t>
      </w:r>
      <w:r>
        <w:rPr>
          <w:i/>
        </w:rPr>
        <w:br/>
      </w:r>
      <w:r w:rsidRPr="00340962">
        <w:tab/>
      </w:r>
      <w:r w:rsidR="0043296C">
        <w:rPr>
          <w:lang w:val="bg-BG"/>
        </w:rPr>
        <w:t>Лиляна Мийович (</w:t>
      </w:r>
      <w:r w:rsidRPr="00340962">
        <w:t>Ljiljana</w:t>
      </w:r>
      <w:r>
        <w:t xml:space="preserve"> </w:t>
      </w:r>
      <w:r w:rsidRPr="00340962">
        <w:t>Mijović</w:t>
      </w:r>
      <w:r w:rsidR="0043296C">
        <w:rPr>
          <w:lang w:val="bg-BG"/>
        </w:rPr>
        <w:t>)</w:t>
      </w:r>
      <w:r>
        <w:t>,</w:t>
      </w:r>
      <w:r>
        <w:rPr>
          <w:i/>
        </w:rPr>
        <w:br/>
      </w:r>
      <w:r w:rsidRPr="00340962">
        <w:tab/>
      </w:r>
      <w:r w:rsidR="0043296C">
        <w:rPr>
          <w:lang w:val="bg-BG"/>
        </w:rPr>
        <w:t>Дийн Шпилман (</w:t>
      </w:r>
      <w:r w:rsidRPr="00340962">
        <w:t>Dean</w:t>
      </w:r>
      <w:r>
        <w:t xml:space="preserve"> </w:t>
      </w:r>
      <w:r w:rsidRPr="00340962">
        <w:t>Spielmann</w:t>
      </w:r>
      <w:r w:rsidR="0043296C">
        <w:rPr>
          <w:lang w:val="bg-BG"/>
        </w:rPr>
        <w:t>)</w:t>
      </w:r>
      <w:r>
        <w:t>,</w:t>
      </w:r>
      <w:r>
        <w:rPr>
          <w:i/>
        </w:rPr>
        <w:br/>
      </w:r>
      <w:r w:rsidRPr="00340962">
        <w:tab/>
      </w:r>
      <w:r w:rsidR="0043296C">
        <w:rPr>
          <w:lang w:val="bg-BG"/>
        </w:rPr>
        <w:t>Ренате Йегер (</w:t>
      </w:r>
      <w:r w:rsidRPr="00340962">
        <w:t>Renate</w:t>
      </w:r>
      <w:r>
        <w:t xml:space="preserve"> </w:t>
      </w:r>
      <w:r w:rsidRPr="00340962">
        <w:t>Jaeger</w:t>
      </w:r>
      <w:r w:rsidR="0043296C">
        <w:rPr>
          <w:lang w:val="bg-BG"/>
        </w:rPr>
        <w:t>)</w:t>
      </w:r>
      <w:r>
        <w:t>,</w:t>
      </w:r>
      <w:r w:rsidR="0043296C">
        <w:rPr>
          <w:i/>
        </w:rPr>
        <w:t xml:space="preserve"> съдии</w:t>
      </w:r>
      <w:r w:rsidRPr="00373032">
        <w:t>,</w:t>
      </w:r>
      <w:r>
        <w:rPr>
          <w:i/>
        </w:rPr>
        <w:br/>
      </w:r>
      <w:r w:rsidRPr="00340962">
        <w:tab/>
      </w:r>
      <w:r w:rsidR="0016479F">
        <w:rPr>
          <w:lang w:val="bg-BG"/>
        </w:rPr>
        <w:t>Яутрите Бриеде (</w:t>
      </w:r>
      <w:r w:rsidRPr="00340962">
        <w:t>Jautrite</w:t>
      </w:r>
      <w:r>
        <w:t xml:space="preserve"> </w:t>
      </w:r>
      <w:r w:rsidRPr="00340962">
        <w:t>Briede</w:t>
      </w:r>
      <w:r w:rsidR="0016479F">
        <w:rPr>
          <w:lang w:val="bg-BG"/>
        </w:rPr>
        <w:t>)</w:t>
      </w:r>
      <w:r>
        <w:t>,</w:t>
      </w:r>
      <w:r w:rsidRPr="00340962">
        <w:rPr>
          <w:i/>
        </w:rPr>
        <w:t xml:space="preserve"> </w:t>
      </w:r>
      <w:r w:rsidR="0016479F" w:rsidRPr="0016479F">
        <w:rPr>
          <w:i/>
        </w:rPr>
        <w:t>съдия</w:t>
      </w:r>
      <w:r w:rsidR="00E35FC4">
        <w:rPr>
          <w:i/>
        </w:rPr>
        <w:t xml:space="preserve"> ad hoc</w:t>
      </w:r>
      <w:r w:rsidRPr="00373032">
        <w:t>,</w:t>
      </w:r>
      <w:r>
        <w:rPr>
          <w:i/>
        </w:rPr>
        <w:br/>
      </w:r>
      <w:r w:rsidR="0016479F">
        <w:rPr>
          <w:lang w:val="bg-BG"/>
        </w:rPr>
        <w:t xml:space="preserve">и Лорънс Ърли </w:t>
      </w:r>
      <w:r w:rsidR="0016479F">
        <w:t>(</w:t>
      </w:r>
      <w:r>
        <w:t>Lawrence</w:t>
      </w:r>
      <w:r w:rsidR="00CD49A7" w:rsidRPr="00E17978">
        <w:t xml:space="preserve"> </w:t>
      </w:r>
      <w:r w:rsidR="00A13D5D" w:rsidRPr="00E17978">
        <w:rPr>
          <w:rStyle w:val="JuNames"/>
        </w:rPr>
        <w:t>E</w:t>
      </w:r>
      <w:r w:rsidR="00A13D5D" w:rsidRPr="00340962">
        <w:rPr>
          <w:rStyle w:val="JuNames"/>
          <w:rFonts w:ascii="Times New (W1)" w:hAnsi="Times New (W1)"/>
          <w:smallCaps w:val="0"/>
        </w:rPr>
        <w:t>arly</w:t>
      </w:r>
      <w:r w:rsidR="0016479F">
        <w:rPr>
          <w:rStyle w:val="JuNames"/>
          <w:rFonts w:asciiTheme="minorHAnsi" w:hAnsiTheme="minorHAnsi"/>
          <w:smallCaps w:val="0"/>
          <w:lang w:val="bg-BG"/>
        </w:rPr>
        <w:t>)</w:t>
      </w:r>
      <w:r w:rsidR="00CD49A7" w:rsidRPr="00E17978">
        <w:t xml:space="preserve">, </w:t>
      </w:r>
      <w:r w:rsidR="0016479F" w:rsidRPr="0016479F">
        <w:rPr>
          <w:i/>
          <w:lang w:val="bg-BG"/>
        </w:rPr>
        <w:t>Заместник-секретар на Голямата камара</w:t>
      </w:r>
      <w:r w:rsidR="0016479F">
        <w:rPr>
          <w:lang w:val="bg-BG"/>
        </w:rPr>
        <w:t>,</w:t>
      </w:r>
    </w:p>
    <w:p w:rsidR="00421E28" w:rsidRDefault="00BD78EA">
      <w:pPr>
        <w:pStyle w:val="JuParaChar"/>
      </w:pPr>
      <w:r>
        <w:t xml:space="preserve">След закрити заседания, проведени на 1 </w:t>
      </w:r>
      <w:r>
        <w:rPr>
          <w:lang w:val="bg-BG"/>
        </w:rPr>
        <w:t>юни</w:t>
      </w:r>
      <w:r w:rsidR="002975AA" w:rsidRPr="00E17978">
        <w:t xml:space="preserve"> 2005</w:t>
      </w:r>
      <w:r>
        <w:rPr>
          <w:lang w:val="bg-BG"/>
        </w:rPr>
        <w:t xml:space="preserve"> г. и 15 февруари 2006 г.,</w:t>
      </w:r>
    </w:p>
    <w:p w:rsidR="00CD49A7" w:rsidRPr="00E17978" w:rsidRDefault="008237F2">
      <w:pPr>
        <w:pStyle w:val="JuParaChar"/>
      </w:pPr>
      <w:r w:rsidRPr="00DB1B3A">
        <w:rPr>
          <w:lang w:val="bg-BG"/>
        </w:rPr>
        <w:t>Постанови</w:t>
      </w:r>
      <w:r w:rsidR="00BD78EA">
        <w:rPr>
          <w:lang w:val="bg-BG"/>
        </w:rPr>
        <w:t xml:space="preserve"> следното решение, прието на </w:t>
      </w:r>
      <w:r w:rsidR="00D83713">
        <w:rPr>
          <w:lang w:val="bg-BG"/>
        </w:rPr>
        <w:t>последната у</w:t>
      </w:r>
      <w:r w:rsidR="00BD78EA">
        <w:rPr>
          <w:lang w:val="bg-BG"/>
        </w:rPr>
        <w:t xml:space="preserve">помената дата: </w:t>
      </w:r>
    </w:p>
    <w:p w:rsidR="00CD49A7" w:rsidRPr="00E17978" w:rsidRDefault="00BD78EA">
      <w:pPr>
        <w:pStyle w:val="JuHHead"/>
      </w:pPr>
      <w:r>
        <w:rPr>
          <w:lang w:val="bg-BG"/>
        </w:rPr>
        <w:t>ПРОЦЕДУРА</w:t>
      </w:r>
    </w:p>
    <w:p w:rsidR="005A5ED0" w:rsidRDefault="005D3E62" w:rsidP="00B8206D">
      <w:pPr>
        <w:pStyle w:val="JuPara"/>
        <w:rPr>
          <w:lang w:val="en-GB"/>
        </w:rPr>
      </w:pPr>
      <w:r w:rsidRPr="00E17978">
        <w:fldChar w:fldCharType="begin"/>
      </w:r>
      <w:r w:rsidR="00A13D5D" w:rsidRPr="00B8206D">
        <w:rPr>
          <w:lang w:val="en-GB"/>
        </w:rPr>
        <w:instrText xml:space="preserve"> SEQ level0 \*arabic </w:instrText>
      </w:r>
      <w:r w:rsidRPr="00E17978">
        <w:fldChar w:fldCharType="separate"/>
      </w:r>
      <w:r w:rsidR="00955550">
        <w:rPr>
          <w:noProof/>
          <w:lang w:val="en-GB"/>
        </w:rPr>
        <w:t>1</w:t>
      </w:r>
      <w:r w:rsidRPr="00E17978">
        <w:fldChar w:fldCharType="end"/>
      </w:r>
      <w:r w:rsidR="00CD49A7" w:rsidRPr="00B8206D">
        <w:rPr>
          <w:lang w:val="en-GB"/>
        </w:rPr>
        <w:t>.  </w:t>
      </w:r>
      <w:r w:rsidR="00BD78EA">
        <w:rPr>
          <w:lang w:val="bg-BG"/>
        </w:rPr>
        <w:t xml:space="preserve">Делото е образувано по жалба </w:t>
      </w:r>
      <w:r w:rsidR="00BD78EA">
        <w:rPr>
          <w:lang w:val="en-GB"/>
        </w:rPr>
        <w:t>(</w:t>
      </w:r>
      <w:r w:rsidR="00BD78EA" w:rsidRPr="00BD78EA">
        <w:rPr>
          <w:szCs w:val="24"/>
          <w:cs/>
        </w:rPr>
        <w:t>№</w:t>
      </w:r>
      <w:r w:rsidR="00A13D5D" w:rsidRPr="00B8206D">
        <w:rPr>
          <w:lang w:val="en-GB"/>
        </w:rPr>
        <w:t xml:space="preserve"> 58278/00)</w:t>
      </w:r>
      <w:r w:rsidR="00CD49A7" w:rsidRPr="00B8206D">
        <w:rPr>
          <w:lang w:val="en-GB"/>
        </w:rPr>
        <w:t xml:space="preserve"> </w:t>
      </w:r>
      <w:r w:rsidR="00BD78EA">
        <w:rPr>
          <w:lang w:val="bg-BG"/>
        </w:rPr>
        <w:t>срещу Република Латвия, подадена в Съда на основание чл. 34 от Конвенцията за защита на правата на човека и основните свободи („Конвенцията</w:t>
      </w:r>
      <w:r w:rsidR="00F67CDC">
        <w:rPr>
          <w:lang w:val="bg-BG"/>
        </w:rPr>
        <w:t>”</w:t>
      </w:r>
      <w:r w:rsidR="00742229">
        <w:rPr>
          <w:lang w:val="bg-BG"/>
        </w:rPr>
        <w:t>) от латвийска гражданка</w:t>
      </w:r>
      <w:r w:rsidR="00845DD6">
        <w:rPr>
          <w:lang w:val="bg-BG"/>
        </w:rPr>
        <w:t xml:space="preserve">, г-жа </w:t>
      </w:r>
      <w:r w:rsidR="008237F2" w:rsidRPr="00B8206D">
        <w:rPr>
          <w:lang w:val="en-GB"/>
        </w:rPr>
        <w:t>Tatjana Ždanoka</w:t>
      </w:r>
      <w:r w:rsidR="00845DD6">
        <w:rPr>
          <w:lang w:val="bg-BG"/>
        </w:rPr>
        <w:t xml:space="preserve"> („жалбоподател</w:t>
      </w:r>
      <w:r w:rsidR="00742229">
        <w:rPr>
          <w:lang w:val="bg-BG"/>
        </w:rPr>
        <w:t>ка</w:t>
      </w:r>
      <w:r w:rsidR="00B03C46">
        <w:rPr>
          <w:lang w:val="bg-BG"/>
        </w:rPr>
        <w:t>та</w:t>
      </w:r>
      <w:r w:rsidR="00F67CDC">
        <w:rPr>
          <w:lang w:val="bg-BG"/>
        </w:rPr>
        <w:t>”</w:t>
      </w:r>
      <w:r w:rsidR="00845DD6">
        <w:rPr>
          <w:lang w:val="bg-BG"/>
        </w:rPr>
        <w:t xml:space="preserve">), на 20 януари 2000 г. </w:t>
      </w:r>
    </w:p>
    <w:p w:rsidR="00CD49A7" w:rsidRPr="00945ED6" w:rsidRDefault="005D3E62" w:rsidP="00B8206D">
      <w:pPr>
        <w:pStyle w:val="JuPara"/>
        <w:rPr>
          <w:lang w:val="bg-BG"/>
        </w:rPr>
      </w:pPr>
      <w:r w:rsidRPr="00E17978">
        <w:fldChar w:fldCharType="begin"/>
      </w:r>
      <w:r w:rsidR="00A13D5D" w:rsidRPr="00B8206D">
        <w:rPr>
          <w:lang w:val="en-GB"/>
        </w:rPr>
        <w:instrText xml:space="preserve"> SEQ level0 \*arabic </w:instrText>
      </w:r>
      <w:r w:rsidRPr="00E17978">
        <w:fldChar w:fldCharType="separate"/>
      </w:r>
      <w:r w:rsidR="00955550">
        <w:rPr>
          <w:noProof/>
          <w:lang w:val="en-GB"/>
        </w:rPr>
        <w:t>2</w:t>
      </w:r>
      <w:r w:rsidRPr="00E17978">
        <w:fldChar w:fldCharType="end"/>
      </w:r>
      <w:r w:rsidR="00CD49A7" w:rsidRPr="00B8206D">
        <w:rPr>
          <w:lang w:val="en-GB"/>
        </w:rPr>
        <w:t>.  </w:t>
      </w:r>
      <w:r w:rsidR="00354C6E">
        <w:rPr>
          <w:lang w:val="bg-BG"/>
        </w:rPr>
        <w:t>Жалбоподателката</w:t>
      </w:r>
      <w:r w:rsidR="00845DD6">
        <w:rPr>
          <w:lang w:val="bg-BG"/>
        </w:rPr>
        <w:t xml:space="preserve"> е представляван</w:t>
      </w:r>
      <w:r w:rsidR="00742229">
        <w:rPr>
          <w:lang w:val="bg-BG"/>
        </w:rPr>
        <w:t>а</w:t>
      </w:r>
      <w:r w:rsidR="00845DD6">
        <w:rPr>
          <w:lang w:val="bg-BG"/>
        </w:rPr>
        <w:t xml:space="preserve"> от г-н </w:t>
      </w:r>
      <w:r w:rsidR="00D83713">
        <w:rPr>
          <w:lang w:val="en-US"/>
        </w:rPr>
        <w:t>W. Bowring</w:t>
      </w:r>
      <w:r w:rsidR="00845DD6">
        <w:rPr>
          <w:lang w:val="bg-BG"/>
        </w:rPr>
        <w:t xml:space="preserve">, адвокат, практикуващ в Колчестър, Великобритания. Латвийското </w:t>
      </w:r>
      <w:r w:rsidR="008237F2">
        <w:rPr>
          <w:lang w:val="bg-BG"/>
        </w:rPr>
        <w:t>п</w:t>
      </w:r>
      <w:r w:rsidR="00A25B47">
        <w:rPr>
          <w:lang w:val="bg-BG"/>
        </w:rPr>
        <w:t>равителство</w:t>
      </w:r>
      <w:r w:rsidR="00845DD6">
        <w:rPr>
          <w:lang w:val="bg-BG"/>
        </w:rPr>
        <w:t xml:space="preserve"> („</w:t>
      </w:r>
      <w:r w:rsidR="00A25B47">
        <w:rPr>
          <w:lang w:val="bg-BG"/>
        </w:rPr>
        <w:t>Правителството</w:t>
      </w:r>
      <w:r w:rsidR="00F67CDC">
        <w:rPr>
          <w:lang w:val="bg-BG"/>
        </w:rPr>
        <w:t>”</w:t>
      </w:r>
      <w:r w:rsidR="00845DD6">
        <w:rPr>
          <w:lang w:val="bg-BG"/>
        </w:rPr>
        <w:t>)</w:t>
      </w:r>
      <w:r w:rsidR="00D83713">
        <w:rPr>
          <w:lang w:val="bg-BG"/>
        </w:rPr>
        <w:t xml:space="preserve"> се представлява от правителствения агент</w:t>
      </w:r>
      <w:r w:rsidR="008237F2">
        <w:rPr>
          <w:lang w:val="bg-BG"/>
        </w:rPr>
        <w:t>,</w:t>
      </w:r>
      <w:r w:rsidR="00D83713">
        <w:rPr>
          <w:lang w:val="bg-BG"/>
        </w:rPr>
        <w:t xml:space="preserve"> г-жа (</w:t>
      </w:r>
      <w:r w:rsidR="00D83713">
        <w:rPr>
          <w:lang w:val="en-US"/>
        </w:rPr>
        <w:t>I</w:t>
      </w:r>
      <w:r w:rsidR="00D83713" w:rsidRPr="00945ED6">
        <w:rPr>
          <w:lang w:val="bg-BG"/>
        </w:rPr>
        <w:t xml:space="preserve">. </w:t>
      </w:r>
      <w:r w:rsidR="00D83713">
        <w:rPr>
          <w:lang w:val="en-US"/>
        </w:rPr>
        <w:t>Reine</w:t>
      </w:r>
      <w:r w:rsidR="00D83713" w:rsidRPr="00945ED6">
        <w:rPr>
          <w:lang w:val="bg-BG"/>
        </w:rPr>
        <w:t>)</w:t>
      </w:r>
      <w:r w:rsidR="000411A0">
        <w:rPr>
          <w:lang w:val="bg-BG"/>
        </w:rPr>
        <w:t xml:space="preserve"> от Министерство</w:t>
      </w:r>
      <w:r w:rsidR="00770CB0">
        <w:rPr>
          <w:lang w:val="bg-BG"/>
        </w:rPr>
        <w:t>то</w:t>
      </w:r>
      <w:r w:rsidR="00D83713">
        <w:rPr>
          <w:lang w:val="bg-BG"/>
        </w:rPr>
        <w:t xml:space="preserve"> на външните работи. </w:t>
      </w:r>
    </w:p>
    <w:p w:rsidR="00210507"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8206D">
        <w:rPr>
          <w:lang w:val="en-GB"/>
        </w:rPr>
        <w:instrText>SEQ</w:instrText>
      </w:r>
      <w:r w:rsidR="005911E9" w:rsidRPr="00945ED6">
        <w:rPr>
          <w:lang w:val="bg-BG"/>
        </w:rPr>
        <w:instrText xml:space="preserve"> </w:instrText>
      </w:r>
      <w:r w:rsidR="005911E9" w:rsidRPr="00B8206D">
        <w:rPr>
          <w:lang w:val="en-GB"/>
        </w:rPr>
        <w:instrText>level</w:instrText>
      </w:r>
      <w:r w:rsidR="005911E9" w:rsidRPr="00945ED6">
        <w:rPr>
          <w:lang w:val="bg-BG"/>
        </w:rPr>
        <w:instrText>0 \*</w:instrText>
      </w:r>
      <w:r w:rsidR="005911E9" w:rsidRPr="00B8206D">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w:t>
      </w:r>
      <w:r w:rsidRPr="00E17978">
        <w:fldChar w:fldCharType="end"/>
      </w:r>
      <w:r w:rsidR="005911E9" w:rsidRPr="00945ED6">
        <w:rPr>
          <w:lang w:val="bg-BG"/>
        </w:rPr>
        <w:t>.</w:t>
      </w:r>
      <w:r w:rsidR="005911E9" w:rsidRPr="00B8206D">
        <w:rPr>
          <w:lang w:val="en-GB"/>
        </w:rPr>
        <w:t>  </w:t>
      </w:r>
      <w:r w:rsidR="00354C6E">
        <w:rPr>
          <w:lang w:val="bg-BG"/>
        </w:rPr>
        <w:t>Жалбоподателката</w:t>
      </w:r>
      <w:r w:rsidR="00D83713">
        <w:rPr>
          <w:lang w:val="bg-BG"/>
        </w:rPr>
        <w:t xml:space="preserve"> твърди</w:t>
      </w:r>
      <w:r w:rsidR="00742229">
        <w:rPr>
          <w:lang w:val="bg-BG"/>
        </w:rPr>
        <w:t>, по-конкретно</w:t>
      </w:r>
      <w:r w:rsidR="006C75E7">
        <w:rPr>
          <w:lang w:val="bg-BG"/>
        </w:rPr>
        <w:t>, че дисквалифицирането ѝ като ка</w:t>
      </w:r>
      <w:r w:rsidR="00742229">
        <w:rPr>
          <w:lang w:val="bg-BG"/>
        </w:rPr>
        <w:t>ндидат на изборите за латвийски</w:t>
      </w:r>
      <w:r w:rsidR="006C75E7">
        <w:rPr>
          <w:lang w:val="bg-BG"/>
        </w:rPr>
        <w:t xml:space="preserve"> парламент и на общинските </w:t>
      </w:r>
      <w:r w:rsidR="00742229">
        <w:rPr>
          <w:lang w:val="bg-BG"/>
        </w:rPr>
        <w:t>избори е нарушило</w:t>
      </w:r>
      <w:r w:rsidR="007B61B1">
        <w:rPr>
          <w:lang w:val="bg-BG"/>
        </w:rPr>
        <w:t xml:space="preserve"> правата ѝ, гарантирани съгласно</w:t>
      </w:r>
      <w:r w:rsidR="006C75E7">
        <w:rPr>
          <w:lang w:val="bg-BG"/>
        </w:rPr>
        <w:t xml:space="preserve"> чл. 3 от Протокол </w:t>
      </w:r>
      <w:r w:rsidR="005852E4" w:rsidRPr="00BD78EA">
        <w:rPr>
          <w:szCs w:val="24"/>
          <w:cs/>
        </w:rPr>
        <w:t>№</w:t>
      </w:r>
      <w:r w:rsidR="006C75E7" w:rsidRPr="00945ED6">
        <w:rPr>
          <w:lang w:val="bg-BG"/>
        </w:rPr>
        <w:t xml:space="preserve"> 1</w:t>
      </w:r>
      <w:r w:rsidR="006C75E7">
        <w:rPr>
          <w:lang w:val="bg-BG"/>
        </w:rPr>
        <w:t xml:space="preserve"> и чл</w:t>
      </w:r>
      <w:r w:rsidR="009C4784">
        <w:rPr>
          <w:lang w:val="bg-BG"/>
        </w:rPr>
        <w:t>ен</w:t>
      </w:r>
      <w:r w:rsidR="006C75E7">
        <w:rPr>
          <w:lang w:val="bg-BG"/>
        </w:rPr>
        <w:t xml:space="preserve"> 10 и </w:t>
      </w:r>
      <w:r w:rsidR="009C4784">
        <w:rPr>
          <w:lang w:val="bg-BG"/>
        </w:rPr>
        <w:t xml:space="preserve">член </w:t>
      </w:r>
      <w:r w:rsidR="006C75E7">
        <w:rPr>
          <w:lang w:val="bg-BG"/>
        </w:rPr>
        <w:t xml:space="preserve">11 от Конвенцията. </w:t>
      </w:r>
    </w:p>
    <w:p w:rsidR="00656927" w:rsidRPr="00945ED6" w:rsidRDefault="005D3E62" w:rsidP="00B8206D">
      <w:pPr>
        <w:pStyle w:val="JuPara"/>
        <w:rPr>
          <w:lang w:val="bg-BG"/>
        </w:rPr>
      </w:pPr>
      <w:r w:rsidRPr="00E17978">
        <w:lastRenderedPageBreak/>
        <w:fldChar w:fldCharType="begin"/>
      </w:r>
      <w:r w:rsidR="005911E9" w:rsidRPr="00945ED6">
        <w:rPr>
          <w:lang w:val="bg-BG"/>
        </w:rPr>
        <w:instrText xml:space="preserve"> </w:instrText>
      </w:r>
      <w:r w:rsidR="005911E9" w:rsidRPr="00B8206D">
        <w:rPr>
          <w:lang w:val="en-GB"/>
        </w:rPr>
        <w:instrText>SEQ</w:instrText>
      </w:r>
      <w:r w:rsidR="005911E9" w:rsidRPr="00945ED6">
        <w:rPr>
          <w:lang w:val="bg-BG"/>
        </w:rPr>
        <w:instrText xml:space="preserve"> </w:instrText>
      </w:r>
      <w:r w:rsidR="005911E9" w:rsidRPr="00B8206D">
        <w:rPr>
          <w:lang w:val="en-GB"/>
        </w:rPr>
        <w:instrText>level</w:instrText>
      </w:r>
      <w:r w:rsidR="005911E9" w:rsidRPr="00945ED6">
        <w:rPr>
          <w:lang w:val="bg-BG"/>
        </w:rPr>
        <w:instrText>0 \*</w:instrText>
      </w:r>
      <w:r w:rsidR="005911E9" w:rsidRPr="00B8206D">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w:t>
      </w:r>
      <w:r w:rsidRPr="00E17978">
        <w:fldChar w:fldCharType="end"/>
      </w:r>
      <w:r w:rsidR="005911E9" w:rsidRPr="00945ED6">
        <w:rPr>
          <w:lang w:val="bg-BG"/>
        </w:rPr>
        <w:t>.</w:t>
      </w:r>
      <w:r w:rsidR="005911E9" w:rsidRPr="00B8206D">
        <w:rPr>
          <w:lang w:val="en-GB"/>
        </w:rPr>
        <w:t>  </w:t>
      </w:r>
      <w:r w:rsidR="00F56638">
        <w:rPr>
          <w:lang w:val="bg-BG"/>
        </w:rPr>
        <w:t xml:space="preserve">Жалбата е възложена на </w:t>
      </w:r>
      <w:r w:rsidR="004F66CC">
        <w:rPr>
          <w:lang w:val="bg-BG"/>
        </w:rPr>
        <w:t>В</w:t>
      </w:r>
      <w:r w:rsidR="00004E11">
        <w:rPr>
          <w:lang w:val="bg-BG"/>
        </w:rPr>
        <w:t xml:space="preserve">торо отделение на Съда (Правило 52 </w:t>
      </w:r>
      <w:r w:rsidR="00004E11" w:rsidRPr="00945ED6">
        <w:rPr>
          <w:lang w:val="bg-BG"/>
        </w:rPr>
        <w:t>§ 1</w:t>
      </w:r>
      <w:r w:rsidR="00EE5C40">
        <w:rPr>
          <w:lang w:val="bg-BG"/>
        </w:rPr>
        <w:t xml:space="preserve"> от Правилника</w:t>
      </w:r>
      <w:r w:rsidR="00004E11">
        <w:rPr>
          <w:lang w:val="bg-BG"/>
        </w:rPr>
        <w:t xml:space="preserve"> на Съда)</w:t>
      </w:r>
      <w:r w:rsidR="005911E9" w:rsidRPr="00945ED6">
        <w:rPr>
          <w:lang w:val="bg-BG"/>
        </w:rPr>
        <w:t>.</w:t>
      </w:r>
    </w:p>
    <w:p w:rsidR="005911E9" w:rsidRPr="00C51877" w:rsidRDefault="005D3E62" w:rsidP="00B8206D">
      <w:pPr>
        <w:pStyle w:val="JuPara"/>
        <w:rPr>
          <w:lang w:val="bg-BG"/>
        </w:rPr>
      </w:pPr>
      <w:r w:rsidRPr="00E17978">
        <w:fldChar w:fldCharType="begin"/>
      </w:r>
      <w:r w:rsidR="005911E9" w:rsidRPr="00945ED6">
        <w:rPr>
          <w:lang w:val="bg-BG"/>
        </w:rPr>
        <w:instrText xml:space="preserve"> </w:instrText>
      </w:r>
      <w:r w:rsidR="005911E9" w:rsidRPr="00B8206D">
        <w:rPr>
          <w:lang w:val="en-GB"/>
        </w:rPr>
        <w:instrText>SEQ</w:instrText>
      </w:r>
      <w:r w:rsidR="005911E9" w:rsidRPr="00945ED6">
        <w:rPr>
          <w:lang w:val="bg-BG"/>
        </w:rPr>
        <w:instrText xml:space="preserve"> </w:instrText>
      </w:r>
      <w:r w:rsidR="005911E9" w:rsidRPr="00B8206D">
        <w:rPr>
          <w:lang w:val="en-GB"/>
        </w:rPr>
        <w:instrText>level</w:instrText>
      </w:r>
      <w:r w:rsidR="005911E9" w:rsidRPr="00945ED6">
        <w:rPr>
          <w:lang w:val="bg-BG"/>
        </w:rPr>
        <w:instrText>0 \*</w:instrText>
      </w:r>
      <w:r w:rsidR="005911E9" w:rsidRPr="00B8206D">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w:t>
      </w:r>
      <w:r w:rsidRPr="00E17978">
        <w:fldChar w:fldCharType="end"/>
      </w:r>
      <w:r w:rsidR="005911E9" w:rsidRPr="00945ED6">
        <w:rPr>
          <w:lang w:val="bg-BG"/>
        </w:rPr>
        <w:t>.</w:t>
      </w:r>
      <w:r w:rsidR="005911E9" w:rsidRPr="00B8206D">
        <w:rPr>
          <w:lang w:val="en-GB"/>
        </w:rPr>
        <w:t>  </w:t>
      </w:r>
      <w:r w:rsidR="00B0226E">
        <w:rPr>
          <w:lang w:val="bg-BG"/>
        </w:rPr>
        <w:t>На 1 ноември 2001 г. Съдът</w:t>
      </w:r>
      <w:r w:rsidR="00004E11">
        <w:rPr>
          <w:lang w:val="bg-BG"/>
        </w:rPr>
        <w:t xml:space="preserve"> </w:t>
      </w:r>
      <w:r w:rsidR="00004E11" w:rsidRPr="004F66CC">
        <w:rPr>
          <w:lang w:val="bg-BG"/>
        </w:rPr>
        <w:t>променя структурата</w:t>
      </w:r>
      <w:r w:rsidR="00004E11">
        <w:rPr>
          <w:lang w:val="bg-BG"/>
        </w:rPr>
        <w:t xml:space="preserve"> на своите отделения</w:t>
      </w:r>
      <w:r w:rsidR="00004E11" w:rsidRPr="00945ED6">
        <w:rPr>
          <w:lang w:val="bg-BG"/>
        </w:rPr>
        <w:t xml:space="preserve"> (Правило </w:t>
      </w:r>
      <w:r w:rsidR="005911E9" w:rsidRPr="00945ED6">
        <w:rPr>
          <w:lang w:val="bg-BG"/>
        </w:rPr>
        <w:t xml:space="preserve">25 § 1). </w:t>
      </w:r>
      <w:r w:rsidR="00004E11">
        <w:rPr>
          <w:lang w:val="bg-BG"/>
        </w:rPr>
        <w:t>Делото е възложено на новосформираното Първо отделение</w:t>
      </w:r>
      <w:r w:rsidR="00004E11" w:rsidRPr="00945ED6">
        <w:rPr>
          <w:lang w:val="bg-BG"/>
        </w:rPr>
        <w:t xml:space="preserve"> (Правило</w:t>
      </w:r>
      <w:r w:rsidR="005911E9" w:rsidRPr="00945ED6">
        <w:rPr>
          <w:lang w:val="bg-BG"/>
        </w:rPr>
        <w:t xml:space="preserve"> 52 § 1).</w:t>
      </w:r>
      <w:r w:rsidR="00340962" w:rsidRPr="00945ED6">
        <w:rPr>
          <w:lang w:val="bg-BG"/>
        </w:rPr>
        <w:t xml:space="preserve"> </w:t>
      </w:r>
      <w:r w:rsidR="000970E4">
        <w:rPr>
          <w:lang w:val="bg-BG"/>
        </w:rPr>
        <w:t>В рамките на това отделе</w:t>
      </w:r>
      <w:r w:rsidR="00652202">
        <w:rPr>
          <w:lang w:val="bg-BG"/>
        </w:rPr>
        <w:t>ние, по силата на</w:t>
      </w:r>
      <w:r w:rsidR="000970E4">
        <w:rPr>
          <w:lang w:val="bg-BG"/>
        </w:rPr>
        <w:t xml:space="preserve"> Правило </w:t>
      </w:r>
      <w:r w:rsidR="000970E4" w:rsidRPr="00945ED6">
        <w:rPr>
          <w:lang w:val="bg-BG"/>
        </w:rPr>
        <w:t>26 § 1</w:t>
      </w:r>
      <w:r w:rsidR="00EE5C40">
        <w:rPr>
          <w:lang w:val="bg-BG"/>
        </w:rPr>
        <w:t>,</w:t>
      </w:r>
      <w:r w:rsidR="00481ECC">
        <w:rPr>
          <w:lang w:val="bg-BG"/>
        </w:rPr>
        <w:t xml:space="preserve"> </w:t>
      </w:r>
      <w:r w:rsidR="00481ECC" w:rsidRPr="00C51877">
        <w:rPr>
          <w:lang w:val="bg-BG"/>
        </w:rPr>
        <w:t>е сформиран</w:t>
      </w:r>
      <w:r w:rsidR="006E306D" w:rsidRPr="00C51877">
        <w:rPr>
          <w:lang w:val="bg-BG"/>
        </w:rPr>
        <w:t xml:space="preserve"> </w:t>
      </w:r>
      <w:r w:rsidR="007B61B1" w:rsidRPr="00C51877">
        <w:rPr>
          <w:lang w:val="bg-BG"/>
        </w:rPr>
        <w:t>съдебния</w:t>
      </w:r>
      <w:r w:rsidR="006E306D" w:rsidRPr="00C51877">
        <w:rPr>
          <w:lang w:val="bg-BG"/>
        </w:rPr>
        <w:t>т</w:t>
      </w:r>
      <w:r w:rsidR="007B61B1" w:rsidRPr="00C51877">
        <w:rPr>
          <w:lang w:val="bg-BG"/>
        </w:rPr>
        <w:t xml:space="preserve"> състав</w:t>
      </w:r>
      <w:r w:rsidR="006E306D" w:rsidRPr="00C51877">
        <w:rPr>
          <w:lang w:val="bg-BG"/>
        </w:rPr>
        <w:t xml:space="preserve">, </w:t>
      </w:r>
      <w:r w:rsidR="007B61B1" w:rsidRPr="00C51877">
        <w:rPr>
          <w:lang w:val="bg-BG"/>
        </w:rPr>
        <w:t>който</w:t>
      </w:r>
      <w:r w:rsidR="00543313" w:rsidRPr="00C51877">
        <w:rPr>
          <w:lang w:val="bg-BG"/>
        </w:rPr>
        <w:t xml:space="preserve"> ще</w:t>
      </w:r>
      <w:r w:rsidR="000970E4" w:rsidRPr="00C51877">
        <w:rPr>
          <w:lang w:val="bg-BG"/>
        </w:rPr>
        <w:t xml:space="preserve"> разгледа делото (чл. 27 § 1 от Конвенцията).  </w:t>
      </w:r>
    </w:p>
    <w:p w:rsidR="005911E9" w:rsidRPr="002922D9" w:rsidRDefault="005D3E62" w:rsidP="00B8206D">
      <w:pPr>
        <w:pStyle w:val="JuPara"/>
        <w:rPr>
          <w:lang w:val="bg-BG"/>
        </w:rPr>
      </w:pPr>
      <w:r w:rsidRPr="00C51877">
        <w:fldChar w:fldCharType="begin"/>
      </w:r>
      <w:r w:rsidR="005911E9" w:rsidRPr="00C51877">
        <w:rPr>
          <w:lang w:val="bg-BG"/>
        </w:rPr>
        <w:instrText xml:space="preserve"> </w:instrText>
      </w:r>
      <w:r w:rsidR="005911E9" w:rsidRPr="00C51877">
        <w:rPr>
          <w:lang w:val="en-GB"/>
        </w:rPr>
        <w:instrText>SEQ</w:instrText>
      </w:r>
      <w:r w:rsidR="005911E9" w:rsidRPr="00C51877">
        <w:rPr>
          <w:lang w:val="bg-BG"/>
        </w:rPr>
        <w:instrText xml:space="preserve"> </w:instrText>
      </w:r>
      <w:r w:rsidR="005911E9" w:rsidRPr="00C51877">
        <w:rPr>
          <w:lang w:val="en-GB"/>
        </w:rPr>
        <w:instrText>level</w:instrText>
      </w:r>
      <w:r w:rsidR="005911E9" w:rsidRPr="00C51877">
        <w:rPr>
          <w:lang w:val="bg-BG"/>
        </w:rPr>
        <w:instrText>0 \*</w:instrText>
      </w:r>
      <w:r w:rsidR="005911E9" w:rsidRPr="00C51877">
        <w:rPr>
          <w:lang w:val="en-GB"/>
        </w:rPr>
        <w:instrText>arabic</w:instrText>
      </w:r>
      <w:r w:rsidR="005911E9" w:rsidRPr="00C51877">
        <w:rPr>
          <w:lang w:val="bg-BG"/>
        </w:rPr>
        <w:instrText xml:space="preserve"> </w:instrText>
      </w:r>
      <w:r w:rsidRPr="00C51877">
        <w:fldChar w:fldCharType="separate"/>
      </w:r>
      <w:r w:rsidR="00955550" w:rsidRPr="00C51877">
        <w:rPr>
          <w:noProof/>
          <w:lang w:val="bg-BG"/>
        </w:rPr>
        <w:t>6</w:t>
      </w:r>
      <w:r w:rsidRPr="00C51877">
        <w:fldChar w:fldCharType="end"/>
      </w:r>
      <w:r w:rsidR="005911E9" w:rsidRPr="00C51877">
        <w:rPr>
          <w:lang w:val="bg-BG"/>
        </w:rPr>
        <w:t>.</w:t>
      </w:r>
      <w:r w:rsidR="005911E9" w:rsidRPr="00C51877">
        <w:rPr>
          <w:lang w:val="en-GB"/>
        </w:rPr>
        <w:t>  </w:t>
      </w:r>
      <w:r w:rsidR="000F6056" w:rsidRPr="00C51877">
        <w:rPr>
          <w:lang w:val="bg-BG"/>
        </w:rPr>
        <w:t xml:space="preserve">С решение от 6 март 2003 г. </w:t>
      </w:r>
      <w:r w:rsidR="00C51877" w:rsidRPr="002922D9">
        <w:rPr>
          <w:lang w:val="bg-BG"/>
        </w:rPr>
        <w:t>с</w:t>
      </w:r>
      <w:r w:rsidR="006E306D" w:rsidRPr="002922D9">
        <w:rPr>
          <w:lang w:val="bg-BG"/>
        </w:rPr>
        <w:t>ъдебният състав</w:t>
      </w:r>
      <w:r w:rsidR="000970E4" w:rsidRPr="002922D9">
        <w:rPr>
          <w:lang w:val="bg-BG"/>
        </w:rPr>
        <w:t xml:space="preserve"> обявява жалбата за частично допустима. </w:t>
      </w:r>
    </w:p>
    <w:p w:rsidR="005A5ED0" w:rsidRPr="00C51877" w:rsidRDefault="005D3E62" w:rsidP="00B8206D">
      <w:pPr>
        <w:pStyle w:val="JuPara"/>
        <w:rPr>
          <w:lang w:val="bg-BG"/>
        </w:rPr>
      </w:pPr>
      <w:r w:rsidRPr="002922D9">
        <w:fldChar w:fldCharType="begin"/>
      </w:r>
      <w:r w:rsidR="005911E9" w:rsidRPr="002922D9">
        <w:rPr>
          <w:lang w:val="bg-BG"/>
        </w:rPr>
        <w:instrText xml:space="preserve"> </w:instrText>
      </w:r>
      <w:r w:rsidR="005911E9" w:rsidRPr="002922D9">
        <w:rPr>
          <w:lang w:val="en-GB"/>
        </w:rPr>
        <w:instrText>SEQ</w:instrText>
      </w:r>
      <w:r w:rsidR="005911E9" w:rsidRPr="002922D9">
        <w:rPr>
          <w:lang w:val="bg-BG"/>
        </w:rPr>
        <w:instrText xml:space="preserve"> </w:instrText>
      </w:r>
      <w:r w:rsidR="005911E9" w:rsidRPr="002922D9">
        <w:rPr>
          <w:lang w:val="en-GB"/>
        </w:rPr>
        <w:instrText>level</w:instrText>
      </w:r>
      <w:r w:rsidR="005911E9" w:rsidRPr="002922D9">
        <w:rPr>
          <w:lang w:val="bg-BG"/>
        </w:rPr>
        <w:instrText>0 \*</w:instrText>
      </w:r>
      <w:r w:rsidR="005911E9" w:rsidRPr="002922D9">
        <w:rPr>
          <w:lang w:val="en-GB"/>
        </w:rPr>
        <w:instrText>arabic</w:instrText>
      </w:r>
      <w:r w:rsidR="005911E9" w:rsidRPr="002922D9">
        <w:rPr>
          <w:lang w:val="bg-BG"/>
        </w:rPr>
        <w:instrText xml:space="preserve"> </w:instrText>
      </w:r>
      <w:r w:rsidRPr="002922D9">
        <w:fldChar w:fldCharType="separate"/>
      </w:r>
      <w:r w:rsidR="00955550" w:rsidRPr="002922D9">
        <w:rPr>
          <w:noProof/>
          <w:lang w:val="bg-BG"/>
        </w:rPr>
        <w:t>7</w:t>
      </w:r>
      <w:r w:rsidRPr="002922D9">
        <w:fldChar w:fldCharType="end"/>
      </w:r>
      <w:r w:rsidR="005911E9" w:rsidRPr="002922D9">
        <w:rPr>
          <w:lang w:val="bg-BG"/>
        </w:rPr>
        <w:t>.</w:t>
      </w:r>
      <w:r w:rsidR="005911E9" w:rsidRPr="002922D9">
        <w:rPr>
          <w:lang w:val="en-GB"/>
        </w:rPr>
        <w:t>  </w:t>
      </w:r>
      <w:r w:rsidR="00543313" w:rsidRPr="002922D9">
        <w:rPr>
          <w:lang w:val="bg-BG"/>
        </w:rPr>
        <w:t xml:space="preserve">На 17 юни 2004 г., след </w:t>
      </w:r>
      <w:r w:rsidR="00D0311B">
        <w:rPr>
          <w:lang w:val="bg-BG"/>
        </w:rPr>
        <w:t>гледане по същество</w:t>
      </w:r>
      <w:r w:rsidR="00543313" w:rsidRPr="002922D9">
        <w:rPr>
          <w:lang w:val="bg-BG"/>
        </w:rPr>
        <w:t xml:space="preserve"> (Правило</w:t>
      </w:r>
      <w:r w:rsidR="005911E9" w:rsidRPr="002922D9">
        <w:rPr>
          <w:lang w:val="bg-BG"/>
        </w:rPr>
        <w:t xml:space="preserve"> 59 § 3), </w:t>
      </w:r>
      <w:r w:rsidR="006E306D" w:rsidRPr="002922D9">
        <w:rPr>
          <w:lang w:val="bg-BG"/>
        </w:rPr>
        <w:t>съдебният състав</w:t>
      </w:r>
      <w:r w:rsidR="003F4D92" w:rsidRPr="002922D9">
        <w:rPr>
          <w:lang w:val="bg-BG"/>
        </w:rPr>
        <w:t xml:space="preserve"> на Първо отделение</w:t>
      </w:r>
      <w:r w:rsidR="003F4D92">
        <w:rPr>
          <w:lang w:val="bg-BG"/>
        </w:rPr>
        <w:t>:</w:t>
      </w:r>
      <w:r w:rsidR="00543313">
        <w:rPr>
          <w:lang w:val="bg-BG"/>
        </w:rPr>
        <w:t xml:space="preserve"> Христос Розакис (</w:t>
      </w:r>
      <w:r w:rsidR="00543313">
        <w:rPr>
          <w:lang w:val="en-GB"/>
        </w:rPr>
        <w:t>Christos</w:t>
      </w:r>
      <w:r w:rsidR="00543313" w:rsidRPr="00945ED6">
        <w:rPr>
          <w:lang w:val="bg-BG"/>
        </w:rPr>
        <w:t xml:space="preserve"> </w:t>
      </w:r>
      <w:r w:rsidR="00543313" w:rsidRPr="00B8206D">
        <w:rPr>
          <w:lang w:val="en-GB"/>
        </w:rPr>
        <w:t>Rozakis</w:t>
      </w:r>
      <w:r w:rsidR="00543313">
        <w:rPr>
          <w:lang w:val="bg-BG"/>
        </w:rPr>
        <w:t>), Председател, Пеер Лоренцен (</w:t>
      </w:r>
      <w:r w:rsidR="00543313">
        <w:rPr>
          <w:lang w:val="en-GB"/>
        </w:rPr>
        <w:t>Peer</w:t>
      </w:r>
      <w:r w:rsidR="00543313" w:rsidRPr="00945ED6">
        <w:rPr>
          <w:lang w:val="bg-BG"/>
        </w:rPr>
        <w:t xml:space="preserve"> </w:t>
      </w:r>
      <w:r w:rsidR="00543313" w:rsidRPr="00B8206D">
        <w:rPr>
          <w:lang w:val="en-GB"/>
        </w:rPr>
        <w:t>Lorenzen</w:t>
      </w:r>
      <w:r w:rsidR="00543313">
        <w:rPr>
          <w:lang w:val="bg-BG"/>
        </w:rPr>
        <w:t>), Джовани Бонело (</w:t>
      </w:r>
      <w:r w:rsidR="00543313">
        <w:rPr>
          <w:lang w:val="en-GB"/>
        </w:rPr>
        <w:t>Giovanni</w:t>
      </w:r>
      <w:r w:rsidR="00543313" w:rsidRPr="00945ED6">
        <w:rPr>
          <w:lang w:val="bg-BG"/>
        </w:rPr>
        <w:t xml:space="preserve"> </w:t>
      </w:r>
      <w:r w:rsidR="00543313" w:rsidRPr="00B8206D">
        <w:rPr>
          <w:lang w:val="en-GB"/>
        </w:rPr>
        <w:t>Bonello</w:t>
      </w:r>
      <w:r w:rsidR="00543313">
        <w:rPr>
          <w:lang w:val="bg-BG"/>
        </w:rPr>
        <w:t>), Франсоаз Тулкенс</w:t>
      </w:r>
      <w:r w:rsidR="007E3B96">
        <w:rPr>
          <w:lang w:val="bg-BG"/>
        </w:rPr>
        <w:t xml:space="preserve"> (</w:t>
      </w:r>
      <w:r w:rsidR="007E3B96">
        <w:rPr>
          <w:lang w:val="en-GB"/>
        </w:rPr>
        <w:t>Fran</w:t>
      </w:r>
      <w:r w:rsidR="007E3B96" w:rsidRPr="00945ED6">
        <w:rPr>
          <w:lang w:val="bg-BG"/>
        </w:rPr>
        <w:t>ç</w:t>
      </w:r>
      <w:r w:rsidR="007E3B96">
        <w:rPr>
          <w:lang w:val="en-GB"/>
        </w:rPr>
        <w:t>oise</w:t>
      </w:r>
      <w:r w:rsidR="007E3B96" w:rsidRPr="00945ED6">
        <w:rPr>
          <w:lang w:val="bg-BG"/>
        </w:rPr>
        <w:t xml:space="preserve"> </w:t>
      </w:r>
      <w:r w:rsidR="007E3B96" w:rsidRPr="00B8206D">
        <w:rPr>
          <w:lang w:val="en-GB"/>
        </w:rPr>
        <w:t>Tulkens</w:t>
      </w:r>
      <w:r w:rsidR="007E3B96">
        <w:rPr>
          <w:lang w:val="bg-BG"/>
        </w:rPr>
        <w:t>)</w:t>
      </w:r>
      <w:r w:rsidR="00F76AA7">
        <w:rPr>
          <w:lang w:val="bg-BG"/>
        </w:rPr>
        <w:t>, Егилс Левитс (</w:t>
      </w:r>
      <w:r w:rsidR="00F76AA7">
        <w:rPr>
          <w:lang w:val="en-GB"/>
        </w:rPr>
        <w:t>Egils</w:t>
      </w:r>
      <w:r w:rsidR="00F76AA7" w:rsidRPr="00945ED6">
        <w:rPr>
          <w:lang w:val="bg-BG"/>
        </w:rPr>
        <w:t xml:space="preserve"> </w:t>
      </w:r>
      <w:r w:rsidR="00F76AA7" w:rsidRPr="00B8206D">
        <w:rPr>
          <w:lang w:val="en-GB"/>
        </w:rPr>
        <w:t>Levits</w:t>
      </w:r>
      <w:r w:rsidR="00F76AA7">
        <w:rPr>
          <w:lang w:val="bg-BG"/>
        </w:rPr>
        <w:t>), Анатоли</w:t>
      </w:r>
      <w:r w:rsidR="00D0311B">
        <w:rPr>
          <w:lang w:val="bg-BG"/>
        </w:rPr>
        <w:t>й</w:t>
      </w:r>
      <w:r w:rsidR="00F76AA7">
        <w:rPr>
          <w:lang w:val="bg-BG"/>
        </w:rPr>
        <w:t xml:space="preserve"> Ковлер (</w:t>
      </w:r>
      <w:r w:rsidR="00F76AA7">
        <w:rPr>
          <w:lang w:val="en-GB"/>
        </w:rPr>
        <w:t>Anatoly</w:t>
      </w:r>
      <w:r w:rsidR="00F76AA7" w:rsidRPr="00945ED6">
        <w:rPr>
          <w:lang w:val="bg-BG"/>
        </w:rPr>
        <w:t xml:space="preserve"> </w:t>
      </w:r>
      <w:r w:rsidR="00F76AA7" w:rsidRPr="00B8206D">
        <w:rPr>
          <w:lang w:val="en-GB"/>
        </w:rPr>
        <w:t>Kovler</w:t>
      </w:r>
      <w:r w:rsidR="00F76AA7">
        <w:rPr>
          <w:lang w:val="bg-BG"/>
        </w:rPr>
        <w:t>), Владимиро Загребелски (</w:t>
      </w:r>
      <w:r w:rsidR="00F76AA7">
        <w:rPr>
          <w:lang w:val="en-GB"/>
        </w:rPr>
        <w:t>Vladimiro</w:t>
      </w:r>
      <w:r w:rsidR="00F76AA7" w:rsidRPr="00945ED6">
        <w:rPr>
          <w:lang w:val="bg-BG"/>
        </w:rPr>
        <w:t xml:space="preserve"> </w:t>
      </w:r>
      <w:r w:rsidR="00F76AA7" w:rsidRPr="00B8206D">
        <w:rPr>
          <w:lang w:val="en-GB"/>
        </w:rPr>
        <w:t>Zagrebelsky</w:t>
      </w:r>
      <w:r w:rsidR="00F76AA7">
        <w:rPr>
          <w:lang w:val="bg-BG"/>
        </w:rPr>
        <w:t xml:space="preserve">), съдии, и </w:t>
      </w:r>
      <w:r w:rsidR="00854266">
        <w:rPr>
          <w:lang w:val="bg-BG"/>
        </w:rPr>
        <w:t>Сьорен Нилсен (</w:t>
      </w:r>
      <w:r w:rsidR="00802429">
        <w:rPr>
          <w:lang w:val="en-GB"/>
        </w:rPr>
        <w:t>S</w:t>
      </w:r>
      <w:r w:rsidR="00802429" w:rsidRPr="00945ED6">
        <w:rPr>
          <w:lang w:val="bg-BG"/>
        </w:rPr>
        <w:t>ø</w:t>
      </w:r>
      <w:r w:rsidR="00802429">
        <w:rPr>
          <w:lang w:val="en-GB"/>
        </w:rPr>
        <w:t>ren</w:t>
      </w:r>
      <w:r w:rsidR="005911E9" w:rsidRPr="00945ED6">
        <w:rPr>
          <w:lang w:val="bg-BG"/>
        </w:rPr>
        <w:t xml:space="preserve"> </w:t>
      </w:r>
      <w:r w:rsidR="005911E9" w:rsidRPr="00B8206D">
        <w:rPr>
          <w:lang w:val="en-GB"/>
        </w:rPr>
        <w:t>Nielsen</w:t>
      </w:r>
      <w:r w:rsidR="00854266">
        <w:rPr>
          <w:lang w:val="bg-BG"/>
        </w:rPr>
        <w:t>)</w:t>
      </w:r>
      <w:r w:rsidR="005911E9" w:rsidRPr="00945ED6">
        <w:rPr>
          <w:lang w:val="bg-BG"/>
        </w:rPr>
        <w:t>,</w:t>
      </w:r>
      <w:r w:rsidR="00854266">
        <w:rPr>
          <w:lang w:val="bg-BG"/>
        </w:rPr>
        <w:t xml:space="preserve"> секретар на отделението, </w:t>
      </w:r>
      <w:r w:rsidR="00EE5C40">
        <w:rPr>
          <w:lang w:val="bg-BG"/>
        </w:rPr>
        <w:t>решава</w:t>
      </w:r>
      <w:r w:rsidR="00332E5A">
        <w:rPr>
          <w:lang w:val="bg-BG"/>
        </w:rPr>
        <w:t>, с пет на два гласа, че е имало нарушение на чл</w:t>
      </w:r>
      <w:r w:rsidR="00D0311B">
        <w:rPr>
          <w:lang w:val="bg-BG"/>
        </w:rPr>
        <w:t>ен</w:t>
      </w:r>
      <w:r w:rsidR="00332E5A">
        <w:rPr>
          <w:lang w:val="bg-BG"/>
        </w:rPr>
        <w:t xml:space="preserve"> 3 от Протокол</w:t>
      </w:r>
      <w:r w:rsidR="005852E4" w:rsidRPr="00945ED6">
        <w:rPr>
          <w:lang w:val="bg-BG"/>
        </w:rPr>
        <w:t xml:space="preserve"> </w:t>
      </w:r>
      <w:r w:rsidR="005852E4" w:rsidRPr="00BD78EA">
        <w:rPr>
          <w:szCs w:val="24"/>
          <w:cs/>
        </w:rPr>
        <w:t>№</w:t>
      </w:r>
      <w:r w:rsidR="005852E4">
        <w:rPr>
          <w:rFonts w:hint="cs"/>
          <w:szCs w:val="24"/>
          <w:cs/>
        </w:rPr>
        <w:t xml:space="preserve"> 1 </w:t>
      </w:r>
      <w:r w:rsidR="005852E4">
        <w:rPr>
          <w:szCs w:val="24"/>
          <w:lang w:val="bg-BG"/>
        </w:rPr>
        <w:t>и чл</w:t>
      </w:r>
      <w:r w:rsidR="00D0311B">
        <w:rPr>
          <w:szCs w:val="24"/>
          <w:lang w:val="bg-BG"/>
        </w:rPr>
        <w:t>ен</w:t>
      </w:r>
      <w:r w:rsidR="005852E4">
        <w:rPr>
          <w:szCs w:val="24"/>
          <w:lang w:val="bg-BG"/>
        </w:rPr>
        <w:t xml:space="preserve"> 11 от Конвенцията</w:t>
      </w:r>
      <w:r w:rsidR="005852E4" w:rsidRPr="00945ED6">
        <w:rPr>
          <w:szCs w:val="24"/>
          <w:lang w:val="bg-BG"/>
        </w:rPr>
        <w:t xml:space="preserve">, </w:t>
      </w:r>
      <w:r w:rsidR="005852E4">
        <w:rPr>
          <w:szCs w:val="24"/>
          <w:lang w:val="bg-BG"/>
        </w:rPr>
        <w:t xml:space="preserve">както и че не е необходимо жалбата на </w:t>
      </w:r>
      <w:r w:rsidR="00354C6E">
        <w:rPr>
          <w:szCs w:val="24"/>
          <w:lang w:val="bg-BG"/>
        </w:rPr>
        <w:t>жалбоподателката</w:t>
      </w:r>
      <w:r w:rsidR="00966433">
        <w:rPr>
          <w:szCs w:val="24"/>
          <w:lang w:val="bg-BG"/>
        </w:rPr>
        <w:t xml:space="preserve"> да се разглежда самостоятелно</w:t>
      </w:r>
      <w:r w:rsidR="005852E4">
        <w:rPr>
          <w:szCs w:val="24"/>
          <w:lang w:val="bg-BG"/>
        </w:rPr>
        <w:t xml:space="preserve"> по чл</w:t>
      </w:r>
      <w:r w:rsidR="00D0311B">
        <w:rPr>
          <w:szCs w:val="24"/>
          <w:lang w:val="bg-BG"/>
        </w:rPr>
        <w:t>ен</w:t>
      </w:r>
      <w:r w:rsidR="005852E4">
        <w:rPr>
          <w:szCs w:val="24"/>
          <w:lang w:val="bg-BG"/>
        </w:rPr>
        <w:t xml:space="preserve"> 10 от Конвенцията. </w:t>
      </w:r>
      <w:r w:rsidR="00943C73" w:rsidRPr="00C51877">
        <w:rPr>
          <w:szCs w:val="24"/>
          <w:lang w:val="bg-BG"/>
        </w:rPr>
        <w:t>Съдебният състав</w:t>
      </w:r>
      <w:r w:rsidR="00C51877" w:rsidRPr="00C51877">
        <w:rPr>
          <w:szCs w:val="24"/>
          <w:lang w:val="bg-BG"/>
        </w:rPr>
        <w:t xml:space="preserve"> </w:t>
      </w:r>
      <w:r w:rsidR="00294531" w:rsidRPr="00C51877">
        <w:rPr>
          <w:szCs w:val="24"/>
          <w:lang w:val="bg-BG"/>
        </w:rPr>
        <w:t xml:space="preserve">също така </w:t>
      </w:r>
      <w:r w:rsidR="00E92A45" w:rsidRPr="00C51877">
        <w:rPr>
          <w:szCs w:val="24"/>
          <w:lang w:val="bg-BG"/>
        </w:rPr>
        <w:t>решава</w:t>
      </w:r>
      <w:r w:rsidR="005852E4" w:rsidRPr="00C51877">
        <w:rPr>
          <w:szCs w:val="24"/>
          <w:lang w:val="bg-BG"/>
        </w:rPr>
        <w:t>, с пет на два гласа, да</w:t>
      </w:r>
      <w:r w:rsidR="00294531" w:rsidRPr="00C51877">
        <w:rPr>
          <w:szCs w:val="24"/>
          <w:lang w:val="bg-BG"/>
        </w:rPr>
        <w:t xml:space="preserve"> присъди обезщетение за имуществени вреди в размер на 2 236,50 лати, неимуществени</w:t>
      </w:r>
      <w:r w:rsidR="003F4D92" w:rsidRPr="00C51877">
        <w:rPr>
          <w:szCs w:val="24"/>
          <w:lang w:val="bg-BG"/>
        </w:rPr>
        <w:t xml:space="preserve"> вреди в размер на 10 000 евро </w:t>
      </w:r>
      <w:r w:rsidR="00EE5C40" w:rsidRPr="00C51877">
        <w:rPr>
          <w:szCs w:val="24"/>
          <w:lang w:val="bg-BG"/>
        </w:rPr>
        <w:t>и правни разходи</w:t>
      </w:r>
      <w:r w:rsidR="003F4D92" w:rsidRPr="00C51877">
        <w:rPr>
          <w:szCs w:val="24"/>
          <w:lang w:val="bg-BG"/>
        </w:rPr>
        <w:t xml:space="preserve"> и разноски</w:t>
      </w:r>
      <w:r w:rsidR="00EE5C40" w:rsidRPr="00C51877">
        <w:rPr>
          <w:szCs w:val="24"/>
          <w:lang w:val="bg-BG"/>
        </w:rPr>
        <w:t xml:space="preserve"> в размер на </w:t>
      </w:r>
      <w:r w:rsidR="00294531" w:rsidRPr="00C51877">
        <w:rPr>
          <w:szCs w:val="24"/>
          <w:lang w:val="bg-BG"/>
        </w:rPr>
        <w:t>10 000</w:t>
      </w:r>
      <w:r w:rsidR="003F4D92" w:rsidRPr="00C51877">
        <w:rPr>
          <w:szCs w:val="24"/>
          <w:lang w:val="bg-BG"/>
        </w:rPr>
        <w:t xml:space="preserve"> евро</w:t>
      </w:r>
      <w:r w:rsidR="00294531" w:rsidRPr="00C51877">
        <w:rPr>
          <w:szCs w:val="24"/>
          <w:lang w:val="bg-BG"/>
        </w:rPr>
        <w:t xml:space="preserve">. </w:t>
      </w:r>
      <w:r w:rsidR="00EE5C40" w:rsidRPr="00C51877">
        <w:rPr>
          <w:szCs w:val="24"/>
          <w:lang w:val="bg-BG"/>
        </w:rPr>
        <w:t>Особените</w:t>
      </w:r>
      <w:r w:rsidR="00294531" w:rsidRPr="00C51877">
        <w:rPr>
          <w:szCs w:val="24"/>
          <w:lang w:val="bg-BG"/>
        </w:rPr>
        <w:t xml:space="preserve"> мнения на съдиите Бонело и Левитс са приложени към решението.</w:t>
      </w:r>
      <w:r w:rsidR="005852E4" w:rsidRPr="00C51877">
        <w:rPr>
          <w:szCs w:val="24"/>
          <w:lang w:val="bg-BG"/>
        </w:rPr>
        <w:t xml:space="preserve"> </w:t>
      </w:r>
    </w:p>
    <w:p w:rsidR="005911E9" w:rsidRPr="00A57129" w:rsidRDefault="005D3E62" w:rsidP="00A57129">
      <w:pPr>
        <w:pStyle w:val="JuPara"/>
        <w:rPr>
          <w:lang w:val="bg-BG"/>
        </w:rPr>
      </w:pPr>
      <w:r w:rsidRPr="00C51877">
        <w:fldChar w:fldCharType="begin"/>
      </w:r>
      <w:r w:rsidR="005911E9" w:rsidRPr="00C51877">
        <w:rPr>
          <w:lang w:val="bg-BG"/>
        </w:rPr>
        <w:instrText xml:space="preserve"> </w:instrText>
      </w:r>
      <w:r w:rsidR="005911E9" w:rsidRPr="00C51877">
        <w:rPr>
          <w:lang w:val="en-GB"/>
        </w:rPr>
        <w:instrText>SEQ</w:instrText>
      </w:r>
      <w:r w:rsidR="005911E9" w:rsidRPr="00C51877">
        <w:rPr>
          <w:lang w:val="bg-BG"/>
        </w:rPr>
        <w:instrText xml:space="preserve"> </w:instrText>
      </w:r>
      <w:r w:rsidR="005911E9" w:rsidRPr="00C51877">
        <w:rPr>
          <w:lang w:val="en-GB"/>
        </w:rPr>
        <w:instrText>level</w:instrText>
      </w:r>
      <w:r w:rsidR="005911E9" w:rsidRPr="00C51877">
        <w:rPr>
          <w:lang w:val="bg-BG"/>
        </w:rPr>
        <w:instrText>0 \*</w:instrText>
      </w:r>
      <w:r w:rsidR="005911E9" w:rsidRPr="00C51877">
        <w:rPr>
          <w:lang w:val="en-GB"/>
        </w:rPr>
        <w:instrText>arabic</w:instrText>
      </w:r>
      <w:r w:rsidR="005911E9" w:rsidRPr="00C51877">
        <w:rPr>
          <w:lang w:val="bg-BG"/>
        </w:rPr>
        <w:instrText xml:space="preserve"> </w:instrText>
      </w:r>
      <w:r w:rsidRPr="00C51877">
        <w:fldChar w:fldCharType="separate"/>
      </w:r>
      <w:r w:rsidR="00955550" w:rsidRPr="00C51877">
        <w:rPr>
          <w:noProof/>
          <w:lang w:val="bg-BG"/>
        </w:rPr>
        <w:t>8</w:t>
      </w:r>
      <w:r w:rsidRPr="00C51877">
        <w:fldChar w:fldCharType="end"/>
      </w:r>
      <w:r w:rsidR="005911E9" w:rsidRPr="00C51877">
        <w:rPr>
          <w:lang w:val="bg-BG"/>
        </w:rPr>
        <w:t>.</w:t>
      </w:r>
      <w:r w:rsidR="005911E9" w:rsidRPr="00C51877">
        <w:rPr>
          <w:lang w:val="en-GB"/>
        </w:rPr>
        <w:t>  </w:t>
      </w:r>
      <w:r w:rsidR="00294531" w:rsidRPr="00C51877">
        <w:rPr>
          <w:lang w:val="bg-BG"/>
        </w:rPr>
        <w:t xml:space="preserve">На 17 септември 2004 г. </w:t>
      </w:r>
      <w:r w:rsidR="00A25B47" w:rsidRPr="00C51877">
        <w:rPr>
          <w:lang w:val="bg-BG"/>
        </w:rPr>
        <w:t>Правителството</w:t>
      </w:r>
      <w:r w:rsidR="00294531" w:rsidRPr="00C51877">
        <w:rPr>
          <w:lang w:val="bg-BG"/>
        </w:rPr>
        <w:t xml:space="preserve"> </w:t>
      </w:r>
      <w:r w:rsidR="00A57129" w:rsidRPr="00C51877">
        <w:rPr>
          <w:lang w:val="bg-BG"/>
        </w:rPr>
        <w:t>подава иск</w:t>
      </w:r>
      <w:r w:rsidR="00DD2282" w:rsidRPr="00C51877">
        <w:rPr>
          <w:lang w:val="bg-BG"/>
        </w:rPr>
        <w:t>ане</w:t>
      </w:r>
      <w:r w:rsidR="003F4D92" w:rsidRPr="00C51877">
        <w:rPr>
          <w:lang w:val="bg-BG"/>
        </w:rPr>
        <w:t>,</w:t>
      </w:r>
      <w:r w:rsidR="00652202" w:rsidRPr="00C51877">
        <w:rPr>
          <w:lang w:val="bg-BG"/>
        </w:rPr>
        <w:t xml:space="preserve"> съгласно</w:t>
      </w:r>
      <w:r w:rsidR="00C0430F" w:rsidRPr="00C51877">
        <w:rPr>
          <w:lang w:val="bg-BG"/>
        </w:rPr>
        <w:t xml:space="preserve"> чл</w:t>
      </w:r>
      <w:r w:rsidR="00617912">
        <w:rPr>
          <w:lang w:val="bg-BG"/>
        </w:rPr>
        <w:t>ен</w:t>
      </w:r>
      <w:r w:rsidR="00C0430F" w:rsidRPr="00C51877">
        <w:rPr>
          <w:lang w:val="bg-BG"/>
        </w:rPr>
        <w:t xml:space="preserve"> 43 от Конвенцията</w:t>
      </w:r>
      <w:r w:rsidR="003F4D92" w:rsidRPr="00C51877">
        <w:rPr>
          <w:lang w:val="bg-BG"/>
        </w:rPr>
        <w:t>,</w:t>
      </w:r>
      <w:r w:rsidR="00C0430F" w:rsidRPr="00C51877">
        <w:rPr>
          <w:lang w:val="bg-BG"/>
        </w:rPr>
        <w:t xml:space="preserve"> делото да бъде отн</w:t>
      </w:r>
      <w:r w:rsidR="003F4D92" w:rsidRPr="00C51877">
        <w:rPr>
          <w:lang w:val="bg-BG"/>
        </w:rPr>
        <w:t xml:space="preserve">есено към Голямата камара. </w:t>
      </w:r>
      <w:r w:rsidR="006E306D" w:rsidRPr="00C51877">
        <w:rPr>
          <w:lang w:val="bg-BG"/>
        </w:rPr>
        <w:t>С</w:t>
      </w:r>
      <w:r w:rsidR="002922D9">
        <w:rPr>
          <w:lang w:val="bg-BG"/>
        </w:rPr>
        <w:t>ъдебен с</w:t>
      </w:r>
      <w:r w:rsidR="006E306D" w:rsidRPr="00C51877">
        <w:rPr>
          <w:lang w:val="bg-BG"/>
        </w:rPr>
        <w:t>ъстав</w:t>
      </w:r>
      <w:r w:rsidR="002922D9">
        <w:rPr>
          <w:lang w:val="bg-BG"/>
        </w:rPr>
        <w:t xml:space="preserve"> </w:t>
      </w:r>
      <w:r w:rsidR="00C0430F" w:rsidRPr="00C51877">
        <w:rPr>
          <w:lang w:val="bg-BG"/>
        </w:rPr>
        <w:t>на</w:t>
      </w:r>
      <w:r w:rsidR="00C0430F">
        <w:rPr>
          <w:lang w:val="bg-BG"/>
        </w:rPr>
        <w:t xml:space="preserve"> Голямата камара прие</w:t>
      </w:r>
      <w:r w:rsidR="00E92A45">
        <w:rPr>
          <w:lang w:val="bg-BG"/>
        </w:rPr>
        <w:t>ма</w:t>
      </w:r>
      <w:r w:rsidR="00DD2282">
        <w:rPr>
          <w:lang w:val="bg-BG"/>
        </w:rPr>
        <w:t xml:space="preserve"> </w:t>
      </w:r>
      <w:r w:rsidR="00A57129">
        <w:rPr>
          <w:lang w:val="bg-BG"/>
        </w:rPr>
        <w:t>иск</w:t>
      </w:r>
      <w:r w:rsidR="00DD2282">
        <w:rPr>
          <w:lang w:val="bg-BG"/>
        </w:rPr>
        <w:t>ането</w:t>
      </w:r>
      <w:r w:rsidR="00C0430F">
        <w:rPr>
          <w:lang w:val="bg-BG"/>
        </w:rPr>
        <w:t xml:space="preserve"> на 10 ноември 2004 г. </w:t>
      </w:r>
    </w:p>
    <w:p w:rsidR="005A5ED0"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8206D">
        <w:rPr>
          <w:lang w:val="en-GB"/>
        </w:rPr>
        <w:instrText>SEQ</w:instrText>
      </w:r>
      <w:r w:rsidR="005911E9" w:rsidRPr="00945ED6">
        <w:rPr>
          <w:lang w:val="bg-BG"/>
        </w:rPr>
        <w:instrText xml:space="preserve"> </w:instrText>
      </w:r>
      <w:r w:rsidR="005911E9" w:rsidRPr="00B8206D">
        <w:rPr>
          <w:lang w:val="en-GB"/>
        </w:rPr>
        <w:instrText>level</w:instrText>
      </w:r>
      <w:r w:rsidR="005911E9" w:rsidRPr="00945ED6">
        <w:rPr>
          <w:lang w:val="bg-BG"/>
        </w:rPr>
        <w:instrText>0 \*</w:instrText>
      </w:r>
      <w:r w:rsidR="005911E9" w:rsidRPr="00B8206D">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9</w:t>
      </w:r>
      <w:r w:rsidRPr="00E17978">
        <w:fldChar w:fldCharType="end"/>
      </w:r>
      <w:r w:rsidR="005911E9" w:rsidRPr="00945ED6">
        <w:rPr>
          <w:lang w:val="bg-BG"/>
        </w:rPr>
        <w:t>.</w:t>
      </w:r>
      <w:r w:rsidR="005911E9" w:rsidRPr="00B8206D">
        <w:rPr>
          <w:lang w:val="en-GB"/>
        </w:rPr>
        <w:t>  </w:t>
      </w:r>
      <w:r w:rsidR="00C0430F">
        <w:rPr>
          <w:lang w:val="bg-BG"/>
        </w:rPr>
        <w:t>С</w:t>
      </w:r>
      <w:r w:rsidR="002922D9">
        <w:rPr>
          <w:lang w:val="bg-BG"/>
        </w:rPr>
        <w:t>ъдебният състав</w:t>
      </w:r>
      <w:r w:rsidR="00E92A45">
        <w:rPr>
          <w:lang w:val="bg-BG"/>
        </w:rPr>
        <w:t xml:space="preserve"> на Голямата камара </w:t>
      </w:r>
      <w:r w:rsidR="00C0430F">
        <w:rPr>
          <w:lang w:val="bg-BG"/>
        </w:rPr>
        <w:t>е определен в съответствие с разпоредбите на чл</w:t>
      </w:r>
      <w:r w:rsidR="00617912">
        <w:rPr>
          <w:lang w:val="bg-BG"/>
        </w:rPr>
        <w:t>ен</w:t>
      </w:r>
      <w:r w:rsidR="00C0430F">
        <w:rPr>
          <w:lang w:val="bg-BG"/>
        </w:rPr>
        <w:t xml:space="preserve"> </w:t>
      </w:r>
      <w:r w:rsidR="00C0430F" w:rsidRPr="00945ED6">
        <w:rPr>
          <w:lang w:val="bg-BG"/>
        </w:rPr>
        <w:t>27 §§ 2 и</w:t>
      </w:r>
      <w:r w:rsidR="005911E9" w:rsidRPr="00945ED6">
        <w:rPr>
          <w:lang w:val="bg-BG"/>
        </w:rPr>
        <w:t xml:space="preserve"> 3 </w:t>
      </w:r>
      <w:r w:rsidR="00C0430F">
        <w:rPr>
          <w:lang w:val="bg-BG"/>
        </w:rPr>
        <w:t xml:space="preserve">от Конвенцията и Правило 24. </w:t>
      </w:r>
    </w:p>
    <w:p w:rsidR="005911E9" w:rsidRPr="00945ED6" w:rsidRDefault="005D3E62" w:rsidP="00B8206D">
      <w:pPr>
        <w:pStyle w:val="JuPara"/>
        <w:rPr>
          <w:lang w:val="bg-BG"/>
        </w:rPr>
      </w:pPr>
      <w:r w:rsidRPr="00E17978">
        <w:fldChar w:fldCharType="begin"/>
      </w:r>
      <w:r w:rsidR="00F04C94" w:rsidRPr="00945ED6">
        <w:rPr>
          <w:lang w:val="bg-BG"/>
        </w:rPr>
        <w:instrText xml:space="preserve"> </w:instrText>
      </w:r>
      <w:r w:rsidR="00F04C94" w:rsidRPr="00B8206D">
        <w:rPr>
          <w:lang w:val="en-GB"/>
        </w:rPr>
        <w:instrText>SEQ</w:instrText>
      </w:r>
      <w:r w:rsidR="00F04C94" w:rsidRPr="00945ED6">
        <w:rPr>
          <w:lang w:val="bg-BG"/>
        </w:rPr>
        <w:instrText xml:space="preserve"> </w:instrText>
      </w:r>
      <w:r w:rsidR="00F04C94" w:rsidRPr="00B8206D">
        <w:rPr>
          <w:lang w:val="en-GB"/>
        </w:rPr>
        <w:instrText>level</w:instrText>
      </w:r>
      <w:r w:rsidR="00F04C94" w:rsidRPr="00945ED6">
        <w:rPr>
          <w:lang w:val="bg-BG"/>
        </w:rPr>
        <w:instrText>0 \*</w:instrText>
      </w:r>
      <w:r w:rsidR="00F04C94" w:rsidRPr="00B8206D">
        <w:rPr>
          <w:lang w:val="en-GB"/>
        </w:rPr>
        <w:instrText>arabic</w:instrText>
      </w:r>
      <w:r w:rsidR="00F04C94" w:rsidRPr="00945ED6">
        <w:rPr>
          <w:lang w:val="bg-BG"/>
        </w:rPr>
        <w:instrText xml:space="preserve"> </w:instrText>
      </w:r>
      <w:r w:rsidRPr="00E17978">
        <w:fldChar w:fldCharType="separate"/>
      </w:r>
      <w:r w:rsidR="00955550" w:rsidRPr="00945ED6">
        <w:rPr>
          <w:noProof/>
          <w:lang w:val="bg-BG"/>
        </w:rPr>
        <w:t>10</w:t>
      </w:r>
      <w:r w:rsidRPr="00E17978">
        <w:fldChar w:fldCharType="end"/>
      </w:r>
      <w:r w:rsidR="00F04C94" w:rsidRPr="00945ED6">
        <w:rPr>
          <w:lang w:val="bg-BG"/>
        </w:rPr>
        <w:t>.</w:t>
      </w:r>
      <w:r w:rsidR="00F04C94" w:rsidRPr="00B8206D">
        <w:rPr>
          <w:lang w:val="en-GB"/>
        </w:rPr>
        <w:t>  </w:t>
      </w:r>
      <w:r w:rsidR="000F6056">
        <w:rPr>
          <w:lang w:val="bg-BG"/>
        </w:rPr>
        <w:t xml:space="preserve">На 1 юни 2005 г. в сградата на Европейския съд по правата на </w:t>
      </w:r>
      <w:r w:rsidR="001E67B5">
        <w:rPr>
          <w:lang w:val="bg-BG"/>
        </w:rPr>
        <w:t>човека</w:t>
      </w:r>
      <w:r w:rsidR="00617912">
        <w:rPr>
          <w:lang w:val="bg-BG"/>
        </w:rPr>
        <w:t xml:space="preserve"> в</w:t>
      </w:r>
      <w:r w:rsidR="001E67B5">
        <w:rPr>
          <w:lang w:val="bg-BG"/>
        </w:rPr>
        <w:t xml:space="preserve"> Страсбург се провежда публично</w:t>
      </w:r>
      <w:r w:rsidR="000F6056">
        <w:rPr>
          <w:lang w:val="bg-BG"/>
        </w:rPr>
        <w:t xml:space="preserve"> заседание (Правило</w:t>
      </w:r>
      <w:r w:rsidR="005911E9" w:rsidRPr="00945ED6">
        <w:rPr>
          <w:lang w:val="bg-BG"/>
        </w:rPr>
        <w:t xml:space="preserve"> 59 § 3).</w:t>
      </w:r>
    </w:p>
    <w:p w:rsidR="005911E9" w:rsidRPr="00945ED6" w:rsidRDefault="005911E9" w:rsidP="005911E9">
      <w:pPr>
        <w:pStyle w:val="JuParaChar"/>
        <w:rPr>
          <w:lang w:val="bg-BG"/>
        </w:rPr>
      </w:pPr>
    </w:p>
    <w:p w:rsidR="005911E9" w:rsidRPr="00945ED6" w:rsidRDefault="000F6056" w:rsidP="005911E9">
      <w:pPr>
        <w:pStyle w:val="JuParaChar"/>
        <w:keepNext/>
        <w:keepLines/>
        <w:rPr>
          <w:lang w:val="bg-BG"/>
        </w:rPr>
      </w:pPr>
      <w:r>
        <w:rPr>
          <w:lang w:val="bg-BG"/>
        </w:rPr>
        <w:t>Пред Съда се явяват:</w:t>
      </w:r>
    </w:p>
    <w:p w:rsidR="005911E9" w:rsidRPr="00945ED6" w:rsidRDefault="005911E9" w:rsidP="005911E9">
      <w:pPr>
        <w:pStyle w:val="JuCourt"/>
        <w:keepNext/>
        <w:keepLines/>
        <w:rPr>
          <w:lang w:val="bg-BG"/>
        </w:rPr>
      </w:pPr>
      <w:r w:rsidRPr="00945ED6">
        <w:rPr>
          <w:lang w:val="bg-BG"/>
        </w:rPr>
        <w:t>(</w:t>
      </w:r>
      <w:r w:rsidRPr="00E17978">
        <w:t>a</w:t>
      </w:r>
      <w:r w:rsidRPr="00945ED6">
        <w:rPr>
          <w:lang w:val="bg-BG"/>
        </w:rPr>
        <w:t>)</w:t>
      </w:r>
      <w:r w:rsidRPr="00E17978">
        <w:t>  </w:t>
      </w:r>
      <w:r w:rsidR="000F6056" w:rsidRPr="000F6056">
        <w:rPr>
          <w:i/>
          <w:lang w:val="bg-BG"/>
        </w:rPr>
        <w:t xml:space="preserve">от страна на </w:t>
      </w:r>
      <w:r w:rsidR="00A25B47">
        <w:rPr>
          <w:i/>
          <w:lang w:val="bg-BG"/>
        </w:rPr>
        <w:t>Правителството</w:t>
      </w:r>
      <w:r w:rsidRPr="00945ED6">
        <w:rPr>
          <w:lang w:val="bg-BG"/>
        </w:rPr>
        <w:br/>
      </w:r>
      <w:r w:rsidR="003F4D92">
        <w:rPr>
          <w:lang w:val="bg-BG"/>
        </w:rPr>
        <w:t>г</w:t>
      </w:r>
      <w:r w:rsidR="000F6056">
        <w:rPr>
          <w:lang w:val="bg-BG"/>
        </w:rPr>
        <w:t xml:space="preserve">-жа </w:t>
      </w:r>
      <w:r w:rsidR="00581F15" w:rsidRPr="00E17978">
        <w:rPr>
          <w:rStyle w:val="JuNames"/>
        </w:rPr>
        <w:t>I</w:t>
      </w:r>
      <w:r w:rsidR="00581F15" w:rsidRPr="00530E30">
        <w:rPr>
          <w:rStyle w:val="JuNames"/>
          <w:lang w:val="bg-BG"/>
        </w:rPr>
        <w:t xml:space="preserve">. </w:t>
      </w:r>
      <w:r w:rsidR="00581F15" w:rsidRPr="00E17978">
        <w:rPr>
          <w:rStyle w:val="JuNames"/>
        </w:rPr>
        <w:t>Reine</w:t>
      </w:r>
      <w:r w:rsidRPr="00945ED6">
        <w:rPr>
          <w:lang w:val="bg-BG"/>
        </w:rPr>
        <w:t>,</w:t>
      </w:r>
      <w:r w:rsidRPr="00945ED6">
        <w:rPr>
          <w:lang w:val="bg-BG"/>
        </w:rPr>
        <w:tab/>
      </w:r>
      <w:r w:rsidR="000F6056">
        <w:rPr>
          <w:i/>
          <w:lang w:val="bg-BG"/>
        </w:rPr>
        <w:t>агент</w:t>
      </w:r>
      <w:r w:rsidR="003645C0" w:rsidRPr="00945ED6">
        <w:rPr>
          <w:lang w:val="bg-BG"/>
        </w:rPr>
        <w:t>,</w:t>
      </w:r>
      <w:r w:rsidR="003645C0" w:rsidRPr="00945ED6">
        <w:rPr>
          <w:lang w:val="bg-BG"/>
        </w:rPr>
        <w:br/>
      </w:r>
      <w:r w:rsidR="003F4D92">
        <w:rPr>
          <w:lang w:val="bg-BG"/>
        </w:rPr>
        <w:t>г</w:t>
      </w:r>
      <w:r w:rsidR="000F6056">
        <w:rPr>
          <w:lang w:val="bg-BG"/>
        </w:rPr>
        <w:t xml:space="preserve">-н </w:t>
      </w:r>
      <w:r w:rsidR="00581F15" w:rsidRPr="00E17978">
        <w:t>E</w:t>
      </w:r>
      <w:r w:rsidR="00581F15" w:rsidRPr="00530E30">
        <w:rPr>
          <w:rStyle w:val="JuNames"/>
          <w:lang w:val="bg-BG"/>
        </w:rPr>
        <w:t xml:space="preserve">. </w:t>
      </w:r>
      <w:r w:rsidR="00581F15" w:rsidRPr="00E17978">
        <w:rPr>
          <w:rStyle w:val="JuNames"/>
        </w:rPr>
        <w:t>Plaksins</w:t>
      </w:r>
      <w:r w:rsidRPr="00945ED6">
        <w:rPr>
          <w:lang w:val="bg-BG"/>
        </w:rPr>
        <w:t>,</w:t>
      </w:r>
      <w:r w:rsidRPr="00945ED6">
        <w:rPr>
          <w:lang w:val="bg-BG"/>
        </w:rPr>
        <w:tab/>
      </w:r>
      <w:r w:rsidR="000F6056">
        <w:rPr>
          <w:i/>
          <w:lang w:val="bg-BG"/>
        </w:rPr>
        <w:t>адвокат</w:t>
      </w:r>
      <w:r w:rsidRPr="00945ED6">
        <w:rPr>
          <w:lang w:val="bg-BG"/>
        </w:rPr>
        <w:t>;</w:t>
      </w:r>
    </w:p>
    <w:p w:rsidR="005911E9" w:rsidRPr="00945ED6" w:rsidRDefault="005911E9" w:rsidP="005911E9">
      <w:pPr>
        <w:pStyle w:val="JuCourt"/>
        <w:rPr>
          <w:lang w:val="bg-BG"/>
        </w:rPr>
      </w:pPr>
      <w:r w:rsidRPr="00945ED6">
        <w:rPr>
          <w:lang w:val="bg-BG"/>
        </w:rPr>
        <w:t>(</w:t>
      </w:r>
      <w:r w:rsidRPr="00E17978">
        <w:t>b</w:t>
      </w:r>
      <w:r w:rsidRPr="00945ED6">
        <w:rPr>
          <w:lang w:val="bg-BG"/>
        </w:rPr>
        <w:t>)</w:t>
      </w:r>
      <w:r w:rsidR="00B8206D" w:rsidRPr="00E17978">
        <w:t>  </w:t>
      </w:r>
      <w:r w:rsidR="000F6056" w:rsidRPr="000F6056">
        <w:rPr>
          <w:i/>
          <w:lang w:val="bg-BG"/>
        </w:rPr>
        <w:t xml:space="preserve">от страна на </w:t>
      </w:r>
      <w:r w:rsidR="00354C6E">
        <w:rPr>
          <w:i/>
          <w:lang w:val="bg-BG"/>
        </w:rPr>
        <w:t>жалбоподателката</w:t>
      </w:r>
      <w:r w:rsidRPr="00945ED6">
        <w:rPr>
          <w:lang w:val="bg-BG"/>
        </w:rPr>
        <w:br/>
      </w:r>
      <w:r w:rsidR="003F4D92">
        <w:rPr>
          <w:lang w:val="bg-BG"/>
        </w:rPr>
        <w:t>г</w:t>
      </w:r>
      <w:r w:rsidR="000F6056">
        <w:rPr>
          <w:lang w:val="bg-BG"/>
        </w:rPr>
        <w:t xml:space="preserve">-н </w:t>
      </w:r>
      <w:r w:rsidR="00581F15" w:rsidRPr="00E17978">
        <w:rPr>
          <w:rStyle w:val="JuNames"/>
        </w:rPr>
        <w:t>W</w:t>
      </w:r>
      <w:r w:rsidR="00581F15" w:rsidRPr="00530E30">
        <w:rPr>
          <w:rStyle w:val="JuNames"/>
          <w:lang w:val="bg-BG"/>
        </w:rPr>
        <w:t xml:space="preserve">. </w:t>
      </w:r>
      <w:r w:rsidR="00581F15" w:rsidRPr="00E17978">
        <w:rPr>
          <w:rStyle w:val="JuNames"/>
        </w:rPr>
        <w:t>Bowring</w:t>
      </w:r>
      <w:r w:rsidR="00B8206D" w:rsidRPr="00945ED6">
        <w:rPr>
          <w:lang w:val="bg-BG"/>
        </w:rPr>
        <w:t>,</w:t>
      </w:r>
      <w:r w:rsidRPr="00945ED6">
        <w:rPr>
          <w:lang w:val="bg-BG"/>
        </w:rPr>
        <w:tab/>
      </w:r>
      <w:r w:rsidR="000F6056">
        <w:rPr>
          <w:i/>
          <w:lang w:val="bg-BG"/>
        </w:rPr>
        <w:t>адвокат</w:t>
      </w:r>
      <w:r w:rsidRPr="00945ED6">
        <w:rPr>
          <w:lang w:val="bg-BG"/>
        </w:rPr>
        <w:t>.</w:t>
      </w:r>
    </w:p>
    <w:p w:rsidR="005911E9" w:rsidRPr="00945ED6" w:rsidRDefault="005911E9" w:rsidP="005911E9">
      <w:pPr>
        <w:pStyle w:val="JuParaChar"/>
        <w:rPr>
          <w:lang w:val="bg-BG"/>
        </w:rPr>
      </w:pPr>
    </w:p>
    <w:p w:rsidR="005A5ED0" w:rsidRPr="00945ED6" w:rsidRDefault="004A1582" w:rsidP="005911E9">
      <w:pPr>
        <w:pStyle w:val="JuParaChar"/>
        <w:rPr>
          <w:lang w:val="bg-BG"/>
        </w:rPr>
      </w:pPr>
      <w:r>
        <w:rPr>
          <w:lang w:val="bg-BG"/>
        </w:rPr>
        <w:t xml:space="preserve">Съдът изслушва речите на г-н </w:t>
      </w:r>
      <w:r w:rsidR="00581F15">
        <w:rPr>
          <w:lang w:val="en-US"/>
        </w:rPr>
        <w:t>Bowring</w:t>
      </w:r>
      <w:r>
        <w:rPr>
          <w:lang w:val="bg-BG"/>
        </w:rPr>
        <w:t xml:space="preserve"> и г-жа </w:t>
      </w:r>
      <w:r w:rsidR="00581F15">
        <w:rPr>
          <w:lang w:val="en-US"/>
        </w:rPr>
        <w:t>Reine</w:t>
      </w:r>
      <w:r>
        <w:rPr>
          <w:lang w:val="bg-BG"/>
        </w:rPr>
        <w:t xml:space="preserve">. </w:t>
      </w:r>
    </w:p>
    <w:p w:rsidR="00CD49A7" w:rsidRPr="004A1582" w:rsidRDefault="004A1582" w:rsidP="00F92A55">
      <w:pPr>
        <w:pStyle w:val="JuHHead"/>
        <w:rPr>
          <w:lang w:val="bg-BG"/>
        </w:rPr>
      </w:pPr>
      <w:r>
        <w:rPr>
          <w:lang w:val="bg-BG"/>
        </w:rPr>
        <w:lastRenderedPageBreak/>
        <w:t>ФАКТИТЕ</w:t>
      </w:r>
    </w:p>
    <w:p w:rsidR="00CD49A7" w:rsidRPr="004A1582" w:rsidRDefault="00CD49A7" w:rsidP="00F92A55">
      <w:pPr>
        <w:pStyle w:val="JuHIRoman"/>
        <w:rPr>
          <w:lang w:val="bg-BG"/>
        </w:rPr>
      </w:pPr>
      <w:r w:rsidRPr="00E17978">
        <w:t>I</w:t>
      </w:r>
      <w:r w:rsidRPr="00945ED6">
        <w:rPr>
          <w:lang w:val="bg-BG"/>
        </w:rPr>
        <w:t>.</w:t>
      </w:r>
      <w:r w:rsidRPr="00E17978">
        <w:t> </w:t>
      </w:r>
      <w:r w:rsidR="004A1582">
        <w:rPr>
          <w:lang w:val="bg-BG"/>
        </w:rPr>
        <w:t>ОБСТОЯТЕЛСТВА</w:t>
      </w:r>
      <w:r w:rsidR="00581F15">
        <w:rPr>
          <w:lang w:val="en-US"/>
        </w:rPr>
        <w:t>TA</w:t>
      </w:r>
      <w:r w:rsidR="004A1582">
        <w:rPr>
          <w:lang w:val="bg-BG"/>
        </w:rPr>
        <w:t xml:space="preserve"> ПО ДЕЛОТО</w:t>
      </w:r>
    </w:p>
    <w:p w:rsidR="00210507" w:rsidRPr="00945ED6" w:rsidRDefault="005D3E62" w:rsidP="00B8206D">
      <w:pPr>
        <w:pStyle w:val="JuPara"/>
        <w:rPr>
          <w:lang w:val="bg-BG"/>
        </w:rPr>
      </w:pPr>
      <w:r w:rsidRPr="00E17978">
        <w:fldChar w:fldCharType="begin"/>
      </w:r>
      <w:r w:rsidR="00F04C94" w:rsidRPr="00945ED6">
        <w:rPr>
          <w:lang w:val="bg-BG"/>
        </w:rPr>
        <w:instrText xml:space="preserve"> </w:instrText>
      </w:r>
      <w:r w:rsidR="00F04C94" w:rsidRPr="00BB4F95">
        <w:rPr>
          <w:lang w:val="en-GB"/>
        </w:rPr>
        <w:instrText>SEQ</w:instrText>
      </w:r>
      <w:r w:rsidR="00F04C94" w:rsidRPr="00945ED6">
        <w:rPr>
          <w:lang w:val="bg-BG"/>
        </w:rPr>
        <w:instrText xml:space="preserve"> </w:instrText>
      </w:r>
      <w:r w:rsidR="00F04C94" w:rsidRPr="00BB4F95">
        <w:rPr>
          <w:lang w:val="en-GB"/>
        </w:rPr>
        <w:instrText>level</w:instrText>
      </w:r>
      <w:r w:rsidR="00F04C94" w:rsidRPr="00945ED6">
        <w:rPr>
          <w:lang w:val="bg-BG"/>
        </w:rPr>
        <w:instrText>0 \*</w:instrText>
      </w:r>
      <w:r w:rsidR="00F04C94" w:rsidRPr="00BB4F95">
        <w:rPr>
          <w:lang w:val="en-GB"/>
        </w:rPr>
        <w:instrText>arabic</w:instrText>
      </w:r>
      <w:r w:rsidR="00F04C94" w:rsidRPr="00945ED6">
        <w:rPr>
          <w:lang w:val="bg-BG"/>
        </w:rPr>
        <w:instrText xml:space="preserve"> </w:instrText>
      </w:r>
      <w:r w:rsidRPr="00E17978">
        <w:fldChar w:fldCharType="separate"/>
      </w:r>
      <w:r w:rsidR="00955550" w:rsidRPr="00945ED6">
        <w:rPr>
          <w:noProof/>
          <w:lang w:val="bg-BG"/>
        </w:rPr>
        <w:t>11</w:t>
      </w:r>
      <w:r w:rsidRPr="00E17978">
        <w:fldChar w:fldCharType="end"/>
      </w:r>
      <w:r w:rsidR="00F04C94" w:rsidRPr="00945ED6">
        <w:rPr>
          <w:lang w:val="bg-BG"/>
        </w:rPr>
        <w:t>.</w:t>
      </w:r>
      <w:r w:rsidR="00F04C94" w:rsidRPr="00BB4F95">
        <w:rPr>
          <w:lang w:val="en-GB"/>
        </w:rPr>
        <w:t> </w:t>
      </w:r>
      <w:r w:rsidR="00736DEB">
        <w:rPr>
          <w:lang w:val="en-GB"/>
        </w:rPr>
        <w:t> </w:t>
      </w:r>
      <w:r w:rsidR="00354C6E">
        <w:rPr>
          <w:lang w:val="bg-BG"/>
        </w:rPr>
        <w:t>Жалбоподателката</w:t>
      </w:r>
      <w:r w:rsidR="004A1582">
        <w:rPr>
          <w:lang w:val="bg-BG"/>
        </w:rPr>
        <w:t xml:space="preserve"> е латви</w:t>
      </w:r>
      <w:r w:rsidR="00DD2282">
        <w:rPr>
          <w:lang w:val="bg-BG"/>
        </w:rPr>
        <w:t>йска гражданка</w:t>
      </w:r>
      <w:r w:rsidR="004A1582">
        <w:rPr>
          <w:lang w:val="bg-BG"/>
        </w:rPr>
        <w:t>, роден</w:t>
      </w:r>
      <w:r w:rsidR="00DD2282">
        <w:rPr>
          <w:lang w:val="bg-BG"/>
        </w:rPr>
        <w:t>а през 1950 г. и живуща</w:t>
      </w:r>
      <w:r w:rsidR="004A1582">
        <w:rPr>
          <w:lang w:val="bg-BG"/>
        </w:rPr>
        <w:t xml:space="preserve"> в </w:t>
      </w:r>
      <w:r w:rsidR="005746E8">
        <w:rPr>
          <w:lang w:val="bg-BG"/>
        </w:rPr>
        <w:t xml:space="preserve">гр. </w:t>
      </w:r>
      <w:r w:rsidR="004A1582">
        <w:rPr>
          <w:lang w:val="bg-BG"/>
        </w:rPr>
        <w:t xml:space="preserve">Рига. Понастоящем е член на Европейския парламент. </w:t>
      </w:r>
    </w:p>
    <w:p w:rsidR="005911E9" w:rsidRPr="00945ED6" w:rsidRDefault="005911E9" w:rsidP="005911E9">
      <w:pPr>
        <w:pStyle w:val="JuHA"/>
        <w:rPr>
          <w:lang w:val="bg-BG"/>
        </w:rPr>
      </w:pPr>
      <w:r w:rsidRPr="00E17978">
        <w:t>A</w:t>
      </w:r>
      <w:r w:rsidRPr="00945ED6">
        <w:rPr>
          <w:lang w:val="bg-BG"/>
        </w:rPr>
        <w:t>.</w:t>
      </w:r>
      <w:r w:rsidRPr="00E17978">
        <w:t> </w:t>
      </w:r>
      <w:r w:rsidR="004A1582">
        <w:rPr>
          <w:lang w:val="bg-BG"/>
        </w:rPr>
        <w:t>Исторически</w:t>
      </w:r>
      <w:r w:rsidR="00581F15" w:rsidRPr="00530E30">
        <w:rPr>
          <w:lang w:val="bg-BG"/>
        </w:rPr>
        <w:t>ят</w:t>
      </w:r>
      <w:r w:rsidR="004A1582">
        <w:rPr>
          <w:lang w:val="bg-BG"/>
        </w:rPr>
        <w:t xml:space="preserve"> контекст и предистория</w:t>
      </w:r>
      <w:r w:rsidR="00581F15">
        <w:rPr>
          <w:lang w:val="bg-BG"/>
        </w:rPr>
        <w:t>та</w:t>
      </w:r>
      <w:r w:rsidR="004A1582">
        <w:rPr>
          <w:lang w:val="bg-BG"/>
        </w:rPr>
        <w:t xml:space="preserve"> на делото </w:t>
      </w:r>
    </w:p>
    <w:p w:rsidR="005911E9" w:rsidRPr="00945ED6" w:rsidRDefault="005911E9" w:rsidP="005911E9">
      <w:pPr>
        <w:pStyle w:val="JuH1"/>
        <w:rPr>
          <w:lang w:val="bg-BG"/>
        </w:rPr>
      </w:pPr>
      <w:r w:rsidRPr="00945ED6">
        <w:rPr>
          <w:lang w:val="bg-BG"/>
        </w:rPr>
        <w:t>1.</w:t>
      </w:r>
      <w:r w:rsidRPr="00E17978">
        <w:t>  </w:t>
      </w:r>
      <w:r w:rsidR="00AC2AAB">
        <w:rPr>
          <w:lang w:val="bg-BG"/>
        </w:rPr>
        <w:t xml:space="preserve">Пактът </w:t>
      </w:r>
      <w:r w:rsidR="004A1582">
        <w:rPr>
          <w:lang w:val="bg-BG"/>
        </w:rPr>
        <w:t>Молотов</w:t>
      </w:r>
      <w:r w:rsidR="00AC2AAB">
        <w:rPr>
          <w:lang w:val="bg-BG"/>
        </w:rPr>
        <w:t>-Рибентроп</w:t>
      </w:r>
      <w:r w:rsidR="004A1582">
        <w:rPr>
          <w:lang w:val="bg-BG"/>
        </w:rPr>
        <w:t xml:space="preserve"> и Съветския</w:t>
      </w:r>
      <w:r w:rsidR="00DD2282">
        <w:rPr>
          <w:lang w:val="bg-BG"/>
        </w:rPr>
        <w:t>т</w:t>
      </w:r>
      <w:r w:rsidR="004A1582">
        <w:rPr>
          <w:lang w:val="bg-BG"/>
        </w:rPr>
        <w:t xml:space="preserve"> период </w:t>
      </w:r>
    </w:p>
    <w:p w:rsidR="005A5ED0" w:rsidRPr="00945ED6" w:rsidRDefault="005D3E62" w:rsidP="00B8206D">
      <w:pPr>
        <w:pStyle w:val="JuPara"/>
        <w:rPr>
          <w:lang w:val="bg-BG"/>
        </w:rPr>
      </w:pPr>
      <w:r w:rsidRPr="00E17978">
        <w:fldChar w:fldCharType="begin"/>
      </w:r>
      <w:r w:rsidR="00F04C94" w:rsidRPr="00945ED6">
        <w:rPr>
          <w:lang w:val="bg-BG"/>
        </w:rPr>
        <w:instrText xml:space="preserve"> </w:instrText>
      </w:r>
      <w:r w:rsidR="00F04C94" w:rsidRPr="00BB4F95">
        <w:rPr>
          <w:lang w:val="en-GB"/>
        </w:rPr>
        <w:instrText>SEQ</w:instrText>
      </w:r>
      <w:r w:rsidR="00F04C94" w:rsidRPr="00945ED6">
        <w:rPr>
          <w:lang w:val="bg-BG"/>
        </w:rPr>
        <w:instrText xml:space="preserve"> </w:instrText>
      </w:r>
      <w:r w:rsidR="00F04C94" w:rsidRPr="00BB4F95">
        <w:rPr>
          <w:lang w:val="en-GB"/>
        </w:rPr>
        <w:instrText>level</w:instrText>
      </w:r>
      <w:r w:rsidR="00F04C94" w:rsidRPr="00945ED6">
        <w:rPr>
          <w:lang w:val="bg-BG"/>
        </w:rPr>
        <w:instrText>0 \*</w:instrText>
      </w:r>
      <w:r w:rsidR="00F04C94" w:rsidRPr="00BB4F95">
        <w:rPr>
          <w:lang w:val="en-GB"/>
        </w:rPr>
        <w:instrText>arabic</w:instrText>
      </w:r>
      <w:r w:rsidR="00F04C94" w:rsidRPr="00945ED6">
        <w:rPr>
          <w:lang w:val="bg-BG"/>
        </w:rPr>
        <w:instrText xml:space="preserve"> </w:instrText>
      </w:r>
      <w:r w:rsidRPr="00E17978">
        <w:fldChar w:fldCharType="separate"/>
      </w:r>
      <w:r w:rsidR="00955550" w:rsidRPr="00945ED6">
        <w:rPr>
          <w:noProof/>
          <w:lang w:val="bg-BG"/>
        </w:rPr>
        <w:t>12</w:t>
      </w:r>
      <w:r w:rsidRPr="00E17978">
        <w:fldChar w:fldCharType="end"/>
      </w:r>
      <w:r w:rsidR="00F04C94" w:rsidRPr="00945ED6">
        <w:rPr>
          <w:lang w:val="bg-BG"/>
        </w:rPr>
        <w:t>.</w:t>
      </w:r>
      <w:r w:rsidR="00F04C94" w:rsidRPr="00BB4F95">
        <w:rPr>
          <w:lang w:val="en-GB"/>
        </w:rPr>
        <w:t>  </w:t>
      </w:r>
      <w:r w:rsidR="00AC2AAB">
        <w:rPr>
          <w:lang w:val="bg-BG"/>
        </w:rPr>
        <w:t>На 23 август 1939 г. външните министри на Германия и Съюза на съветските социалистически републики (СССР) подписват договор за ненападение (пактът Молотов-Риб</w:t>
      </w:r>
      <w:r w:rsidR="00E54C5E">
        <w:rPr>
          <w:lang w:val="bg-BG"/>
        </w:rPr>
        <w:t xml:space="preserve">ентроп). Договорът включва </w:t>
      </w:r>
      <w:r w:rsidR="00AC2AAB">
        <w:rPr>
          <w:lang w:val="bg-BG"/>
        </w:rPr>
        <w:t>допълнителен</w:t>
      </w:r>
      <w:r w:rsidR="00E54C5E">
        <w:rPr>
          <w:lang w:val="bg-BG"/>
        </w:rPr>
        <w:t xml:space="preserve"> таен</w:t>
      </w:r>
      <w:r w:rsidR="00AC2AAB">
        <w:rPr>
          <w:lang w:val="bg-BG"/>
        </w:rPr>
        <w:t xml:space="preserve"> протокол, одобрен на 23 август 1939 г. и изменен на 28 септември 1939 г., в който Германия и Съветския</w:t>
      </w:r>
      <w:r w:rsidR="00BF6E28">
        <w:rPr>
          <w:lang w:val="bg-BG"/>
        </w:rPr>
        <w:t>т</w:t>
      </w:r>
      <w:r w:rsidR="00AC2AAB">
        <w:rPr>
          <w:lang w:val="bg-BG"/>
        </w:rPr>
        <w:t xml:space="preserve"> </w:t>
      </w:r>
      <w:r w:rsidR="00DD2282">
        <w:rPr>
          <w:lang w:val="bg-BG"/>
        </w:rPr>
        <w:t>съюз се споразумяват да определят</w:t>
      </w:r>
      <w:r w:rsidR="00AC2AAB">
        <w:rPr>
          <w:lang w:val="bg-BG"/>
        </w:rPr>
        <w:t xml:space="preserve"> картата на своите „сфер</w:t>
      </w:r>
      <w:r w:rsidR="00BF10B4">
        <w:rPr>
          <w:lang w:val="bg-BG"/>
        </w:rPr>
        <w:t>и на влияние</w:t>
      </w:r>
      <w:r w:rsidR="00F67CDC">
        <w:rPr>
          <w:lang w:val="bg-BG"/>
        </w:rPr>
        <w:t>”</w:t>
      </w:r>
      <w:r w:rsidR="00BF10B4">
        <w:rPr>
          <w:lang w:val="bg-BG"/>
        </w:rPr>
        <w:t xml:space="preserve"> в случай на бъдещо „териториално и политическо прегрупиране</w:t>
      </w:r>
      <w:r w:rsidR="00F67CDC">
        <w:rPr>
          <w:lang w:val="bg-BG"/>
        </w:rPr>
        <w:t>”</w:t>
      </w:r>
      <w:r w:rsidR="00BF10B4">
        <w:rPr>
          <w:lang w:val="bg-BG"/>
        </w:rPr>
        <w:t xml:space="preserve"> на териториите на незави</w:t>
      </w:r>
      <w:r w:rsidR="00DD2282">
        <w:rPr>
          <w:lang w:val="bg-BG"/>
        </w:rPr>
        <w:t>симите по онова време държави в</w:t>
      </w:r>
      <w:r w:rsidR="00BF10B4">
        <w:rPr>
          <w:lang w:val="bg-BG"/>
        </w:rPr>
        <w:t xml:space="preserve"> Централна и Източна Европа, включително </w:t>
      </w:r>
      <w:r w:rsidR="00BF6E28">
        <w:rPr>
          <w:lang w:val="bg-BG"/>
        </w:rPr>
        <w:t xml:space="preserve">на </w:t>
      </w:r>
      <w:r w:rsidR="00BF10B4">
        <w:rPr>
          <w:lang w:val="bg-BG"/>
        </w:rPr>
        <w:t>трите прибалтийски държави: Литва, Латвия и Естония.</w:t>
      </w:r>
      <w:r w:rsidR="00E54C5E">
        <w:rPr>
          <w:lang w:val="bg-BG"/>
        </w:rPr>
        <w:t xml:space="preserve"> </w:t>
      </w:r>
      <w:r w:rsidR="007353C6">
        <w:rPr>
          <w:lang w:val="bg-BG"/>
        </w:rPr>
        <w:t>След немската инвазия в Полша на</w:t>
      </w:r>
      <w:r w:rsidR="00E54C5E">
        <w:rPr>
          <w:lang w:val="bg-BG"/>
        </w:rPr>
        <w:t xml:space="preserve"> 1 септември 1939 г. и последвалото начало на Втората световна война, Съветския</w:t>
      </w:r>
      <w:r w:rsidR="00DD2282">
        <w:rPr>
          <w:lang w:val="bg-BG"/>
        </w:rPr>
        <w:t>т</w:t>
      </w:r>
      <w:r w:rsidR="00E54C5E">
        <w:rPr>
          <w:lang w:val="bg-BG"/>
        </w:rPr>
        <w:t xml:space="preserve"> съюз започва да оказва значителен натиск върху правителствата на прибалтийските държави с цел да п</w:t>
      </w:r>
      <w:r w:rsidR="00DD2282">
        <w:rPr>
          <w:lang w:val="bg-BG"/>
        </w:rPr>
        <w:t>оеме контрол</w:t>
      </w:r>
      <w:r w:rsidR="00E54C5E">
        <w:rPr>
          <w:lang w:val="bg-BG"/>
        </w:rPr>
        <w:t xml:space="preserve"> над тях по силата на пакта Молотов-Рибентроп и допълващия го протокол.</w:t>
      </w:r>
      <w:r w:rsidR="00AC2AAB">
        <w:rPr>
          <w:lang w:val="bg-BG"/>
        </w:rPr>
        <w:t xml:space="preserve">    </w:t>
      </w:r>
    </w:p>
    <w:p w:rsidR="005A5ED0" w:rsidRPr="00945ED6" w:rsidRDefault="005D3E62" w:rsidP="00B8206D">
      <w:pPr>
        <w:pStyle w:val="JuPara"/>
        <w:rPr>
          <w:lang w:val="bg-BG"/>
        </w:rPr>
      </w:pPr>
      <w:r w:rsidRPr="00E17978">
        <w:fldChar w:fldCharType="begin"/>
      </w:r>
      <w:r w:rsidR="00004FFA" w:rsidRPr="00945ED6">
        <w:rPr>
          <w:lang w:val="bg-BG"/>
        </w:rPr>
        <w:instrText xml:space="preserve"> </w:instrText>
      </w:r>
      <w:r w:rsidR="00004FFA" w:rsidRPr="00BB4F95">
        <w:rPr>
          <w:lang w:val="en-GB"/>
        </w:rPr>
        <w:instrText>SEQ</w:instrText>
      </w:r>
      <w:r w:rsidR="00004FFA" w:rsidRPr="00945ED6">
        <w:rPr>
          <w:lang w:val="bg-BG"/>
        </w:rPr>
        <w:instrText xml:space="preserve"> </w:instrText>
      </w:r>
      <w:r w:rsidR="00004FFA" w:rsidRPr="00BB4F95">
        <w:rPr>
          <w:lang w:val="en-GB"/>
        </w:rPr>
        <w:instrText>level</w:instrText>
      </w:r>
      <w:r w:rsidR="00004FFA" w:rsidRPr="00945ED6">
        <w:rPr>
          <w:lang w:val="bg-BG"/>
        </w:rPr>
        <w:instrText>0 \*</w:instrText>
      </w:r>
      <w:r w:rsidR="00004FFA" w:rsidRPr="00BB4F95">
        <w:rPr>
          <w:lang w:val="en-GB"/>
        </w:rPr>
        <w:instrText>arabic</w:instrText>
      </w:r>
      <w:r w:rsidR="00004FFA" w:rsidRPr="00945ED6">
        <w:rPr>
          <w:lang w:val="bg-BG"/>
        </w:rPr>
        <w:instrText xml:space="preserve"> </w:instrText>
      </w:r>
      <w:r w:rsidRPr="00E17978">
        <w:fldChar w:fldCharType="separate"/>
      </w:r>
      <w:r w:rsidR="00955550" w:rsidRPr="00945ED6">
        <w:rPr>
          <w:noProof/>
          <w:lang w:val="bg-BG"/>
        </w:rPr>
        <w:t>13</w:t>
      </w:r>
      <w:r w:rsidRPr="00E17978">
        <w:fldChar w:fldCharType="end"/>
      </w:r>
      <w:r w:rsidR="00004FFA" w:rsidRPr="00945ED6">
        <w:rPr>
          <w:lang w:val="bg-BG"/>
        </w:rPr>
        <w:t>.</w:t>
      </w:r>
      <w:r w:rsidR="00004FFA" w:rsidRPr="00BB4F95">
        <w:rPr>
          <w:lang w:val="en-GB"/>
        </w:rPr>
        <w:t>  </w:t>
      </w:r>
      <w:r w:rsidR="00D46C54">
        <w:rPr>
          <w:lang w:val="bg-BG"/>
        </w:rPr>
        <w:t xml:space="preserve">След </w:t>
      </w:r>
      <w:r w:rsidR="00E54C5E">
        <w:rPr>
          <w:lang w:val="bg-BG"/>
        </w:rPr>
        <w:t>ултиматум да се позволи</w:t>
      </w:r>
      <w:r w:rsidR="00DD2282">
        <w:rPr>
          <w:lang w:val="bg-BG"/>
        </w:rPr>
        <w:t xml:space="preserve"> разполагането на </w:t>
      </w:r>
      <w:r w:rsidR="00D46C54">
        <w:rPr>
          <w:lang w:val="bg-BG"/>
        </w:rPr>
        <w:t>неограничен брой съвет</w:t>
      </w:r>
      <w:r w:rsidR="00DD2282">
        <w:rPr>
          <w:lang w:val="bg-BG"/>
        </w:rPr>
        <w:t xml:space="preserve">ски войски </w:t>
      </w:r>
      <w:r w:rsidR="00D46C54">
        <w:rPr>
          <w:lang w:val="bg-BG"/>
        </w:rPr>
        <w:t xml:space="preserve">в прибалтийските държави, на 16-17 юни 1940 г. </w:t>
      </w:r>
      <w:r w:rsidR="00D4421B">
        <w:rPr>
          <w:lang w:val="bg-BG"/>
        </w:rPr>
        <w:t>С</w:t>
      </w:r>
      <w:r w:rsidR="00D46C54">
        <w:rPr>
          <w:lang w:val="bg-BG"/>
        </w:rPr>
        <w:t xml:space="preserve">ъветската армия нахлува в Латвия и в другите две независими </w:t>
      </w:r>
      <w:r w:rsidR="003C745D">
        <w:rPr>
          <w:lang w:val="bg-BG"/>
        </w:rPr>
        <w:t>държави</w:t>
      </w:r>
      <w:r w:rsidR="00D46C54">
        <w:rPr>
          <w:lang w:val="bg-BG"/>
        </w:rPr>
        <w:t>. Латвийс</w:t>
      </w:r>
      <w:r w:rsidR="005D7CF8">
        <w:rPr>
          <w:lang w:val="bg-BG"/>
        </w:rPr>
        <w:t xml:space="preserve">кото </w:t>
      </w:r>
      <w:r w:rsidR="00DD2282">
        <w:rPr>
          <w:lang w:val="bg-BG"/>
        </w:rPr>
        <w:t>п</w:t>
      </w:r>
      <w:r w:rsidR="00A25B47">
        <w:rPr>
          <w:lang w:val="bg-BG"/>
        </w:rPr>
        <w:t>равителство</w:t>
      </w:r>
      <w:r w:rsidR="005D7CF8">
        <w:rPr>
          <w:lang w:val="bg-BG"/>
        </w:rPr>
        <w:t xml:space="preserve"> е отстранено, сформира се ново</w:t>
      </w:r>
      <w:r w:rsidR="00C051C9">
        <w:rPr>
          <w:lang w:val="bg-BG"/>
        </w:rPr>
        <w:t xml:space="preserve"> правителство</w:t>
      </w:r>
      <w:r w:rsidR="005D7CF8">
        <w:rPr>
          <w:lang w:val="bg-BG"/>
        </w:rPr>
        <w:t xml:space="preserve"> под ръководството на Комунистическата </w:t>
      </w:r>
      <w:r w:rsidR="004E6011">
        <w:rPr>
          <w:lang w:val="bg-BG"/>
        </w:rPr>
        <w:t xml:space="preserve">партия на Съветския съюз (КПСС) - единствената партия в СССР. В периода 21 юли </w:t>
      </w:r>
      <w:r w:rsidR="00240287">
        <w:rPr>
          <w:lang w:val="bg-BG"/>
        </w:rPr>
        <w:t>–</w:t>
      </w:r>
      <w:r w:rsidR="005D7CF8">
        <w:rPr>
          <w:lang w:val="bg-BG"/>
        </w:rPr>
        <w:t xml:space="preserve"> 3 август 1940 г. Съветския</w:t>
      </w:r>
      <w:r w:rsidR="004E6011">
        <w:rPr>
          <w:lang w:val="bg-BG"/>
        </w:rPr>
        <w:t>т съюз анексира</w:t>
      </w:r>
      <w:r w:rsidR="005D7CF8">
        <w:rPr>
          <w:lang w:val="bg-BG"/>
        </w:rPr>
        <w:t xml:space="preserve"> Латвия и тя се превръща в част от СССР под името „Латвийска съветска социалистическа република</w:t>
      </w:r>
      <w:r w:rsidR="00F67CDC">
        <w:rPr>
          <w:lang w:val="bg-BG"/>
        </w:rPr>
        <w:t>”</w:t>
      </w:r>
      <w:r w:rsidR="005D7CF8">
        <w:rPr>
          <w:lang w:val="bg-BG"/>
        </w:rPr>
        <w:t xml:space="preserve"> (Латвийска ССР).</w:t>
      </w:r>
      <w:r w:rsidR="00D46C54">
        <w:rPr>
          <w:lang w:val="bg-BG"/>
        </w:rPr>
        <w:t xml:space="preserve">   </w:t>
      </w:r>
    </w:p>
    <w:p w:rsidR="005911E9" w:rsidRPr="00945ED6" w:rsidRDefault="005D3E62" w:rsidP="00B8206D">
      <w:pPr>
        <w:pStyle w:val="JuPara"/>
        <w:rPr>
          <w:lang w:val="bg-BG"/>
        </w:rPr>
      </w:pPr>
      <w:r w:rsidRPr="00E17978">
        <w:fldChar w:fldCharType="begin"/>
      </w:r>
      <w:r w:rsidR="00004FFA" w:rsidRPr="00945ED6">
        <w:rPr>
          <w:lang w:val="bg-BG"/>
        </w:rPr>
        <w:instrText xml:space="preserve"> </w:instrText>
      </w:r>
      <w:r w:rsidR="00004FFA" w:rsidRPr="00BB4F95">
        <w:rPr>
          <w:lang w:val="en-GB"/>
        </w:rPr>
        <w:instrText>SEQ</w:instrText>
      </w:r>
      <w:r w:rsidR="00004FFA" w:rsidRPr="00945ED6">
        <w:rPr>
          <w:lang w:val="bg-BG"/>
        </w:rPr>
        <w:instrText xml:space="preserve"> </w:instrText>
      </w:r>
      <w:r w:rsidR="00004FFA" w:rsidRPr="00BB4F95">
        <w:rPr>
          <w:lang w:val="en-GB"/>
        </w:rPr>
        <w:instrText>level</w:instrText>
      </w:r>
      <w:r w:rsidR="00004FFA" w:rsidRPr="00945ED6">
        <w:rPr>
          <w:lang w:val="bg-BG"/>
        </w:rPr>
        <w:instrText>0 \*</w:instrText>
      </w:r>
      <w:r w:rsidR="00004FFA" w:rsidRPr="00BB4F95">
        <w:rPr>
          <w:lang w:val="en-GB"/>
        </w:rPr>
        <w:instrText>arabic</w:instrText>
      </w:r>
      <w:r w:rsidR="00004FFA" w:rsidRPr="00945ED6">
        <w:rPr>
          <w:lang w:val="bg-BG"/>
        </w:rPr>
        <w:instrText xml:space="preserve"> </w:instrText>
      </w:r>
      <w:r w:rsidRPr="00E17978">
        <w:fldChar w:fldCharType="separate"/>
      </w:r>
      <w:r w:rsidR="00955550" w:rsidRPr="00945ED6">
        <w:rPr>
          <w:noProof/>
          <w:lang w:val="bg-BG"/>
        </w:rPr>
        <w:t>14</w:t>
      </w:r>
      <w:r w:rsidRPr="00E17978">
        <w:fldChar w:fldCharType="end"/>
      </w:r>
      <w:r w:rsidR="00004FFA" w:rsidRPr="00945ED6">
        <w:rPr>
          <w:lang w:val="bg-BG"/>
        </w:rPr>
        <w:t>.</w:t>
      </w:r>
      <w:r w:rsidR="00004FFA" w:rsidRPr="00BB4F95">
        <w:rPr>
          <w:lang w:val="en-GB"/>
        </w:rPr>
        <w:t>  </w:t>
      </w:r>
      <w:r w:rsidR="00354C6E">
        <w:rPr>
          <w:lang w:val="bg-BG"/>
        </w:rPr>
        <w:t>Жалбоподателката</w:t>
      </w:r>
      <w:r w:rsidR="005D7CF8">
        <w:rPr>
          <w:lang w:val="bg-BG"/>
        </w:rPr>
        <w:t xml:space="preserve"> се ражда в рускоговорящо семейство в </w:t>
      </w:r>
      <w:r w:rsidR="005746E8">
        <w:rPr>
          <w:lang w:val="bg-BG"/>
        </w:rPr>
        <w:t xml:space="preserve">гр. </w:t>
      </w:r>
      <w:r w:rsidR="005D7CF8">
        <w:rPr>
          <w:lang w:val="bg-BG"/>
        </w:rPr>
        <w:t>Рига. През 1971 г., докато следва в Латвийския университет в Рига, се присъединява към Латвийската комунистическа партия (ЛКП).</w:t>
      </w:r>
      <w:r w:rsidR="00D40F06">
        <w:rPr>
          <w:lang w:val="bg-BG"/>
        </w:rPr>
        <w:t xml:space="preserve"> </w:t>
      </w:r>
      <w:r w:rsidR="00B23188">
        <w:rPr>
          <w:lang w:val="bg-BG"/>
        </w:rPr>
        <w:t>Фактически ЛКП е регионално подразделение</w:t>
      </w:r>
      <w:r w:rsidR="00D40F06">
        <w:rPr>
          <w:lang w:val="bg-BG"/>
        </w:rPr>
        <w:t xml:space="preserve"> на КПСС. От 1972</w:t>
      </w:r>
      <w:r w:rsidR="00240287">
        <w:rPr>
          <w:lang w:val="bg-BG"/>
        </w:rPr>
        <w:t xml:space="preserve"> г.</w:t>
      </w:r>
      <w:r w:rsidR="00D40F06">
        <w:rPr>
          <w:lang w:val="bg-BG"/>
        </w:rPr>
        <w:t xml:space="preserve"> до 1990 г. </w:t>
      </w:r>
      <w:r w:rsidR="00354C6E">
        <w:rPr>
          <w:lang w:val="bg-BG"/>
        </w:rPr>
        <w:t>жалбоподателката</w:t>
      </w:r>
      <w:r w:rsidR="000411A0">
        <w:rPr>
          <w:lang w:val="bg-BG"/>
        </w:rPr>
        <w:t xml:space="preserve"> е</w:t>
      </w:r>
      <w:r w:rsidR="00D40F06">
        <w:rPr>
          <w:lang w:val="bg-BG"/>
        </w:rPr>
        <w:t xml:space="preserve"> лектор в Латвийския университет. През целия период членува в ЛКП. </w:t>
      </w:r>
      <w:r w:rsidR="005D7CF8">
        <w:rPr>
          <w:lang w:val="bg-BG"/>
        </w:rPr>
        <w:t xml:space="preserve"> </w:t>
      </w:r>
    </w:p>
    <w:p w:rsidR="005A5ED0" w:rsidRPr="00945ED6" w:rsidRDefault="005D3E62" w:rsidP="00B8206D">
      <w:pPr>
        <w:pStyle w:val="JuPara"/>
        <w:rPr>
          <w:lang w:val="bg-BG"/>
        </w:rPr>
      </w:pPr>
      <w:r w:rsidRPr="00E17978">
        <w:fldChar w:fldCharType="begin"/>
      </w:r>
      <w:r w:rsidR="00004FFA" w:rsidRPr="00945ED6">
        <w:rPr>
          <w:lang w:val="bg-BG"/>
        </w:rPr>
        <w:instrText xml:space="preserve"> </w:instrText>
      </w:r>
      <w:r w:rsidR="00004FFA" w:rsidRPr="00BB4F95">
        <w:rPr>
          <w:lang w:val="en-GB"/>
        </w:rPr>
        <w:instrText>SEQ</w:instrText>
      </w:r>
      <w:r w:rsidR="00004FFA" w:rsidRPr="00945ED6">
        <w:rPr>
          <w:lang w:val="bg-BG"/>
        </w:rPr>
        <w:instrText xml:space="preserve"> </w:instrText>
      </w:r>
      <w:r w:rsidR="00004FFA" w:rsidRPr="00BB4F95">
        <w:rPr>
          <w:lang w:val="en-GB"/>
        </w:rPr>
        <w:instrText>level</w:instrText>
      </w:r>
      <w:r w:rsidR="00004FFA" w:rsidRPr="00945ED6">
        <w:rPr>
          <w:lang w:val="bg-BG"/>
        </w:rPr>
        <w:instrText>0 \*</w:instrText>
      </w:r>
      <w:r w:rsidR="00004FFA" w:rsidRPr="00BB4F95">
        <w:rPr>
          <w:lang w:val="en-GB"/>
        </w:rPr>
        <w:instrText>arabic</w:instrText>
      </w:r>
      <w:r w:rsidR="00004FFA" w:rsidRPr="00945ED6">
        <w:rPr>
          <w:lang w:val="bg-BG"/>
        </w:rPr>
        <w:instrText xml:space="preserve"> </w:instrText>
      </w:r>
      <w:r w:rsidRPr="00E17978">
        <w:fldChar w:fldCharType="separate"/>
      </w:r>
      <w:r w:rsidR="00955550" w:rsidRPr="00945ED6">
        <w:rPr>
          <w:noProof/>
          <w:lang w:val="bg-BG"/>
        </w:rPr>
        <w:t>15</w:t>
      </w:r>
      <w:r w:rsidRPr="00E17978">
        <w:fldChar w:fldCharType="end"/>
      </w:r>
      <w:r w:rsidR="00004FFA" w:rsidRPr="00945ED6">
        <w:rPr>
          <w:lang w:val="bg-BG"/>
        </w:rPr>
        <w:t>.</w:t>
      </w:r>
      <w:r w:rsidR="00004FFA" w:rsidRPr="00BB4F95">
        <w:rPr>
          <w:lang w:val="en-GB"/>
        </w:rPr>
        <w:t> </w:t>
      </w:r>
      <w:r w:rsidR="00301769">
        <w:rPr>
          <w:lang w:val="bg-BG"/>
        </w:rPr>
        <w:t xml:space="preserve">В края на 80-те години на </w:t>
      </w:r>
      <w:r w:rsidR="00301769">
        <w:rPr>
          <w:lang w:val="en-US"/>
        </w:rPr>
        <w:t>XX</w:t>
      </w:r>
      <w:r w:rsidR="00301769" w:rsidRPr="00945ED6">
        <w:rPr>
          <w:lang w:val="bg-BG"/>
        </w:rPr>
        <w:t xml:space="preserve"> </w:t>
      </w:r>
      <w:r w:rsidR="00301769">
        <w:rPr>
          <w:lang w:val="bg-BG"/>
        </w:rPr>
        <w:t>век в Латвия, както и в други източноевропейски държави, се усеща значителен обществен натиск за демократизация на политическия живот. В резултат на нововъведената</w:t>
      </w:r>
      <w:r w:rsidR="00CB2476">
        <w:rPr>
          <w:lang w:val="bg-BG"/>
        </w:rPr>
        <w:t xml:space="preserve"> на територията на Съветския съюз</w:t>
      </w:r>
      <w:r w:rsidR="00301769">
        <w:rPr>
          <w:lang w:val="bg-BG"/>
        </w:rPr>
        <w:t xml:space="preserve"> свобода на словото</w:t>
      </w:r>
      <w:r w:rsidR="00CB2476">
        <w:rPr>
          <w:lang w:val="bg-BG"/>
        </w:rPr>
        <w:t xml:space="preserve">, в Латвия, както </w:t>
      </w:r>
      <w:r w:rsidR="00CB2476">
        <w:rPr>
          <w:lang w:val="bg-BG"/>
        </w:rPr>
        <w:lastRenderedPageBreak/>
        <w:t xml:space="preserve">и в останалите прибалтийски държави, се формират масови политически движения, които осъждат анексирането на страната, настояват, че е необходимо да се изгради едно ново общество, базирано, наред с всичко друго, на латвийските идентичност и ценности, </w:t>
      </w:r>
      <w:r w:rsidR="009952CA">
        <w:rPr>
          <w:lang w:val="bg-BG"/>
        </w:rPr>
        <w:t xml:space="preserve">и </w:t>
      </w:r>
      <w:r w:rsidR="00CB2476">
        <w:rPr>
          <w:lang w:val="bg-BG"/>
        </w:rPr>
        <w:t>подчертават необходимостта от възстановяване на независимост</w:t>
      </w:r>
      <w:r w:rsidR="00C051C9">
        <w:rPr>
          <w:lang w:val="bg-BG"/>
        </w:rPr>
        <w:t>та на</w:t>
      </w:r>
      <w:r w:rsidR="00C051C9" w:rsidRPr="00C051C9">
        <w:rPr>
          <w:lang w:val="bg-BG"/>
        </w:rPr>
        <w:t xml:space="preserve"> </w:t>
      </w:r>
      <w:r w:rsidR="00C051C9">
        <w:rPr>
          <w:lang w:val="bg-BG"/>
        </w:rPr>
        <w:t>държавата</w:t>
      </w:r>
      <w:r w:rsidR="00CB2476">
        <w:rPr>
          <w:lang w:val="bg-BG"/>
        </w:rPr>
        <w:t xml:space="preserve">. </w:t>
      </w:r>
    </w:p>
    <w:p w:rsidR="005911E9" w:rsidRPr="00945ED6" w:rsidRDefault="005D3E62" w:rsidP="00B8206D">
      <w:pPr>
        <w:pStyle w:val="JuPara"/>
        <w:rPr>
          <w:lang w:val="bg-BG"/>
        </w:rPr>
      </w:pPr>
      <w:r w:rsidRPr="00E17978">
        <w:fldChar w:fldCharType="begin"/>
      </w:r>
      <w:r w:rsidR="00004FFA" w:rsidRPr="00945ED6">
        <w:rPr>
          <w:lang w:val="bg-BG"/>
        </w:rPr>
        <w:instrText xml:space="preserve"> </w:instrText>
      </w:r>
      <w:r w:rsidR="00004FFA" w:rsidRPr="00BB4F95">
        <w:rPr>
          <w:lang w:val="en-GB"/>
        </w:rPr>
        <w:instrText>SEQ</w:instrText>
      </w:r>
      <w:r w:rsidR="00004FFA" w:rsidRPr="00945ED6">
        <w:rPr>
          <w:lang w:val="bg-BG"/>
        </w:rPr>
        <w:instrText xml:space="preserve"> </w:instrText>
      </w:r>
      <w:r w:rsidR="00004FFA" w:rsidRPr="00BB4F95">
        <w:rPr>
          <w:lang w:val="en-GB"/>
        </w:rPr>
        <w:instrText>level</w:instrText>
      </w:r>
      <w:r w:rsidR="00004FFA" w:rsidRPr="00945ED6">
        <w:rPr>
          <w:lang w:val="bg-BG"/>
        </w:rPr>
        <w:instrText>0 \*</w:instrText>
      </w:r>
      <w:r w:rsidR="00004FFA" w:rsidRPr="00BB4F95">
        <w:rPr>
          <w:lang w:val="en-GB"/>
        </w:rPr>
        <w:instrText>arabic</w:instrText>
      </w:r>
      <w:r w:rsidR="00004FFA" w:rsidRPr="00945ED6">
        <w:rPr>
          <w:lang w:val="bg-BG"/>
        </w:rPr>
        <w:instrText xml:space="preserve"> </w:instrText>
      </w:r>
      <w:r w:rsidRPr="00E17978">
        <w:fldChar w:fldCharType="separate"/>
      </w:r>
      <w:r w:rsidR="00955550" w:rsidRPr="00945ED6">
        <w:rPr>
          <w:noProof/>
          <w:lang w:val="bg-BG"/>
        </w:rPr>
        <w:t>16</w:t>
      </w:r>
      <w:r w:rsidRPr="00E17978">
        <w:fldChar w:fldCharType="end"/>
      </w:r>
      <w:r w:rsidR="00004FFA" w:rsidRPr="00945ED6">
        <w:rPr>
          <w:lang w:val="bg-BG"/>
        </w:rPr>
        <w:t>.</w:t>
      </w:r>
      <w:r w:rsidR="00004FFA" w:rsidRPr="00BB4F95">
        <w:rPr>
          <w:lang w:val="en-GB"/>
        </w:rPr>
        <w:t>  </w:t>
      </w:r>
      <w:r w:rsidR="00CB2476">
        <w:rPr>
          <w:lang w:val="bg-BG"/>
        </w:rPr>
        <w:t xml:space="preserve">Първите независими избори в рамките на съветския режим се провеждат на територията на Латвия </w:t>
      </w:r>
      <w:r w:rsidR="004E6011">
        <w:rPr>
          <w:lang w:val="bg-BG"/>
        </w:rPr>
        <w:t>през март 1990 г. Ж</w:t>
      </w:r>
      <w:r w:rsidR="00354C6E">
        <w:rPr>
          <w:lang w:val="bg-BG"/>
        </w:rPr>
        <w:t>албоподателката</w:t>
      </w:r>
      <w:r w:rsidR="006F1812">
        <w:rPr>
          <w:lang w:val="bg-BG"/>
        </w:rPr>
        <w:t xml:space="preserve"> е избрана за член на </w:t>
      </w:r>
      <w:r w:rsidR="00443701">
        <w:rPr>
          <w:lang w:val="bg-BG"/>
        </w:rPr>
        <w:t>Върховния съвет</w:t>
      </w:r>
      <w:r w:rsidR="006F1812">
        <w:rPr>
          <w:lang w:val="bg-BG"/>
        </w:rPr>
        <w:t xml:space="preserve"> (</w:t>
      </w:r>
      <w:r w:rsidR="006F1812" w:rsidRPr="00BB4F95">
        <w:rPr>
          <w:i/>
          <w:iCs/>
          <w:lang w:val="en-GB"/>
        </w:rPr>
        <w:t>Augst</w:t>
      </w:r>
      <w:r w:rsidR="006F1812" w:rsidRPr="00945ED6">
        <w:rPr>
          <w:i/>
          <w:iCs/>
          <w:lang w:val="bg-BG"/>
        </w:rPr>
        <w:t>ā</w:t>
      </w:r>
      <w:r w:rsidR="006F1812" w:rsidRPr="00BB4F95">
        <w:rPr>
          <w:i/>
          <w:iCs/>
          <w:lang w:val="en-GB"/>
        </w:rPr>
        <w:t>k</w:t>
      </w:r>
      <w:r w:rsidR="006F1812" w:rsidRPr="00945ED6">
        <w:rPr>
          <w:i/>
          <w:iCs/>
          <w:lang w:val="bg-BG"/>
        </w:rPr>
        <w:t xml:space="preserve">ā </w:t>
      </w:r>
      <w:r w:rsidR="006F1812" w:rsidRPr="00BB4F95">
        <w:rPr>
          <w:i/>
          <w:iCs/>
          <w:lang w:val="en-GB"/>
        </w:rPr>
        <w:t>Padome</w:t>
      </w:r>
      <w:r w:rsidR="006F1812">
        <w:rPr>
          <w:iCs/>
          <w:lang w:val="bg-BG"/>
        </w:rPr>
        <w:t>) на Латвийска ССР</w:t>
      </w:r>
      <w:r w:rsidR="004E6011">
        <w:rPr>
          <w:iCs/>
          <w:lang w:val="bg-BG"/>
        </w:rPr>
        <w:t>,</w:t>
      </w:r>
      <w:r w:rsidR="006F1812">
        <w:rPr>
          <w:iCs/>
          <w:lang w:val="bg-BG"/>
        </w:rPr>
        <w:t xml:space="preserve"> като предст</w:t>
      </w:r>
      <w:r w:rsidR="00DE3F2C">
        <w:rPr>
          <w:iCs/>
          <w:lang w:val="bg-BG"/>
        </w:rPr>
        <w:t>авител на избирателния район Пля</w:t>
      </w:r>
      <w:r w:rsidR="006F1812">
        <w:rPr>
          <w:iCs/>
          <w:lang w:val="bg-BG"/>
        </w:rPr>
        <w:t xml:space="preserve">вниеки в </w:t>
      </w:r>
      <w:r w:rsidR="005746E8">
        <w:rPr>
          <w:iCs/>
          <w:lang w:val="bg-BG"/>
        </w:rPr>
        <w:t xml:space="preserve">гр. </w:t>
      </w:r>
      <w:r w:rsidR="006F1812">
        <w:rPr>
          <w:iCs/>
          <w:lang w:val="bg-BG"/>
        </w:rPr>
        <w:t xml:space="preserve">Рига. Впоследствие се присъединява </w:t>
      </w:r>
      <w:r w:rsidR="00A75C53">
        <w:rPr>
          <w:iCs/>
          <w:lang w:val="bg-BG"/>
        </w:rPr>
        <w:t xml:space="preserve">към местната </w:t>
      </w:r>
      <w:r w:rsidR="0053706A">
        <w:rPr>
          <w:iCs/>
          <w:lang w:val="bg-BG"/>
        </w:rPr>
        <w:t xml:space="preserve">партийна </w:t>
      </w:r>
      <w:r w:rsidR="00A75C53">
        <w:rPr>
          <w:iCs/>
          <w:lang w:val="bg-BG"/>
        </w:rPr>
        <w:t>организация</w:t>
      </w:r>
      <w:r w:rsidR="006F1812">
        <w:rPr>
          <w:iCs/>
          <w:lang w:val="bg-BG"/>
        </w:rPr>
        <w:t xml:space="preserve"> на ЛКП.</w:t>
      </w:r>
      <w:r w:rsidR="004E6011">
        <w:rPr>
          <w:iCs/>
          <w:lang w:val="bg-BG"/>
        </w:rPr>
        <w:t xml:space="preserve"> През април 1990 г. е избрана</w:t>
      </w:r>
      <w:r w:rsidR="006F1812">
        <w:rPr>
          <w:iCs/>
          <w:lang w:val="bg-BG"/>
        </w:rPr>
        <w:t xml:space="preserve"> о</w:t>
      </w:r>
      <w:r w:rsidR="0053706A">
        <w:rPr>
          <w:iCs/>
          <w:lang w:val="bg-BG"/>
        </w:rPr>
        <w:t>т местната партийна организация</w:t>
      </w:r>
      <w:r w:rsidR="00770114">
        <w:rPr>
          <w:iCs/>
          <w:lang w:val="bg-BG"/>
        </w:rPr>
        <w:t xml:space="preserve"> да присъства на </w:t>
      </w:r>
      <w:r w:rsidR="00770114">
        <w:rPr>
          <w:iCs/>
          <w:lang w:val="en-US"/>
        </w:rPr>
        <w:t>XXV</w:t>
      </w:r>
      <w:r w:rsidR="006F1812">
        <w:rPr>
          <w:iCs/>
          <w:lang w:val="bg-BG"/>
        </w:rPr>
        <w:t xml:space="preserve"> конгрес на ЛКП, където е избрана за член на партийния Централен комитет за</w:t>
      </w:r>
      <w:r w:rsidR="004578BC">
        <w:rPr>
          <w:iCs/>
          <w:lang w:val="bg-BG"/>
        </w:rPr>
        <w:t xml:space="preserve"> </w:t>
      </w:r>
      <w:r w:rsidR="009418DB" w:rsidRPr="00530E30">
        <w:rPr>
          <w:iCs/>
          <w:lang w:val="bg-BG"/>
        </w:rPr>
        <w:t>надзор</w:t>
      </w:r>
      <w:r w:rsidR="009418DB">
        <w:rPr>
          <w:iCs/>
          <w:lang w:val="bg-BG"/>
        </w:rPr>
        <w:t xml:space="preserve"> </w:t>
      </w:r>
      <w:r w:rsidR="004578BC">
        <w:rPr>
          <w:iCs/>
          <w:lang w:val="bg-BG"/>
        </w:rPr>
        <w:t>и проверка.</w:t>
      </w:r>
      <w:r w:rsidR="004578BC" w:rsidRPr="00945ED6">
        <w:rPr>
          <w:iCs/>
          <w:lang w:val="bg-BG"/>
        </w:rPr>
        <w:t xml:space="preserve"> </w:t>
      </w:r>
      <w:r w:rsidR="004578BC">
        <w:rPr>
          <w:iCs/>
          <w:lang w:val="bg-BG"/>
        </w:rPr>
        <w:t xml:space="preserve">Според копия от протоколи на въпросния комитет, </w:t>
      </w:r>
      <w:r w:rsidR="00354C6E">
        <w:rPr>
          <w:iCs/>
          <w:lang w:val="bg-BG"/>
        </w:rPr>
        <w:t>жалбоподателката</w:t>
      </w:r>
      <w:r w:rsidR="004578BC">
        <w:rPr>
          <w:iCs/>
          <w:lang w:val="bg-BG"/>
        </w:rPr>
        <w:t xml:space="preserve"> членува в подкомитет, който съблюдава приложението на решенията и дейностите, произтичащи от програмата на ЛКП.</w:t>
      </w:r>
      <w:r w:rsidR="006F1812">
        <w:rPr>
          <w:iCs/>
          <w:lang w:val="bg-BG"/>
        </w:rPr>
        <w:t xml:space="preserve">  </w:t>
      </w:r>
      <w:r w:rsidR="00CB2476">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17</w:t>
      </w:r>
      <w:r w:rsidRPr="00E17978">
        <w:fldChar w:fldCharType="end"/>
      </w:r>
      <w:r w:rsidR="005911E9" w:rsidRPr="00945ED6">
        <w:rPr>
          <w:lang w:val="bg-BG"/>
        </w:rPr>
        <w:t>.</w:t>
      </w:r>
      <w:r w:rsidR="005911E9" w:rsidRPr="00BB4F95">
        <w:rPr>
          <w:lang w:val="en-GB"/>
        </w:rPr>
        <w:t>  </w:t>
      </w:r>
      <w:r w:rsidR="004578BC">
        <w:rPr>
          <w:lang w:val="bg-BG"/>
        </w:rPr>
        <w:t>На същия конгрес група делегати изразяват своето несъгласие с общата политика на ЛКП, която остава вярна на Съветския съюз и КПСС. Според тези делегати</w:t>
      </w:r>
      <w:r w:rsidR="00447449">
        <w:rPr>
          <w:lang w:val="bg-BG"/>
        </w:rPr>
        <w:t xml:space="preserve"> ЛКП се противопоставя на всеки опит за демократизация на обществения живот и се стреми да запази статуквото на съветското управление. Делегатите обявяват публично оттеглянето си</w:t>
      </w:r>
      <w:r w:rsidR="004E6011">
        <w:rPr>
          <w:lang w:val="bg-BG"/>
        </w:rPr>
        <w:t xml:space="preserve"> от ЛКП и основават нова партия </w:t>
      </w:r>
      <w:r w:rsidR="00935D36">
        <w:rPr>
          <w:lang w:val="bg-BG"/>
        </w:rPr>
        <w:t>–</w:t>
      </w:r>
      <w:r w:rsidR="00447449">
        <w:rPr>
          <w:lang w:val="bg-BG"/>
        </w:rPr>
        <w:t xml:space="preserve"> Независимата </w:t>
      </w:r>
      <w:r w:rsidR="004E6011">
        <w:rPr>
          <w:lang w:val="bg-BG"/>
        </w:rPr>
        <w:t xml:space="preserve">комунистическа партия на Латвия </w:t>
      </w:r>
      <w:r w:rsidR="00935D36">
        <w:rPr>
          <w:lang w:val="bg-BG"/>
        </w:rPr>
        <w:t>–</w:t>
      </w:r>
      <w:r w:rsidR="00447449">
        <w:rPr>
          <w:lang w:val="bg-BG"/>
        </w:rPr>
        <w:t xml:space="preserve"> която веднага заявява своята подкрепа за независимост на Латвия и многопартийна политическа система. </w:t>
      </w:r>
      <w:r w:rsidR="00354C6E">
        <w:rPr>
          <w:lang w:val="bg-BG"/>
        </w:rPr>
        <w:t>Жалбоподателката</w:t>
      </w:r>
      <w:r w:rsidR="00447449">
        <w:rPr>
          <w:lang w:val="bg-BG"/>
        </w:rPr>
        <w:t xml:space="preserve"> не се присъединява към дисидентите и остава в ЛКП. </w:t>
      </w:r>
      <w:r w:rsidR="004578BC">
        <w:rPr>
          <w:lang w:val="bg-BG"/>
        </w:rPr>
        <w:t xml:space="preserve"> </w:t>
      </w:r>
    </w:p>
    <w:p w:rsidR="005911E9" w:rsidRPr="00945ED6" w:rsidRDefault="005911E9" w:rsidP="005911E9">
      <w:pPr>
        <w:pStyle w:val="JuH1"/>
        <w:rPr>
          <w:lang w:val="bg-BG"/>
        </w:rPr>
      </w:pPr>
      <w:r w:rsidRPr="00945ED6">
        <w:rPr>
          <w:lang w:val="bg-BG"/>
        </w:rPr>
        <w:t>2.</w:t>
      </w:r>
      <w:r w:rsidRPr="00E17978">
        <w:t>  </w:t>
      </w:r>
      <w:r w:rsidR="00447449">
        <w:rPr>
          <w:lang w:val="bg-BG"/>
        </w:rPr>
        <w:t xml:space="preserve">Обявяване на независимостта на Латвия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18</w:t>
      </w:r>
      <w:r w:rsidRPr="00E17978">
        <w:fldChar w:fldCharType="end"/>
      </w:r>
      <w:r w:rsidR="005911E9" w:rsidRPr="00945ED6">
        <w:rPr>
          <w:lang w:val="bg-BG"/>
        </w:rPr>
        <w:t>.</w:t>
      </w:r>
      <w:r w:rsidR="005911E9" w:rsidRPr="00BB4F95">
        <w:rPr>
          <w:lang w:val="en-GB"/>
        </w:rPr>
        <w:t>  </w:t>
      </w:r>
      <w:r w:rsidR="00447449">
        <w:rPr>
          <w:lang w:val="bg-BG"/>
        </w:rPr>
        <w:t xml:space="preserve">На 4 май 1990 г. </w:t>
      </w:r>
      <w:r w:rsidR="00443701">
        <w:rPr>
          <w:lang w:val="bg-BG"/>
        </w:rPr>
        <w:t>Върховният съвет</w:t>
      </w:r>
      <w:r w:rsidR="00447449">
        <w:rPr>
          <w:lang w:val="bg-BG"/>
        </w:rPr>
        <w:t xml:space="preserve"> приема Декларация за възстановяване на независимостта на </w:t>
      </w:r>
      <w:r w:rsidR="00013D7D">
        <w:rPr>
          <w:lang w:val="bg-BG"/>
        </w:rPr>
        <w:t>Република Латвия</w:t>
      </w:r>
      <w:r w:rsidR="00447449">
        <w:rPr>
          <w:lang w:val="bg-BG"/>
        </w:rPr>
        <w:t xml:space="preserve">. </w:t>
      </w:r>
      <w:r w:rsidR="00615140">
        <w:rPr>
          <w:lang w:val="bg-BG"/>
        </w:rPr>
        <w:t xml:space="preserve">Декларацията обявява присъединяването на Латвия към СССР за незаконно и невалидно, връща правната сила на основните разпоредби в Латвийската конституция </w:t>
      </w:r>
      <w:r w:rsidR="00615140" w:rsidRPr="00945ED6">
        <w:rPr>
          <w:lang w:val="bg-BG"/>
        </w:rPr>
        <w:t>(</w:t>
      </w:r>
      <w:r w:rsidR="00615140" w:rsidRPr="00BB4F95">
        <w:rPr>
          <w:i/>
          <w:iCs/>
          <w:lang w:val="en-GB"/>
        </w:rPr>
        <w:t>Satversme</w:t>
      </w:r>
      <w:r w:rsidR="00615140" w:rsidRPr="00945ED6">
        <w:rPr>
          <w:lang w:val="bg-BG"/>
        </w:rPr>
        <w:t>)</w:t>
      </w:r>
      <w:r w:rsidR="00615140">
        <w:rPr>
          <w:lang w:val="bg-BG"/>
        </w:rPr>
        <w:t xml:space="preserve"> от 1922 г. </w:t>
      </w:r>
      <w:r w:rsidR="004E6011">
        <w:rPr>
          <w:lang w:val="bg-BG"/>
        </w:rPr>
        <w:t>Чрез т</w:t>
      </w:r>
      <w:r w:rsidR="00527BC4">
        <w:rPr>
          <w:lang w:val="bg-BG"/>
        </w:rPr>
        <w:t>очка 5</w:t>
      </w:r>
      <w:r w:rsidR="004E6011">
        <w:rPr>
          <w:lang w:val="bg-BG"/>
        </w:rPr>
        <w:t xml:space="preserve"> от Декларацията се </w:t>
      </w:r>
      <w:r w:rsidR="00615140">
        <w:rPr>
          <w:lang w:val="bg-BG"/>
        </w:rPr>
        <w:t>въвежда преходен период, чиято цел е пълният държавен сув</w:t>
      </w:r>
      <w:r w:rsidR="004E6011">
        <w:rPr>
          <w:lang w:val="bg-BG"/>
        </w:rPr>
        <w:t>еренитет да се възстанови постепенно</w:t>
      </w:r>
      <w:r w:rsidR="00615140">
        <w:rPr>
          <w:lang w:val="bg-BG"/>
        </w:rPr>
        <w:t>, като се скъса всяка</w:t>
      </w:r>
      <w:r w:rsidR="004C5CC0">
        <w:rPr>
          <w:lang w:val="bg-BG"/>
        </w:rPr>
        <w:t>ква</w:t>
      </w:r>
      <w:r w:rsidR="00615140">
        <w:rPr>
          <w:lang w:val="bg-BG"/>
        </w:rPr>
        <w:t xml:space="preserve"> институционална връзка с СССР. По време на този преходен период остават в сила различни разпоредби от Конституцията на Латвийска ССР. </w:t>
      </w:r>
      <w:r w:rsidR="007E4E56">
        <w:rPr>
          <w:lang w:val="bg-BG"/>
        </w:rPr>
        <w:t>Специална правителствена комисия е натоварена с отговорността да преговаря със Съветския съюз на базата на Руско-латвийския мирен договор от 11 август 1920 г</w:t>
      </w:r>
      <w:r w:rsidR="00BE7F73">
        <w:rPr>
          <w:lang w:val="bg-BG"/>
        </w:rPr>
        <w:t>.</w:t>
      </w:r>
    </w:p>
    <w:p w:rsidR="005911E9" w:rsidRPr="00945ED6" w:rsidRDefault="005746E8" w:rsidP="00B8206D">
      <w:pPr>
        <w:pStyle w:val="JuPara"/>
        <w:rPr>
          <w:lang w:val="bg-BG"/>
        </w:rPr>
      </w:pPr>
      <w:r>
        <w:rPr>
          <w:lang w:val="bg-BG"/>
        </w:rPr>
        <w:t>За приемането на г</w:t>
      </w:r>
      <w:r w:rsidR="007E4E56">
        <w:rPr>
          <w:lang w:val="bg-BG"/>
        </w:rPr>
        <w:t>оресп</w:t>
      </w:r>
      <w:r>
        <w:rPr>
          <w:lang w:val="bg-BG"/>
        </w:rPr>
        <w:t>оменатата Декларация гласуват</w:t>
      </w:r>
      <w:r w:rsidR="007E4E56">
        <w:rPr>
          <w:lang w:val="bg-BG"/>
        </w:rPr>
        <w:t xml:space="preserve"> 139 от общо 201 члена на </w:t>
      </w:r>
      <w:r w:rsidR="00443701">
        <w:rPr>
          <w:lang w:val="bg-BG"/>
        </w:rPr>
        <w:t>Върховния съвет</w:t>
      </w:r>
      <w:r w:rsidR="00B25071">
        <w:rPr>
          <w:lang w:val="bg-BG"/>
        </w:rPr>
        <w:t>, като има един въздържал се. Петдесет и седем</w:t>
      </w:r>
      <w:r w:rsidR="007E4E56">
        <w:rPr>
          <w:lang w:val="bg-BG"/>
        </w:rPr>
        <w:t xml:space="preserve"> от членовете на </w:t>
      </w:r>
      <w:r w:rsidR="00A25B47">
        <w:rPr>
          <w:lang w:val="bg-BG"/>
        </w:rPr>
        <w:t>Парламента</w:t>
      </w:r>
      <w:r w:rsidR="007E4E56">
        <w:rPr>
          <w:lang w:val="bg-BG"/>
        </w:rPr>
        <w:t xml:space="preserve">рния блок </w:t>
      </w:r>
      <w:r w:rsidR="007E4E56" w:rsidRPr="00BB4F95">
        <w:rPr>
          <w:i/>
          <w:iCs/>
          <w:lang w:val="en-GB"/>
        </w:rPr>
        <w:t>L</w:t>
      </w:r>
      <w:r w:rsidR="007E4E56" w:rsidRPr="00945ED6">
        <w:rPr>
          <w:i/>
          <w:iCs/>
          <w:lang w:val="bg-BG"/>
        </w:rPr>
        <w:t>ī</w:t>
      </w:r>
      <w:r w:rsidR="007E4E56" w:rsidRPr="00BB4F95">
        <w:rPr>
          <w:i/>
          <w:iCs/>
          <w:lang w:val="en-GB"/>
        </w:rPr>
        <w:t>dzties</w:t>
      </w:r>
      <w:r w:rsidR="007E4E56" w:rsidRPr="00945ED6">
        <w:rPr>
          <w:i/>
          <w:iCs/>
          <w:lang w:val="bg-BG"/>
        </w:rPr>
        <w:t>ī</w:t>
      </w:r>
      <w:r w:rsidR="007E4E56" w:rsidRPr="00BB4F95">
        <w:rPr>
          <w:i/>
          <w:iCs/>
          <w:lang w:val="en-GB"/>
        </w:rPr>
        <w:t>ba</w:t>
      </w:r>
      <w:r w:rsidR="007E4E56" w:rsidRPr="00945ED6">
        <w:rPr>
          <w:lang w:val="bg-BG"/>
        </w:rPr>
        <w:t xml:space="preserve"> </w:t>
      </w:r>
      <w:r w:rsidR="007E4E56">
        <w:rPr>
          <w:lang w:val="bg-BG"/>
        </w:rPr>
        <w:t>(„Равни права</w:t>
      </w:r>
      <w:r w:rsidR="00F67CDC">
        <w:rPr>
          <w:lang w:val="bg-BG"/>
        </w:rPr>
        <w:t>”</w:t>
      </w:r>
      <w:r w:rsidR="007E4E56">
        <w:rPr>
          <w:lang w:val="bg-BG"/>
        </w:rPr>
        <w:t xml:space="preserve">, фактически това е групата на ЛКП), включително </w:t>
      </w:r>
      <w:r w:rsidR="00354C6E">
        <w:rPr>
          <w:lang w:val="bg-BG"/>
        </w:rPr>
        <w:t>жалбоподателката</w:t>
      </w:r>
      <w:r w:rsidR="008118AE">
        <w:rPr>
          <w:lang w:val="bg-BG"/>
        </w:rPr>
        <w:t xml:space="preserve">, не </w:t>
      </w:r>
      <w:r w:rsidR="008118AE">
        <w:rPr>
          <w:lang w:val="bg-BG"/>
        </w:rPr>
        <w:lastRenderedPageBreak/>
        <w:t>гласуват. В</w:t>
      </w:r>
      <w:r w:rsidR="007E4E56">
        <w:rPr>
          <w:lang w:val="bg-BG"/>
        </w:rPr>
        <w:t xml:space="preserve"> същия ден, 4 май 1990 г., Централният комитет на ЛКП приема резолюция, която крити</w:t>
      </w:r>
      <w:r w:rsidR="00B25071">
        <w:rPr>
          <w:lang w:val="bg-BG"/>
        </w:rPr>
        <w:t xml:space="preserve">кува </w:t>
      </w:r>
      <w:r w:rsidR="006F3D14">
        <w:rPr>
          <w:lang w:val="bg-BG"/>
        </w:rPr>
        <w:t xml:space="preserve">остро </w:t>
      </w:r>
      <w:r w:rsidR="00B25071">
        <w:rPr>
          <w:lang w:val="bg-BG"/>
        </w:rPr>
        <w:t xml:space="preserve">Декларацията и призовава </w:t>
      </w:r>
      <w:r w:rsidR="00B25071" w:rsidRPr="00DB1B3A">
        <w:rPr>
          <w:lang w:val="bg-BG"/>
        </w:rPr>
        <w:t>П</w:t>
      </w:r>
      <w:r w:rsidR="007E4E56" w:rsidRPr="00DB1B3A">
        <w:rPr>
          <w:lang w:val="bg-BG"/>
        </w:rPr>
        <w:t>резидента н</w:t>
      </w:r>
      <w:r w:rsidR="007E4E56">
        <w:rPr>
          <w:lang w:val="bg-BG"/>
        </w:rPr>
        <w:t xml:space="preserve">а Съветския съюз да се намеси.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19</w:t>
      </w:r>
      <w:r w:rsidRPr="00E17978">
        <w:fldChar w:fldCharType="end"/>
      </w:r>
      <w:r w:rsidR="005911E9" w:rsidRPr="00945ED6">
        <w:rPr>
          <w:lang w:val="bg-BG"/>
        </w:rPr>
        <w:t>.</w:t>
      </w:r>
      <w:r w:rsidR="005911E9" w:rsidRPr="00BB4F95">
        <w:rPr>
          <w:lang w:val="en-GB"/>
        </w:rPr>
        <w:t>  </w:t>
      </w:r>
      <w:r w:rsidR="007E4E56">
        <w:rPr>
          <w:lang w:val="bg-BG"/>
        </w:rPr>
        <w:t xml:space="preserve">На 7 май </w:t>
      </w:r>
      <w:r w:rsidR="0009191E">
        <w:rPr>
          <w:lang w:val="bg-BG"/>
        </w:rPr>
        <w:t xml:space="preserve">1990 г. </w:t>
      </w:r>
      <w:r w:rsidR="00443701">
        <w:rPr>
          <w:lang w:val="bg-BG"/>
        </w:rPr>
        <w:t>Върховният съвет</w:t>
      </w:r>
      <w:r w:rsidR="0009191E">
        <w:rPr>
          <w:lang w:val="bg-BG"/>
        </w:rPr>
        <w:t xml:space="preserve"> одобрява </w:t>
      </w:r>
      <w:r w:rsidR="005746E8">
        <w:rPr>
          <w:lang w:val="bg-BG"/>
        </w:rPr>
        <w:t>п</w:t>
      </w:r>
      <w:r w:rsidR="00A25B47">
        <w:rPr>
          <w:lang w:val="bg-BG"/>
        </w:rPr>
        <w:t>равителството</w:t>
      </w:r>
      <w:r w:rsidR="007E4E56">
        <w:rPr>
          <w:lang w:val="bg-BG"/>
        </w:rPr>
        <w:t xml:space="preserve"> на независимата </w:t>
      </w:r>
      <w:r w:rsidR="00013D7D">
        <w:rPr>
          <w:lang w:val="bg-BG"/>
        </w:rPr>
        <w:t>Република Латвия</w:t>
      </w:r>
      <w:r w:rsidR="007E4E56">
        <w:rPr>
          <w:lang w:val="bg-BG"/>
        </w:rPr>
        <w:t xml:space="preserve">. </w:t>
      </w:r>
      <w:r w:rsidR="008F3F7A">
        <w:rPr>
          <w:lang w:val="bg-BG"/>
        </w:rPr>
        <w:t xml:space="preserve"> </w:t>
      </w:r>
    </w:p>
    <w:p w:rsidR="005911E9" w:rsidRPr="00945ED6" w:rsidRDefault="005911E9" w:rsidP="005911E9">
      <w:pPr>
        <w:pStyle w:val="JuH1"/>
        <w:rPr>
          <w:lang w:val="bg-BG"/>
        </w:rPr>
      </w:pPr>
      <w:r w:rsidRPr="00945ED6">
        <w:rPr>
          <w:lang w:val="bg-BG"/>
        </w:rPr>
        <w:t>3.</w:t>
      </w:r>
      <w:r w:rsidRPr="00E17978">
        <w:t>  </w:t>
      </w:r>
      <w:r w:rsidR="007E4E56">
        <w:rPr>
          <w:lang w:val="bg-BG"/>
        </w:rPr>
        <w:t xml:space="preserve">Събитията от януари и март 1991 г. </w:t>
      </w:r>
    </w:p>
    <w:p w:rsidR="00004FFA"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20</w:t>
      </w:r>
      <w:r w:rsidRPr="00E17978">
        <w:fldChar w:fldCharType="end"/>
      </w:r>
      <w:r w:rsidR="005911E9" w:rsidRPr="00945ED6">
        <w:rPr>
          <w:lang w:val="bg-BG"/>
        </w:rPr>
        <w:t>.</w:t>
      </w:r>
      <w:r w:rsidR="005911E9" w:rsidRPr="00BB4F95">
        <w:rPr>
          <w:lang w:val="en-GB"/>
        </w:rPr>
        <w:t>  </w:t>
      </w:r>
      <w:r w:rsidR="007E4E56">
        <w:rPr>
          <w:lang w:val="bg-BG"/>
        </w:rPr>
        <w:t xml:space="preserve">Вечерта </w:t>
      </w:r>
      <w:r w:rsidR="00D4421B">
        <w:rPr>
          <w:lang w:val="bg-BG"/>
        </w:rPr>
        <w:t>на 12 януари 1991 г. С</w:t>
      </w:r>
      <w:r w:rsidR="005746E8">
        <w:rPr>
          <w:lang w:val="bg-BG"/>
        </w:rPr>
        <w:t>ъветската армия предприема военни действия</w:t>
      </w:r>
      <w:r w:rsidR="00956EA0">
        <w:rPr>
          <w:lang w:val="bg-BG"/>
        </w:rPr>
        <w:t xml:space="preserve"> срещу съседната на Латвия Литва, чието </w:t>
      </w:r>
      <w:r w:rsidR="005746E8">
        <w:rPr>
          <w:lang w:val="bg-BG"/>
        </w:rPr>
        <w:t>п</w:t>
      </w:r>
      <w:r w:rsidR="00A25B47">
        <w:rPr>
          <w:lang w:val="bg-BG"/>
        </w:rPr>
        <w:t>равителство</w:t>
      </w:r>
      <w:r w:rsidR="00956EA0">
        <w:rPr>
          <w:lang w:val="bg-BG"/>
        </w:rPr>
        <w:t xml:space="preserve"> е формирано по същия начин, както латвийското. Съветските войски нахлуват в телевизионната кула на </w:t>
      </w:r>
      <w:r w:rsidR="005746E8">
        <w:rPr>
          <w:lang w:val="bg-BG"/>
        </w:rPr>
        <w:t xml:space="preserve">гр. </w:t>
      </w:r>
      <w:r w:rsidR="00956EA0">
        <w:rPr>
          <w:lang w:val="bg-BG"/>
        </w:rPr>
        <w:t>Вилнюс и в седалището на литовската национал</w:t>
      </w:r>
      <w:r w:rsidR="005746E8">
        <w:rPr>
          <w:lang w:val="bg-BG"/>
        </w:rPr>
        <w:t xml:space="preserve">на телевизия, опитват </w:t>
      </w:r>
      <w:r w:rsidR="00956EA0">
        <w:rPr>
          <w:lang w:val="bg-BG"/>
        </w:rPr>
        <w:t>да завземат</w:t>
      </w:r>
      <w:r w:rsidR="005746E8">
        <w:rPr>
          <w:lang w:val="bg-BG"/>
        </w:rPr>
        <w:t xml:space="preserve"> и</w:t>
      </w:r>
      <w:r w:rsidR="00956EA0">
        <w:rPr>
          <w:lang w:val="bg-BG"/>
        </w:rPr>
        <w:t xml:space="preserve"> </w:t>
      </w:r>
      <w:r w:rsidR="005746E8">
        <w:rPr>
          <w:lang w:val="bg-BG"/>
        </w:rPr>
        <w:t>п</w:t>
      </w:r>
      <w:r w:rsidR="00A25B47">
        <w:rPr>
          <w:lang w:val="bg-BG"/>
        </w:rPr>
        <w:t>арламента</w:t>
      </w:r>
      <w:r w:rsidR="00956EA0">
        <w:rPr>
          <w:lang w:val="bg-BG"/>
        </w:rPr>
        <w:t xml:space="preserve"> на Литва</w:t>
      </w:r>
      <w:r w:rsidR="005746E8">
        <w:rPr>
          <w:lang w:val="bg-BG"/>
        </w:rPr>
        <w:t>, както</w:t>
      </w:r>
      <w:r w:rsidR="00956EA0">
        <w:rPr>
          <w:lang w:val="bg-BG"/>
        </w:rPr>
        <w:t xml:space="preserve"> и други органи</w:t>
      </w:r>
      <w:r w:rsidR="00956EA0" w:rsidRPr="00945ED6">
        <w:rPr>
          <w:lang w:val="bg-BG"/>
        </w:rPr>
        <w:t xml:space="preserve"> </w:t>
      </w:r>
      <w:r w:rsidR="00956EA0">
        <w:rPr>
          <w:lang w:val="bg-BG"/>
        </w:rPr>
        <w:t>на властта. Огромни тълпи, съста</w:t>
      </w:r>
      <w:r w:rsidR="005746E8">
        <w:rPr>
          <w:lang w:val="bg-BG"/>
        </w:rPr>
        <w:t>вени от граждани на Литва, се притичат</w:t>
      </w:r>
      <w:r w:rsidR="00956EA0">
        <w:rPr>
          <w:lang w:val="bg-BG"/>
        </w:rPr>
        <w:t xml:space="preserve"> на помощ на институциите на отскоро независимата държава. </w:t>
      </w:r>
      <w:r w:rsidR="00DE2F2B">
        <w:rPr>
          <w:lang w:val="bg-BG"/>
        </w:rPr>
        <w:t xml:space="preserve">Тринадесет </w:t>
      </w:r>
      <w:r w:rsidR="00956EA0">
        <w:rPr>
          <w:lang w:val="bg-BG"/>
        </w:rPr>
        <w:t>цивилни литовци са убити, а ст</w:t>
      </w:r>
      <w:r w:rsidR="00D4421B">
        <w:rPr>
          <w:lang w:val="bg-BG"/>
        </w:rPr>
        <w:t>отици са ранени в сблъсъка със С</w:t>
      </w:r>
      <w:r w:rsidR="00956EA0">
        <w:rPr>
          <w:lang w:val="bg-BG"/>
        </w:rPr>
        <w:t xml:space="preserve">ъветската армия.  </w:t>
      </w:r>
    </w:p>
    <w:p w:rsidR="00004FFA" w:rsidRPr="00945ED6" w:rsidRDefault="005D3E62" w:rsidP="00B8206D">
      <w:pPr>
        <w:pStyle w:val="JuPara"/>
        <w:rPr>
          <w:lang w:val="bg-BG"/>
        </w:rPr>
      </w:pPr>
      <w:r w:rsidRPr="00E17978">
        <w:fldChar w:fldCharType="begin"/>
      </w:r>
      <w:r w:rsidR="00004FFA" w:rsidRPr="00945ED6">
        <w:rPr>
          <w:lang w:val="bg-BG"/>
        </w:rPr>
        <w:instrText xml:space="preserve"> </w:instrText>
      </w:r>
      <w:r w:rsidR="00004FFA" w:rsidRPr="00BB4F95">
        <w:rPr>
          <w:lang w:val="en-GB"/>
        </w:rPr>
        <w:instrText>SEQ</w:instrText>
      </w:r>
      <w:r w:rsidR="00004FFA" w:rsidRPr="00945ED6">
        <w:rPr>
          <w:lang w:val="bg-BG"/>
        </w:rPr>
        <w:instrText xml:space="preserve"> </w:instrText>
      </w:r>
      <w:r w:rsidR="00004FFA" w:rsidRPr="00BB4F95">
        <w:rPr>
          <w:lang w:val="en-GB"/>
        </w:rPr>
        <w:instrText>level</w:instrText>
      </w:r>
      <w:r w:rsidR="00004FFA" w:rsidRPr="00945ED6">
        <w:rPr>
          <w:lang w:val="bg-BG"/>
        </w:rPr>
        <w:instrText>0 \*</w:instrText>
      </w:r>
      <w:r w:rsidR="00004FFA" w:rsidRPr="00BB4F95">
        <w:rPr>
          <w:lang w:val="en-GB"/>
        </w:rPr>
        <w:instrText>arabic</w:instrText>
      </w:r>
      <w:r w:rsidR="00004FFA" w:rsidRPr="00945ED6">
        <w:rPr>
          <w:lang w:val="bg-BG"/>
        </w:rPr>
        <w:instrText xml:space="preserve"> </w:instrText>
      </w:r>
      <w:r w:rsidRPr="00E17978">
        <w:fldChar w:fldCharType="separate"/>
      </w:r>
      <w:r w:rsidR="00955550" w:rsidRPr="00945ED6">
        <w:rPr>
          <w:noProof/>
          <w:lang w:val="bg-BG"/>
        </w:rPr>
        <w:t>21</w:t>
      </w:r>
      <w:r w:rsidRPr="00E17978">
        <w:fldChar w:fldCharType="end"/>
      </w:r>
      <w:r w:rsidR="00004FFA" w:rsidRPr="00945ED6">
        <w:rPr>
          <w:lang w:val="bg-BG"/>
        </w:rPr>
        <w:t>.</w:t>
      </w:r>
      <w:r w:rsidR="00004FFA" w:rsidRPr="00BB4F95">
        <w:rPr>
          <w:lang w:val="en-GB"/>
        </w:rPr>
        <w:t>  </w:t>
      </w:r>
      <w:r w:rsidR="00956EA0">
        <w:rPr>
          <w:lang w:val="bg-BG"/>
        </w:rPr>
        <w:t>Партиите не постигат съгласие по въпроса кой е отговорен за с</w:t>
      </w:r>
      <w:r w:rsidR="005746E8">
        <w:rPr>
          <w:lang w:val="bg-BG"/>
        </w:rPr>
        <w:t xml:space="preserve">мъртните случаи от събитията в гр. Вилнюс на 12 и </w:t>
      </w:r>
      <w:r w:rsidR="00956EA0">
        <w:rPr>
          <w:lang w:val="bg-BG"/>
        </w:rPr>
        <w:t>13 януари 1991 г.</w:t>
      </w:r>
      <w:r w:rsidR="0009191E">
        <w:rPr>
          <w:lang w:val="bg-BG"/>
        </w:rPr>
        <w:t xml:space="preserve"> Според </w:t>
      </w:r>
      <w:r w:rsidR="00A25B47">
        <w:rPr>
          <w:lang w:val="bg-BG"/>
        </w:rPr>
        <w:t>Правителството</w:t>
      </w:r>
      <w:r w:rsidR="00B25071">
        <w:rPr>
          <w:lang w:val="bg-BG"/>
        </w:rPr>
        <w:t>-</w:t>
      </w:r>
      <w:r w:rsidR="00D07B0E">
        <w:rPr>
          <w:lang w:val="bg-BG"/>
        </w:rPr>
        <w:t>ответник</w:t>
      </w:r>
      <w:r w:rsidR="00B25071">
        <w:rPr>
          <w:lang w:val="bg-BG"/>
        </w:rPr>
        <w:t>,</w:t>
      </w:r>
      <w:r w:rsidR="00D07B0E">
        <w:rPr>
          <w:lang w:val="bg-BG"/>
        </w:rPr>
        <w:t xml:space="preserve"> КПСС има пряка вина за смъртните случаи, тъй като упражнява пълен и ефективен контрол над съветските войски. </w:t>
      </w:r>
      <w:r w:rsidR="00354C6E">
        <w:rPr>
          <w:lang w:val="bg-BG"/>
        </w:rPr>
        <w:t>Жалбоподателката</w:t>
      </w:r>
      <w:r w:rsidR="00D07B0E">
        <w:rPr>
          <w:lang w:val="bg-BG"/>
        </w:rPr>
        <w:t xml:space="preserve"> оспорва вер</w:t>
      </w:r>
      <w:r w:rsidR="0009191E">
        <w:rPr>
          <w:lang w:val="bg-BG"/>
        </w:rPr>
        <w:t xml:space="preserve">сията на </w:t>
      </w:r>
      <w:r w:rsidR="00A25B47">
        <w:rPr>
          <w:lang w:val="bg-BG"/>
        </w:rPr>
        <w:t>Правителството</w:t>
      </w:r>
      <w:r w:rsidR="00D07B0E">
        <w:rPr>
          <w:lang w:val="bg-BG"/>
        </w:rPr>
        <w:t>,</w:t>
      </w:r>
      <w:r w:rsidR="00D4421B">
        <w:rPr>
          <w:lang w:val="bg-BG"/>
        </w:rPr>
        <w:t xml:space="preserve"> като посочва, че агресията на С</w:t>
      </w:r>
      <w:r w:rsidR="0009191E">
        <w:rPr>
          <w:lang w:val="bg-BG"/>
        </w:rPr>
        <w:t xml:space="preserve">ъветската армия срещу </w:t>
      </w:r>
      <w:r w:rsidR="005746E8">
        <w:rPr>
          <w:lang w:val="bg-BG"/>
        </w:rPr>
        <w:t>п</w:t>
      </w:r>
      <w:r w:rsidR="00A25B47">
        <w:rPr>
          <w:lang w:val="bg-BG"/>
        </w:rPr>
        <w:t>равителството</w:t>
      </w:r>
      <w:r w:rsidR="00D07B0E">
        <w:rPr>
          <w:lang w:val="bg-BG"/>
        </w:rPr>
        <w:t xml:space="preserve"> и народа на Литва не е доказан факт; </w:t>
      </w:r>
      <w:r w:rsidR="005746E8">
        <w:rPr>
          <w:lang w:val="bg-BG"/>
        </w:rPr>
        <w:t>в тази връзка жалбоподателката</w:t>
      </w:r>
      <w:r w:rsidR="00D4421B">
        <w:rPr>
          <w:lang w:val="bg-BG"/>
        </w:rPr>
        <w:t xml:space="preserve"> представя копие от статия в руски вестник, в която се твърди, че самите поддръжници на литовската независимост са стреляли в тълпата с цел да дискредитират Съветската армия.</w:t>
      </w:r>
    </w:p>
    <w:p w:rsidR="005911E9" w:rsidRPr="00945ED6" w:rsidRDefault="005D3E62" w:rsidP="00B8206D">
      <w:pPr>
        <w:pStyle w:val="JuPara"/>
        <w:rPr>
          <w:lang w:val="bg-BG"/>
        </w:rPr>
      </w:pPr>
      <w:r w:rsidRPr="00E17978">
        <w:fldChar w:fldCharType="begin"/>
      </w:r>
      <w:r w:rsidR="00004FFA" w:rsidRPr="00945ED6">
        <w:rPr>
          <w:lang w:val="bg-BG"/>
        </w:rPr>
        <w:instrText xml:space="preserve"> </w:instrText>
      </w:r>
      <w:r w:rsidR="00004FFA" w:rsidRPr="00BB4F95">
        <w:rPr>
          <w:lang w:val="en-GB"/>
        </w:rPr>
        <w:instrText>SEQ</w:instrText>
      </w:r>
      <w:r w:rsidR="00004FFA" w:rsidRPr="00945ED6">
        <w:rPr>
          <w:lang w:val="bg-BG"/>
        </w:rPr>
        <w:instrText xml:space="preserve"> </w:instrText>
      </w:r>
      <w:r w:rsidR="00004FFA" w:rsidRPr="00BB4F95">
        <w:rPr>
          <w:lang w:val="en-GB"/>
        </w:rPr>
        <w:instrText>level</w:instrText>
      </w:r>
      <w:r w:rsidR="00004FFA" w:rsidRPr="00945ED6">
        <w:rPr>
          <w:lang w:val="bg-BG"/>
        </w:rPr>
        <w:instrText>0 \*</w:instrText>
      </w:r>
      <w:r w:rsidR="00004FFA" w:rsidRPr="00BB4F95">
        <w:rPr>
          <w:lang w:val="en-GB"/>
        </w:rPr>
        <w:instrText>arabic</w:instrText>
      </w:r>
      <w:r w:rsidR="00004FFA" w:rsidRPr="00945ED6">
        <w:rPr>
          <w:lang w:val="bg-BG"/>
        </w:rPr>
        <w:instrText xml:space="preserve"> </w:instrText>
      </w:r>
      <w:r w:rsidRPr="00E17978">
        <w:fldChar w:fldCharType="separate"/>
      </w:r>
      <w:r w:rsidR="00955550" w:rsidRPr="00945ED6">
        <w:rPr>
          <w:noProof/>
          <w:lang w:val="bg-BG"/>
        </w:rPr>
        <w:t>22</w:t>
      </w:r>
      <w:r w:rsidRPr="00E17978">
        <w:fldChar w:fldCharType="end"/>
      </w:r>
      <w:r w:rsidR="00004FFA" w:rsidRPr="00945ED6">
        <w:rPr>
          <w:lang w:val="bg-BG"/>
        </w:rPr>
        <w:t>.</w:t>
      </w:r>
      <w:r w:rsidR="00004FFA" w:rsidRPr="00BB4F95">
        <w:rPr>
          <w:lang w:val="en-GB"/>
        </w:rPr>
        <w:t>  </w:t>
      </w:r>
      <w:r w:rsidR="005746E8">
        <w:rPr>
          <w:lang w:val="bg-BG"/>
        </w:rPr>
        <w:t>В същото време</w:t>
      </w:r>
      <w:r w:rsidR="00D4421B">
        <w:rPr>
          <w:lang w:val="bg-BG"/>
        </w:rPr>
        <w:t xml:space="preserve"> в Латвия започва опит за преврат. На 13 януари 1991 г. пленумът на Централния комитет на ЛКП </w:t>
      </w:r>
      <w:r w:rsidR="0009191E">
        <w:rPr>
          <w:lang w:val="bg-BG"/>
        </w:rPr>
        <w:t>призовава Л</w:t>
      </w:r>
      <w:r w:rsidR="00D4421B">
        <w:rPr>
          <w:lang w:val="bg-BG"/>
        </w:rPr>
        <w:t xml:space="preserve">атвийското </w:t>
      </w:r>
      <w:r w:rsidR="005746E8">
        <w:rPr>
          <w:lang w:val="bg-BG"/>
        </w:rPr>
        <w:t>п</w:t>
      </w:r>
      <w:r w:rsidR="00A25B47">
        <w:rPr>
          <w:lang w:val="bg-BG"/>
        </w:rPr>
        <w:t>равителство</w:t>
      </w:r>
      <w:r w:rsidR="00D4421B">
        <w:rPr>
          <w:lang w:val="bg-BG"/>
        </w:rPr>
        <w:t xml:space="preserve"> да подаде оставка, </w:t>
      </w:r>
      <w:r w:rsidR="00443701">
        <w:rPr>
          <w:lang w:val="bg-BG"/>
        </w:rPr>
        <w:t>Върховният съвет</w:t>
      </w:r>
      <w:r w:rsidR="005746E8">
        <w:rPr>
          <w:lang w:val="bg-BG"/>
        </w:rPr>
        <w:t xml:space="preserve"> да бъде разпуснат</w:t>
      </w:r>
      <w:r w:rsidR="00D4421B">
        <w:rPr>
          <w:lang w:val="bg-BG"/>
        </w:rPr>
        <w:t xml:space="preserve"> и </w:t>
      </w:r>
      <w:r w:rsidR="008E499F">
        <w:rPr>
          <w:lang w:val="bg-BG"/>
        </w:rPr>
        <w:t xml:space="preserve">да се дадат пълни правомощия на Латвийския комитет за обществено спасение </w:t>
      </w:r>
      <w:r w:rsidR="008E499F" w:rsidRPr="00945ED6">
        <w:rPr>
          <w:lang w:val="bg-BG"/>
        </w:rPr>
        <w:t>(</w:t>
      </w:r>
      <w:r w:rsidR="008E499F" w:rsidRPr="00BB4F95">
        <w:rPr>
          <w:i/>
          <w:iCs/>
          <w:lang w:val="en-GB"/>
        </w:rPr>
        <w:t>Vislatvijas</w:t>
      </w:r>
      <w:r w:rsidR="008E499F" w:rsidRPr="00945ED6">
        <w:rPr>
          <w:i/>
          <w:iCs/>
          <w:lang w:val="bg-BG"/>
        </w:rPr>
        <w:t xml:space="preserve"> </w:t>
      </w:r>
      <w:r w:rsidR="008E499F" w:rsidRPr="00BB4F95">
        <w:rPr>
          <w:i/>
          <w:iCs/>
          <w:lang w:val="en-GB"/>
        </w:rPr>
        <w:t>Sabiedrisk</w:t>
      </w:r>
      <w:r w:rsidR="008E499F" w:rsidRPr="00945ED6">
        <w:rPr>
          <w:i/>
          <w:iCs/>
          <w:lang w:val="bg-BG"/>
        </w:rPr>
        <w:t>ā</w:t>
      </w:r>
      <w:r w:rsidR="008E499F" w:rsidRPr="00BB4F95">
        <w:rPr>
          <w:i/>
          <w:iCs/>
          <w:lang w:val="en-GB"/>
        </w:rPr>
        <w:t>s</w:t>
      </w:r>
      <w:r w:rsidR="008E499F" w:rsidRPr="00945ED6">
        <w:rPr>
          <w:i/>
          <w:iCs/>
          <w:lang w:val="bg-BG"/>
        </w:rPr>
        <w:t xml:space="preserve"> </w:t>
      </w:r>
      <w:r w:rsidR="008E499F" w:rsidRPr="00BB4F95">
        <w:rPr>
          <w:i/>
          <w:iCs/>
          <w:lang w:val="en-GB"/>
        </w:rPr>
        <w:t>gl</w:t>
      </w:r>
      <w:r w:rsidR="008E499F" w:rsidRPr="00945ED6">
        <w:rPr>
          <w:i/>
          <w:iCs/>
          <w:lang w:val="bg-BG"/>
        </w:rPr>
        <w:t>ā</w:t>
      </w:r>
      <w:r w:rsidR="008E499F" w:rsidRPr="00BB4F95">
        <w:rPr>
          <w:i/>
          <w:iCs/>
          <w:lang w:val="en-GB"/>
        </w:rPr>
        <w:t>b</w:t>
      </w:r>
      <w:r w:rsidR="008E499F" w:rsidRPr="00945ED6">
        <w:rPr>
          <w:i/>
          <w:iCs/>
          <w:lang w:val="bg-BG"/>
        </w:rPr>
        <w:t>š</w:t>
      </w:r>
      <w:r w:rsidR="008E499F" w:rsidRPr="00BB4F95">
        <w:rPr>
          <w:i/>
          <w:iCs/>
          <w:lang w:val="en-GB"/>
        </w:rPr>
        <w:t>anas</w:t>
      </w:r>
      <w:r w:rsidR="008E499F" w:rsidRPr="00945ED6">
        <w:rPr>
          <w:i/>
          <w:iCs/>
          <w:lang w:val="bg-BG"/>
        </w:rPr>
        <w:t xml:space="preserve"> </w:t>
      </w:r>
      <w:r w:rsidR="008E499F" w:rsidRPr="00BB4F95">
        <w:rPr>
          <w:i/>
          <w:iCs/>
          <w:lang w:val="en-GB"/>
        </w:rPr>
        <w:t>komiteja</w:t>
      </w:r>
      <w:r w:rsidR="008E499F" w:rsidRPr="00945ED6">
        <w:rPr>
          <w:lang w:val="bg-BG"/>
        </w:rPr>
        <w:t>)</w:t>
      </w:r>
      <w:r w:rsidR="008E499F">
        <w:rPr>
          <w:lang w:val="bg-BG"/>
        </w:rPr>
        <w:t xml:space="preserve">, създаден на същата дата от няколко организации, включително ЛКП. На 15 януари 1991 г. въпросният комитет съобщава, че </w:t>
      </w:r>
      <w:r w:rsidR="00443701">
        <w:rPr>
          <w:lang w:val="bg-BG"/>
        </w:rPr>
        <w:t>Върховният съвет</w:t>
      </w:r>
      <w:r w:rsidR="0009191E">
        <w:rPr>
          <w:lang w:val="bg-BG"/>
        </w:rPr>
        <w:t xml:space="preserve"> и </w:t>
      </w:r>
      <w:r w:rsidR="00A25B47">
        <w:rPr>
          <w:lang w:val="bg-BG"/>
        </w:rPr>
        <w:t>Правителството</w:t>
      </w:r>
      <w:r w:rsidR="008E499F">
        <w:rPr>
          <w:lang w:val="bg-BG"/>
        </w:rPr>
        <w:t xml:space="preserve"> се лишават от правомощия и обявява, че поема пълната власт. Опитът за преврат се проваля, </w:t>
      </w:r>
      <w:r w:rsidR="00A534DF" w:rsidRPr="00530E30">
        <w:rPr>
          <w:lang w:val="bg-BG"/>
        </w:rPr>
        <w:t>след</w:t>
      </w:r>
      <w:r w:rsidR="00A534DF">
        <w:rPr>
          <w:lang w:val="bg-BG"/>
        </w:rPr>
        <w:t xml:space="preserve"> </w:t>
      </w:r>
      <w:r w:rsidR="008E499F">
        <w:rPr>
          <w:lang w:val="bg-BG"/>
        </w:rPr>
        <w:t xml:space="preserve">като причинява смъртта на петима цивилни граждани, а други 34 души са ранени по време на въоръжените сблъсъци в </w:t>
      </w:r>
      <w:r w:rsidR="005746E8">
        <w:rPr>
          <w:lang w:val="bg-BG"/>
        </w:rPr>
        <w:t xml:space="preserve">гр. </w:t>
      </w:r>
      <w:r w:rsidR="008E499F">
        <w:rPr>
          <w:lang w:val="bg-BG"/>
        </w:rPr>
        <w:t>Рига.</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23</w:t>
      </w:r>
      <w:r w:rsidRPr="00E17978">
        <w:fldChar w:fldCharType="end"/>
      </w:r>
      <w:r w:rsidR="005911E9" w:rsidRPr="00945ED6">
        <w:rPr>
          <w:lang w:val="bg-BG"/>
        </w:rPr>
        <w:t>.</w:t>
      </w:r>
      <w:r w:rsidR="005911E9" w:rsidRPr="00BB4F95">
        <w:rPr>
          <w:lang w:val="en-GB"/>
        </w:rPr>
        <w:t>  </w:t>
      </w:r>
      <w:r w:rsidR="0009191E">
        <w:rPr>
          <w:lang w:val="bg-BG"/>
        </w:rPr>
        <w:t xml:space="preserve">Според </w:t>
      </w:r>
      <w:r w:rsidR="00A25B47">
        <w:rPr>
          <w:lang w:val="bg-BG"/>
        </w:rPr>
        <w:t>Правителството</w:t>
      </w:r>
      <w:r w:rsidR="00B25071">
        <w:rPr>
          <w:lang w:val="bg-BG"/>
        </w:rPr>
        <w:t>-</w:t>
      </w:r>
      <w:r w:rsidR="0009191E">
        <w:rPr>
          <w:lang w:val="bg-BG"/>
        </w:rPr>
        <w:t>ответник е съвсем ясно, че опитът за преврат в Латвия е започнат от ЛКП в контекста на съ</w:t>
      </w:r>
      <w:r w:rsidR="005746E8">
        <w:rPr>
          <w:lang w:val="bg-BG"/>
        </w:rPr>
        <w:t>битията в гр.</w:t>
      </w:r>
      <w:r w:rsidR="0009191E">
        <w:rPr>
          <w:lang w:val="bg-BG"/>
        </w:rPr>
        <w:t xml:space="preserve"> Вилнюс, с надеждата, че съветските войски ще нахлуят и в </w:t>
      </w:r>
      <w:r w:rsidR="005746E8">
        <w:rPr>
          <w:lang w:val="bg-BG"/>
        </w:rPr>
        <w:t xml:space="preserve">гр. </w:t>
      </w:r>
      <w:r w:rsidR="0009191E">
        <w:rPr>
          <w:lang w:val="bg-BG"/>
        </w:rPr>
        <w:t>Рига, за да подкрепят просъветския преврат.</w:t>
      </w:r>
      <w:r w:rsidR="0079292E">
        <w:rPr>
          <w:lang w:val="bg-BG"/>
        </w:rPr>
        <w:t xml:space="preserve"> </w:t>
      </w:r>
      <w:r w:rsidR="00354C6E">
        <w:rPr>
          <w:lang w:val="bg-BG"/>
        </w:rPr>
        <w:t>Жалбоподателката</w:t>
      </w:r>
      <w:r w:rsidR="0079292E">
        <w:rPr>
          <w:lang w:val="bg-BG"/>
        </w:rPr>
        <w:t xml:space="preserve"> твърди,</w:t>
      </w:r>
      <w:r w:rsidR="00320125">
        <w:rPr>
          <w:lang w:val="bg-BG"/>
        </w:rPr>
        <w:t xml:space="preserve"> че по времето на неуспешния преврат</w:t>
      </w:r>
      <w:r w:rsidR="0079292E">
        <w:rPr>
          <w:lang w:val="bg-BG"/>
        </w:rPr>
        <w:t xml:space="preserve"> в Латвия са се състояли серия обществени демонстрации в знак на протест срещу повишаването на цените на х</w:t>
      </w:r>
      <w:r w:rsidR="005746E8">
        <w:rPr>
          <w:lang w:val="bg-BG"/>
        </w:rPr>
        <w:t>ранителните стоки, въведено от л</w:t>
      </w:r>
      <w:r w:rsidR="0079292E">
        <w:rPr>
          <w:lang w:val="bg-BG"/>
        </w:rPr>
        <w:t xml:space="preserve">атвийското </w:t>
      </w:r>
      <w:r w:rsidR="005746E8">
        <w:rPr>
          <w:lang w:val="bg-BG"/>
        </w:rPr>
        <w:t>п</w:t>
      </w:r>
      <w:r w:rsidR="00A25B47">
        <w:rPr>
          <w:lang w:val="bg-BG"/>
        </w:rPr>
        <w:t>равителство</w:t>
      </w:r>
      <w:r w:rsidR="005746E8">
        <w:rPr>
          <w:lang w:val="bg-BG"/>
        </w:rPr>
        <w:t xml:space="preserve">; </w:t>
      </w:r>
      <w:r w:rsidR="005746E8">
        <w:rPr>
          <w:lang w:val="bg-BG"/>
        </w:rPr>
        <w:lastRenderedPageBreak/>
        <w:t>според жалбоподателката</w:t>
      </w:r>
      <w:r w:rsidR="0079292E">
        <w:rPr>
          <w:lang w:val="bg-BG"/>
        </w:rPr>
        <w:t xml:space="preserve"> тези демонстрации са основна причина за събитията от януари 1991 г. </w:t>
      </w:r>
      <w:r w:rsidR="00354C6E">
        <w:rPr>
          <w:lang w:val="bg-BG"/>
        </w:rPr>
        <w:t>Жалбоподателката</w:t>
      </w:r>
      <w:r w:rsidR="0079292E">
        <w:rPr>
          <w:lang w:val="bg-BG"/>
        </w:rPr>
        <w:t xml:space="preserve"> подчертава</w:t>
      </w:r>
      <w:r w:rsidR="00320125">
        <w:rPr>
          <w:lang w:val="bg-BG"/>
        </w:rPr>
        <w:t xml:space="preserve"> също така, че в </w:t>
      </w:r>
      <w:r w:rsidR="0079292E">
        <w:rPr>
          <w:lang w:val="bg-BG"/>
        </w:rPr>
        <w:t>изявления</w:t>
      </w:r>
      <w:r w:rsidR="00320125">
        <w:rPr>
          <w:lang w:val="bg-BG"/>
        </w:rPr>
        <w:t>та си</w:t>
      </w:r>
      <w:r w:rsidR="0079292E">
        <w:rPr>
          <w:lang w:val="bg-BG"/>
        </w:rPr>
        <w:t xml:space="preserve"> от 13</w:t>
      </w:r>
      <w:r w:rsidR="00320125">
        <w:rPr>
          <w:lang w:val="bg-BG"/>
        </w:rPr>
        <w:t xml:space="preserve"> и 15 януари 1991 г.</w:t>
      </w:r>
      <w:r w:rsidR="0079292E">
        <w:rPr>
          <w:lang w:val="bg-BG"/>
        </w:rPr>
        <w:t xml:space="preserve"> пленумът на Централния комитет на ЛКП и Латвийския</w:t>
      </w:r>
      <w:r w:rsidR="00320125">
        <w:rPr>
          <w:lang w:val="bg-BG"/>
        </w:rPr>
        <w:t>т</w:t>
      </w:r>
      <w:r w:rsidR="0079292E">
        <w:rPr>
          <w:lang w:val="bg-BG"/>
        </w:rPr>
        <w:t xml:space="preserve"> комитет за обществено спасение</w:t>
      </w:r>
      <w:r w:rsidR="00270727">
        <w:rPr>
          <w:lang w:val="bg-BG"/>
        </w:rPr>
        <w:t xml:space="preserve"> не просто изисква</w:t>
      </w:r>
      <w:r w:rsidR="00320125">
        <w:rPr>
          <w:lang w:val="bg-BG"/>
        </w:rPr>
        <w:t>т</w:t>
      </w:r>
      <w:r w:rsidR="00270727">
        <w:rPr>
          <w:lang w:val="bg-BG"/>
        </w:rPr>
        <w:t xml:space="preserve"> и обявява</w:t>
      </w:r>
      <w:r w:rsidR="00320125">
        <w:rPr>
          <w:lang w:val="bg-BG"/>
        </w:rPr>
        <w:t>т разпускането</w:t>
      </w:r>
      <w:r w:rsidR="00270727">
        <w:rPr>
          <w:lang w:val="bg-BG"/>
        </w:rPr>
        <w:t xml:space="preserve"> на латвийските власти, но и заявява</w:t>
      </w:r>
      <w:r w:rsidR="00320125">
        <w:rPr>
          <w:lang w:val="bg-BG"/>
        </w:rPr>
        <w:t>т</w:t>
      </w:r>
      <w:r w:rsidR="00270727">
        <w:rPr>
          <w:lang w:val="bg-BG"/>
        </w:rPr>
        <w:t xml:space="preserve">, че ще се проведат предсрочни избори за </w:t>
      </w:r>
      <w:r w:rsidR="00320125">
        <w:rPr>
          <w:lang w:val="bg-BG"/>
        </w:rPr>
        <w:t>Върховен</w:t>
      </w:r>
      <w:r w:rsidR="00443701">
        <w:rPr>
          <w:lang w:val="bg-BG"/>
        </w:rPr>
        <w:t xml:space="preserve"> съвет</w:t>
      </w:r>
      <w:r w:rsidR="00270727">
        <w:rPr>
          <w:lang w:val="bg-BG"/>
        </w:rPr>
        <w:t>.</w:t>
      </w:r>
      <w:r w:rsidR="0079292E">
        <w:rPr>
          <w:lang w:val="bg-BG"/>
        </w:rPr>
        <w:t xml:space="preserve">   </w:t>
      </w:r>
      <w:r w:rsidR="0009191E">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24</w:t>
      </w:r>
      <w:r w:rsidRPr="00E17978">
        <w:fldChar w:fldCharType="end"/>
      </w:r>
      <w:r w:rsidR="005911E9" w:rsidRPr="00945ED6">
        <w:rPr>
          <w:lang w:val="bg-BG"/>
        </w:rPr>
        <w:t>.</w:t>
      </w:r>
      <w:r w:rsidR="005911E9" w:rsidRPr="00BB4F95">
        <w:rPr>
          <w:lang w:val="en-GB"/>
        </w:rPr>
        <w:t>  </w:t>
      </w:r>
      <w:r w:rsidR="00270727">
        <w:rPr>
          <w:lang w:val="bg-BG"/>
        </w:rPr>
        <w:t xml:space="preserve">На 3 март 1991 г. на територията на Латвия се провежда национален референдум. Избирателите трябва да отговорят на въпрос, формулиран по следния начин: „Подкрепяте ли идеята за демократична и политически независима </w:t>
      </w:r>
      <w:r w:rsidR="00013D7D">
        <w:rPr>
          <w:lang w:val="bg-BG"/>
        </w:rPr>
        <w:t>Република Латвия</w:t>
      </w:r>
      <w:r w:rsidR="00270727">
        <w:rPr>
          <w:lang w:val="bg-BG"/>
        </w:rPr>
        <w:t>?</w:t>
      </w:r>
      <w:r w:rsidR="00F67CDC">
        <w:rPr>
          <w:lang w:val="bg-BG"/>
        </w:rPr>
        <w:t>”</w:t>
      </w:r>
      <w:r w:rsidR="00270727">
        <w:rPr>
          <w:lang w:val="bg-BG"/>
        </w:rPr>
        <w:t xml:space="preserve">. Според данни, предоставени от </w:t>
      </w:r>
      <w:r w:rsidR="00A25B47">
        <w:rPr>
          <w:lang w:val="bg-BG"/>
        </w:rPr>
        <w:t>Правителството</w:t>
      </w:r>
      <w:r w:rsidR="00270727">
        <w:rPr>
          <w:lang w:val="bg-BG"/>
        </w:rPr>
        <w:t xml:space="preserve">, </w:t>
      </w:r>
      <w:r w:rsidR="00437685">
        <w:rPr>
          <w:lang w:val="bg-BG"/>
        </w:rPr>
        <w:t xml:space="preserve">гласуват </w:t>
      </w:r>
      <w:r w:rsidR="00270727">
        <w:rPr>
          <w:lang w:val="bg-BG"/>
        </w:rPr>
        <w:t>87,5% от всички регистрирани в избирателните списъци граждани</w:t>
      </w:r>
      <w:r w:rsidR="00437685">
        <w:rPr>
          <w:lang w:val="bg-BG"/>
        </w:rPr>
        <w:t xml:space="preserve">, като 73,6% от тях отговарят положително. Според </w:t>
      </w:r>
      <w:r w:rsidR="00A25B47">
        <w:rPr>
          <w:lang w:val="bg-BG"/>
        </w:rPr>
        <w:t>Правителството</w:t>
      </w:r>
      <w:r w:rsidR="008F583D">
        <w:rPr>
          <w:lang w:val="bg-BG"/>
        </w:rPr>
        <w:t xml:space="preserve"> става въпрос за легитимен</w:t>
      </w:r>
      <w:r w:rsidR="00437685">
        <w:rPr>
          <w:lang w:val="bg-BG"/>
        </w:rPr>
        <w:t xml:space="preserve"> национален референдум, който потвърждава, че преобладаващото мнозинство от латвийското население подкрепя идеята за национална независимост. </w:t>
      </w:r>
      <w:r w:rsidR="00354C6E">
        <w:rPr>
          <w:lang w:val="bg-BG"/>
        </w:rPr>
        <w:t>Жалбоподателката</w:t>
      </w:r>
      <w:r w:rsidR="008F583D">
        <w:rPr>
          <w:lang w:val="bg-BG"/>
        </w:rPr>
        <w:t xml:space="preserve"> твърди, че </w:t>
      </w:r>
      <w:r w:rsidR="00437685">
        <w:rPr>
          <w:lang w:val="bg-BG"/>
        </w:rPr>
        <w:t>е</w:t>
      </w:r>
      <w:r w:rsidR="008F583D">
        <w:rPr>
          <w:lang w:val="bg-BG"/>
        </w:rPr>
        <w:t xml:space="preserve"> бил осъществен</w:t>
      </w:r>
      <w:r w:rsidR="00437685">
        <w:rPr>
          <w:lang w:val="bg-BG"/>
        </w:rPr>
        <w:t xml:space="preserve"> обикновен консултативен вот</w:t>
      </w:r>
      <w:r w:rsidR="007730B8">
        <w:rPr>
          <w:lang w:val="bg-BG"/>
        </w:rPr>
        <w:t xml:space="preserve">, оспорва </w:t>
      </w:r>
      <w:r w:rsidR="008F583D">
        <w:rPr>
          <w:lang w:val="bg-BG"/>
        </w:rPr>
        <w:t xml:space="preserve">истинността на </w:t>
      </w:r>
      <w:r w:rsidR="007730B8">
        <w:rPr>
          <w:lang w:val="bg-BG"/>
        </w:rPr>
        <w:t>гореописаната избирателна активност, оттам и с</w:t>
      </w:r>
      <w:r w:rsidR="008F583D">
        <w:rPr>
          <w:lang w:val="bg-BG"/>
        </w:rPr>
        <w:t>а</w:t>
      </w:r>
      <w:r w:rsidR="007730B8">
        <w:rPr>
          <w:lang w:val="bg-BG"/>
        </w:rPr>
        <w:t>мата легитимност на референдума.</w:t>
      </w:r>
      <w:r w:rsidR="00437685">
        <w:rPr>
          <w:lang w:val="bg-BG"/>
        </w:rPr>
        <w:t xml:space="preserve">   </w:t>
      </w:r>
      <w:r w:rsidR="00270727">
        <w:rPr>
          <w:lang w:val="bg-BG"/>
        </w:rPr>
        <w:t xml:space="preserve">   </w:t>
      </w:r>
    </w:p>
    <w:p w:rsidR="005911E9" w:rsidRPr="00945ED6" w:rsidRDefault="005911E9" w:rsidP="005911E9">
      <w:pPr>
        <w:pStyle w:val="JuH1"/>
        <w:rPr>
          <w:lang w:val="bg-BG"/>
        </w:rPr>
      </w:pPr>
      <w:r w:rsidRPr="00945ED6">
        <w:rPr>
          <w:lang w:val="bg-BG"/>
        </w:rPr>
        <w:t>4.</w:t>
      </w:r>
      <w:r w:rsidRPr="00E17978">
        <w:t>  </w:t>
      </w:r>
      <w:r w:rsidR="007730B8">
        <w:rPr>
          <w:lang w:val="bg-BG"/>
        </w:rPr>
        <w:t>Съби</w:t>
      </w:r>
      <w:r w:rsidR="008F583D">
        <w:rPr>
          <w:lang w:val="bg-BG"/>
        </w:rPr>
        <w:t>тията от а</w:t>
      </w:r>
      <w:r w:rsidR="007730B8">
        <w:rPr>
          <w:lang w:val="bg-BG"/>
        </w:rPr>
        <w:t xml:space="preserve">вгуст и септември 1991 г.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25</w:t>
      </w:r>
      <w:r w:rsidRPr="00E17978">
        <w:fldChar w:fldCharType="end"/>
      </w:r>
      <w:r w:rsidR="005911E9" w:rsidRPr="00945ED6">
        <w:rPr>
          <w:lang w:val="bg-BG"/>
        </w:rPr>
        <w:t>.</w:t>
      </w:r>
      <w:r w:rsidR="005911E9" w:rsidRPr="00BB4F95">
        <w:rPr>
          <w:lang w:val="en-GB"/>
        </w:rPr>
        <w:t>  </w:t>
      </w:r>
      <w:r w:rsidR="007730B8">
        <w:rPr>
          <w:lang w:val="bg-BG"/>
        </w:rPr>
        <w:t xml:space="preserve">На 19 август 1991 г. в Москва е извършен опит за преврат. </w:t>
      </w:r>
      <w:r w:rsidR="0073505D">
        <w:rPr>
          <w:lang w:val="bg-BG"/>
        </w:rPr>
        <w:t>Самопровъзгласилият се „Държавен комитет за извънредно положение</w:t>
      </w:r>
      <w:r w:rsidR="00F67CDC">
        <w:rPr>
          <w:lang w:val="bg-BG"/>
        </w:rPr>
        <w:t>”</w:t>
      </w:r>
      <w:r w:rsidR="0073505D">
        <w:rPr>
          <w:lang w:val="bg-BG"/>
        </w:rPr>
        <w:t xml:space="preserve"> съобщава, че г-н Горбачов, президент на СССР, </w:t>
      </w:r>
      <w:r w:rsidR="00C92C12">
        <w:rPr>
          <w:lang w:val="bg-BG"/>
        </w:rPr>
        <w:t xml:space="preserve">е отстранен от </w:t>
      </w:r>
      <w:r w:rsidR="003A7717">
        <w:rPr>
          <w:lang w:val="bg-BG"/>
        </w:rPr>
        <w:t xml:space="preserve">длъжност. Комитетът се </w:t>
      </w:r>
      <w:r w:rsidR="00975B03">
        <w:rPr>
          <w:lang w:val="bg-BG"/>
        </w:rPr>
        <w:t>само</w:t>
      </w:r>
      <w:r w:rsidR="003A7717">
        <w:rPr>
          <w:lang w:val="bg-BG"/>
        </w:rPr>
        <w:t>обявява за единствена управляваща власт и налага извънредно положение „в някои райони на СССР</w:t>
      </w:r>
      <w:r w:rsidR="00F67CDC">
        <w:rPr>
          <w:lang w:val="bg-BG"/>
        </w:rPr>
        <w:t>”</w:t>
      </w:r>
      <w:r w:rsidR="003A7717">
        <w:rPr>
          <w:lang w:val="bg-BG"/>
        </w:rPr>
        <w:t>.</w:t>
      </w:r>
      <w:r w:rsidR="0073505D">
        <w:rPr>
          <w:lang w:val="bg-BG"/>
        </w:rPr>
        <w:t xml:space="preserve"> </w:t>
      </w:r>
    </w:p>
    <w:p w:rsidR="005911E9" w:rsidRPr="00CE4C18" w:rsidRDefault="005D3E62" w:rsidP="00CE4C18">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26</w:t>
      </w:r>
      <w:r w:rsidRPr="00E17978">
        <w:fldChar w:fldCharType="end"/>
      </w:r>
      <w:r w:rsidR="008118AE" w:rsidRPr="00945ED6">
        <w:rPr>
          <w:lang w:val="bg-BG"/>
        </w:rPr>
        <w:t>. В</w:t>
      </w:r>
      <w:r w:rsidR="003A7717">
        <w:rPr>
          <w:lang w:val="bg-BG"/>
        </w:rPr>
        <w:t xml:space="preserve"> същия ден Централният комитет и Комитетът в Рига на ЛКП </w:t>
      </w:r>
      <w:r w:rsidR="009D118C">
        <w:rPr>
          <w:lang w:val="bg-BG"/>
        </w:rPr>
        <w:t>заявяват своята подкрепа за</w:t>
      </w:r>
      <w:r w:rsidR="003A7717">
        <w:rPr>
          <w:lang w:val="bg-BG"/>
        </w:rPr>
        <w:t xml:space="preserve"> Държавния комитет за извънредно положение и създават „оперативна група</w:t>
      </w:r>
      <w:r w:rsidR="00F67CDC">
        <w:rPr>
          <w:lang w:val="bg-BG"/>
        </w:rPr>
        <w:t>”</w:t>
      </w:r>
      <w:r w:rsidR="003A7717">
        <w:rPr>
          <w:lang w:val="bg-BG"/>
        </w:rPr>
        <w:t>, която да му оказ</w:t>
      </w:r>
      <w:r w:rsidR="00CE4C18">
        <w:rPr>
          <w:lang w:val="bg-BG"/>
        </w:rPr>
        <w:t xml:space="preserve">ва помощ. Според </w:t>
      </w:r>
      <w:r w:rsidR="00A25B47">
        <w:rPr>
          <w:lang w:val="bg-BG"/>
        </w:rPr>
        <w:t>Правителството</w:t>
      </w:r>
      <w:r w:rsidR="008833AD">
        <w:rPr>
          <w:lang w:val="bg-BG"/>
        </w:rPr>
        <w:t>,</w:t>
      </w:r>
      <w:r w:rsidR="003A7717">
        <w:rPr>
          <w:lang w:val="bg-BG"/>
        </w:rPr>
        <w:t xml:space="preserve"> на 20 август 1991 г. ЛКП, </w:t>
      </w:r>
      <w:r w:rsidR="00A25B47">
        <w:rPr>
          <w:lang w:val="bg-BG"/>
        </w:rPr>
        <w:t>Парламента</w:t>
      </w:r>
      <w:r w:rsidR="003A7717">
        <w:rPr>
          <w:lang w:val="bg-BG"/>
        </w:rPr>
        <w:t xml:space="preserve">рният блок </w:t>
      </w:r>
      <w:r w:rsidR="003A7717" w:rsidRPr="00BB4F95">
        <w:rPr>
          <w:i/>
          <w:iCs/>
          <w:lang w:val="en-GB"/>
        </w:rPr>
        <w:t>L</w:t>
      </w:r>
      <w:r w:rsidR="003A7717" w:rsidRPr="00945ED6">
        <w:rPr>
          <w:i/>
          <w:iCs/>
          <w:lang w:val="bg-BG"/>
        </w:rPr>
        <w:t>ī</w:t>
      </w:r>
      <w:r w:rsidR="003A7717" w:rsidRPr="00BB4F95">
        <w:rPr>
          <w:i/>
          <w:iCs/>
          <w:lang w:val="en-GB"/>
        </w:rPr>
        <w:t>dzties</w:t>
      </w:r>
      <w:r w:rsidR="003A7717" w:rsidRPr="00945ED6">
        <w:rPr>
          <w:i/>
          <w:iCs/>
          <w:lang w:val="bg-BG"/>
        </w:rPr>
        <w:t>ī</w:t>
      </w:r>
      <w:r w:rsidR="003A7717" w:rsidRPr="00BB4F95">
        <w:rPr>
          <w:i/>
          <w:iCs/>
          <w:lang w:val="en-GB"/>
        </w:rPr>
        <w:t>ba</w:t>
      </w:r>
      <w:r w:rsidR="003A7717">
        <w:rPr>
          <w:i/>
          <w:iCs/>
          <w:lang w:val="bg-BG"/>
        </w:rPr>
        <w:t xml:space="preserve"> </w:t>
      </w:r>
      <w:r w:rsidR="003A7717">
        <w:rPr>
          <w:iCs/>
          <w:lang w:val="bg-BG"/>
        </w:rPr>
        <w:t xml:space="preserve">и други организации </w:t>
      </w:r>
      <w:r w:rsidR="008833AD">
        <w:rPr>
          <w:iCs/>
          <w:lang w:val="bg-BG"/>
        </w:rPr>
        <w:t>са подписали и разпространили</w:t>
      </w:r>
      <w:r w:rsidR="00CE4C18">
        <w:rPr>
          <w:iCs/>
          <w:lang w:val="bg-BG"/>
        </w:rPr>
        <w:t xml:space="preserve"> обръщение</w:t>
      </w:r>
      <w:r w:rsidR="006563FC">
        <w:rPr>
          <w:iCs/>
          <w:lang w:val="bg-BG"/>
        </w:rPr>
        <w:t xml:space="preserve"> към народа</w:t>
      </w:r>
      <w:r w:rsidR="00CE4C18">
        <w:rPr>
          <w:iCs/>
          <w:lang w:val="bg-BG"/>
        </w:rPr>
        <w:t xml:space="preserve"> със заглавие </w:t>
      </w:r>
      <w:r w:rsidR="00F67CDC" w:rsidRPr="00945ED6">
        <w:rPr>
          <w:lang w:val="bg-BG"/>
        </w:rPr>
        <w:t>“</w:t>
      </w:r>
      <w:r w:rsidR="00CE4C18" w:rsidRPr="00BB4F95">
        <w:rPr>
          <w:i/>
          <w:iCs/>
          <w:lang w:val="en-GB"/>
        </w:rPr>
        <w:t>God</w:t>
      </w:r>
      <w:r w:rsidR="00CE4C18" w:rsidRPr="00945ED6">
        <w:rPr>
          <w:i/>
          <w:iCs/>
          <w:lang w:val="bg-BG"/>
        </w:rPr>
        <w:t>ā</w:t>
      </w:r>
      <w:r w:rsidR="00CE4C18" w:rsidRPr="00BB4F95">
        <w:rPr>
          <w:i/>
          <w:iCs/>
          <w:lang w:val="en-GB"/>
        </w:rPr>
        <w:t>jamie</w:t>
      </w:r>
      <w:r w:rsidR="00CE4C18" w:rsidRPr="00945ED6">
        <w:rPr>
          <w:i/>
          <w:iCs/>
          <w:lang w:val="bg-BG"/>
        </w:rPr>
        <w:t xml:space="preserve"> </w:t>
      </w:r>
      <w:r w:rsidR="00CE4C18" w:rsidRPr="00BB4F95">
        <w:rPr>
          <w:i/>
          <w:iCs/>
          <w:lang w:val="en-GB"/>
        </w:rPr>
        <w:t>Latvijas</w:t>
      </w:r>
      <w:r w:rsidR="00CE4C18" w:rsidRPr="00945ED6">
        <w:rPr>
          <w:i/>
          <w:iCs/>
          <w:lang w:val="bg-BG"/>
        </w:rPr>
        <w:t xml:space="preserve"> </w:t>
      </w:r>
      <w:r w:rsidR="00CE4C18" w:rsidRPr="00BB4F95">
        <w:rPr>
          <w:i/>
          <w:iCs/>
          <w:lang w:val="en-GB"/>
        </w:rPr>
        <w:t>iedz</w:t>
      </w:r>
      <w:r w:rsidR="00CE4C18" w:rsidRPr="00945ED6">
        <w:rPr>
          <w:i/>
          <w:iCs/>
          <w:lang w:val="bg-BG"/>
        </w:rPr>
        <w:t>ī</w:t>
      </w:r>
      <w:r w:rsidR="00CE4C18" w:rsidRPr="00BB4F95">
        <w:rPr>
          <w:i/>
          <w:iCs/>
          <w:lang w:val="en-GB"/>
        </w:rPr>
        <w:t>vot</w:t>
      </w:r>
      <w:r w:rsidR="00CE4C18" w:rsidRPr="00945ED6">
        <w:rPr>
          <w:i/>
          <w:iCs/>
          <w:lang w:val="bg-BG"/>
        </w:rPr>
        <w:t>ā</w:t>
      </w:r>
      <w:r w:rsidR="00CE4C18" w:rsidRPr="00BB4F95">
        <w:rPr>
          <w:i/>
          <w:iCs/>
          <w:lang w:val="en-GB"/>
        </w:rPr>
        <w:t>ji</w:t>
      </w:r>
      <w:r w:rsidR="00CE4C18" w:rsidRPr="00945ED6">
        <w:rPr>
          <w:i/>
          <w:iCs/>
          <w:lang w:val="bg-BG"/>
        </w:rPr>
        <w:t>!</w:t>
      </w:r>
      <w:r w:rsidR="00F67CDC" w:rsidRPr="00945ED6">
        <w:rPr>
          <w:lang w:val="bg-BG"/>
        </w:rPr>
        <w:t>”</w:t>
      </w:r>
      <w:r w:rsidR="00CE4C18">
        <w:rPr>
          <w:lang w:val="bg-BG"/>
        </w:rPr>
        <w:t xml:space="preserve"> („Уважаеми граждани на Латвия!</w:t>
      </w:r>
      <w:r w:rsidR="00F67CDC">
        <w:rPr>
          <w:lang w:val="bg-BG"/>
        </w:rPr>
        <w:t>”</w:t>
      </w:r>
      <w:r w:rsidR="008833AD">
        <w:rPr>
          <w:lang w:val="bg-BG"/>
        </w:rPr>
        <w:t>), кое</w:t>
      </w:r>
      <w:r w:rsidR="00CE4C18">
        <w:rPr>
          <w:lang w:val="bg-BG"/>
        </w:rPr>
        <w:t>то призовава</w:t>
      </w:r>
      <w:r w:rsidR="008833AD">
        <w:rPr>
          <w:lang w:val="bg-BG"/>
        </w:rPr>
        <w:t>ло</w:t>
      </w:r>
      <w:r w:rsidR="00CE4C18">
        <w:rPr>
          <w:lang w:val="bg-BG"/>
        </w:rPr>
        <w:t xml:space="preserve"> гражданите да се съобразяват с изискванията за извънредно положение и да не се противопоставят на мерките, налагани от Държавния комитет за извънредно положение в Москва. Според </w:t>
      </w:r>
      <w:r w:rsidR="00354C6E">
        <w:rPr>
          <w:lang w:val="bg-BG"/>
        </w:rPr>
        <w:t>жалбоподателката</w:t>
      </w:r>
      <w:r w:rsidR="00CE4C18">
        <w:rPr>
          <w:lang w:val="bg-BG"/>
        </w:rPr>
        <w:t xml:space="preserve"> участието на ЛКП във вси</w:t>
      </w:r>
      <w:r w:rsidR="008833AD">
        <w:rPr>
          <w:lang w:val="bg-BG"/>
        </w:rPr>
        <w:t xml:space="preserve">чки тези събития не е доказано; конкретно </w:t>
      </w:r>
      <w:r w:rsidR="00CE4C18">
        <w:rPr>
          <w:lang w:val="bg-BG"/>
        </w:rPr>
        <w:t xml:space="preserve">членовете на блока </w:t>
      </w:r>
      <w:r w:rsidR="00CE4C18" w:rsidRPr="00BB4F95">
        <w:rPr>
          <w:i/>
          <w:iCs/>
          <w:lang w:val="en-GB"/>
        </w:rPr>
        <w:t>L</w:t>
      </w:r>
      <w:r w:rsidR="00CE4C18" w:rsidRPr="00945ED6">
        <w:rPr>
          <w:i/>
          <w:iCs/>
          <w:lang w:val="bg-BG"/>
        </w:rPr>
        <w:t>ī</w:t>
      </w:r>
      <w:r w:rsidR="00CE4C18" w:rsidRPr="00BB4F95">
        <w:rPr>
          <w:i/>
          <w:iCs/>
          <w:lang w:val="en-GB"/>
        </w:rPr>
        <w:t>dzties</w:t>
      </w:r>
      <w:r w:rsidR="00CE4C18" w:rsidRPr="00945ED6">
        <w:rPr>
          <w:i/>
          <w:iCs/>
          <w:lang w:val="bg-BG"/>
        </w:rPr>
        <w:t>ī</w:t>
      </w:r>
      <w:r w:rsidR="00CE4C18" w:rsidRPr="00BB4F95">
        <w:rPr>
          <w:i/>
          <w:iCs/>
          <w:lang w:val="en-GB"/>
        </w:rPr>
        <w:t>ba</w:t>
      </w:r>
      <w:r w:rsidR="008833AD">
        <w:rPr>
          <w:iCs/>
          <w:lang w:val="bg-BG"/>
        </w:rPr>
        <w:t xml:space="preserve"> са участвали</w:t>
      </w:r>
      <w:r w:rsidR="00CE4C18">
        <w:rPr>
          <w:iCs/>
          <w:lang w:val="bg-BG"/>
        </w:rPr>
        <w:t xml:space="preserve"> в </w:t>
      </w:r>
      <w:r w:rsidR="008833AD">
        <w:rPr>
          <w:iCs/>
          <w:lang w:val="bg-BG"/>
        </w:rPr>
        <w:t>п</w:t>
      </w:r>
      <w:r w:rsidR="00A25B47">
        <w:rPr>
          <w:iCs/>
          <w:lang w:val="bg-BG"/>
        </w:rPr>
        <w:t>арламентарните</w:t>
      </w:r>
      <w:r w:rsidR="00CE4C18">
        <w:rPr>
          <w:iCs/>
          <w:lang w:val="bg-BG"/>
        </w:rPr>
        <w:t xml:space="preserve"> дебати в продължение на два последователни дни и дори не им е </w:t>
      </w:r>
      <w:r w:rsidR="008833AD">
        <w:rPr>
          <w:iCs/>
          <w:lang w:val="bg-BG"/>
        </w:rPr>
        <w:t>било известно намерението за</w:t>
      </w:r>
      <w:r w:rsidR="00CE4C18">
        <w:rPr>
          <w:iCs/>
          <w:lang w:val="bg-BG"/>
        </w:rPr>
        <w:t xml:space="preserve"> подобно обръщение</w:t>
      </w:r>
      <w:r w:rsidR="00F64D3D">
        <w:rPr>
          <w:iCs/>
          <w:lang w:val="bg-BG"/>
        </w:rPr>
        <w:t xml:space="preserve"> към народа</w:t>
      </w:r>
      <w:r w:rsidR="00CE4C18">
        <w:rPr>
          <w:iCs/>
          <w:lang w:val="bg-BG"/>
        </w:rPr>
        <w:t xml:space="preserve">. </w:t>
      </w:r>
      <w:r w:rsidR="00CE4C18">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27</w:t>
      </w:r>
      <w:r w:rsidRPr="00E17978">
        <w:fldChar w:fldCharType="end"/>
      </w:r>
      <w:r w:rsidR="005911E9" w:rsidRPr="00945ED6">
        <w:rPr>
          <w:lang w:val="bg-BG"/>
        </w:rPr>
        <w:t>.</w:t>
      </w:r>
      <w:r w:rsidR="005911E9" w:rsidRPr="00BB4F95">
        <w:rPr>
          <w:lang w:val="en-GB"/>
        </w:rPr>
        <w:t>  </w:t>
      </w:r>
      <w:r w:rsidR="00CE4C18">
        <w:rPr>
          <w:lang w:val="bg-BG"/>
        </w:rPr>
        <w:t xml:space="preserve">Този преврат също се проваля. На 21 август 1991 г. </w:t>
      </w:r>
      <w:r w:rsidR="00443701" w:rsidRPr="007E45C3">
        <w:rPr>
          <w:lang w:val="bg-BG"/>
        </w:rPr>
        <w:t>Върховният съвет</w:t>
      </w:r>
      <w:r w:rsidR="008833AD" w:rsidRPr="007E45C3">
        <w:rPr>
          <w:lang w:val="bg-BG"/>
        </w:rPr>
        <w:t xml:space="preserve"> на</w:t>
      </w:r>
      <w:r w:rsidR="00CE4C18" w:rsidRPr="007E45C3">
        <w:rPr>
          <w:lang w:val="bg-BG"/>
        </w:rPr>
        <w:t xml:space="preserve"> Латвия</w:t>
      </w:r>
      <w:r w:rsidR="008833AD" w:rsidRPr="007E45C3">
        <w:rPr>
          <w:lang w:val="bg-BG"/>
        </w:rPr>
        <w:t xml:space="preserve"> приема конституционен закон относно</w:t>
      </w:r>
      <w:r w:rsidR="00F65887" w:rsidRPr="007E45C3">
        <w:rPr>
          <w:lang w:val="bg-BG"/>
        </w:rPr>
        <w:t xml:space="preserve"> </w:t>
      </w:r>
      <w:r w:rsidR="007E45C3" w:rsidRPr="007E45C3">
        <w:rPr>
          <w:lang w:val="bg-BG"/>
        </w:rPr>
        <w:t xml:space="preserve">държавния </w:t>
      </w:r>
      <w:r w:rsidR="00F65887" w:rsidRPr="007E45C3">
        <w:rPr>
          <w:lang w:val="bg-BG"/>
        </w:rPr>
        <w:t>статут</w:t>
      </w:r>
      <w:r w:rsidR="0051372C" w:rsidRPr="007E45C3">
        <w:rPr>
          <w:lang w:val="bg-BG"/>
        </w:rPr>
        <w:t xml:space="preserve"> на </w:t>
      </w:r>
      <w:r w:rsidR="00013D7D" w:rsidRPr="007E45C3">
        <w:rPr>
          <w:lang w:val="bg-BG"/>
        </w:rPr>
        <w:t>Република Латвия</w:t>
      </w:r>
      <w:r w:rsidR="007E45C3" w:rsidRPr="007E45C3">
        <w:rPr>
          <w:lang w:val="bg-BG"/>
        </w:rPr>
        <w:t xml:space="preserve"> </w:t>
      </w:r>
      <w:r w:rsidR="0051372C">
        <w:rPr>
          <w:lang w:val="bg-BG"/>
        </w:rPr>
        <w:t xml:space="preserve">и обявява незабавната и абсолютна </w:t>
      </w:r>
      <w:r w:rsidR="0051372C">
        <w:rPr>
          <w:lang w:val="bg-BG"/>
        </w:rPr>
        <w:lastRenderedPageBreak/>
        <w:t xml:space="preserve">независимост на страната. </w:t>
      </w:r>
      <w:r w:rsidR="00527BC4">
        <w:rPr>
          <w:lang w:val="bg-BG"/>
        </w:rPr>
        <w:t>Точка 5</w:t>
      </w:r>
      <w:r w:rsidR="0051372C">
        <w:rPr>
          <w:lang w:val="bg-BG"/>
        </w:rPr>
        <w:t xml:space="preserve"> от Декларац</w:t>
      </w:r>
      <w:r w:rsidR="007E45C3">
        <w:rPr>
          <w:lang w:val="bg-BG"/>
        </w:rPr>
        <w:t>ията от 4 май 1990 г., касаеща</w:t>
      </w:r>
      <w:r w:rsidR="0051372C">
        <w:rPr>
          <w:lang w:val="bg-BG"/>
        </w:rPr>
        <w:t xml:space="preserve"> преходния период, се отменя.</w:t>
      </w:r>
      <w:r w:rsidR="00CE4C18">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28</w:t>
      </w:r>
      <w:r w:rsidRPr="00E17978">
        <w:fldChar w:fldCharType="end"/>
      </w:r>
      <w:r w:rsidR="005911E9" w:rsidRPr="00945ED6">
        <w:rPr>
          <w:lang w:val="bg-BG"/>
        </w:rPr>
        <w:t>.</w:t>
      </w:r>
      <w:r w:rsidR="005911E9" w:rsidRPr="00BB4F95">
        <w:rPr>
          <w:lang w:val="en-GB"/>
        </w:rPr>
        <w:t>  </w:t>
      </w:r>
      <w:r w:rsidR="0051372C">
        <w:rPr>
          <w:lang w:val="bg-BG"/>
        </w:rPr>
        <w:t xml:space="preserve">С решение от 23 август 1991 г. </w:t>
      </w:r>
      <w:r w:rsidR="00443701">
        <w:rPr>
          <w:lang w:val="bg-BG"/>
        </w:rPr>
        <w:t>Върховният съвет</w:t>
      </w:r>
      <w:r w:rsidR="0051372C">
        <w:rPr>
          <w:lang w:val="bg-BG"/>
        </w:rPr>
        <w:t xml:space="preserve"> обявява ЛКП за противоконституционна. На следващия ден дейността на партията е преустановена</w:t>
      </w:r>
      <w:r w:rsidR="00734BDF">
        <w:rPr>
          <w:lang w:val="bg-BG"/>
        </w:rPr>
        <w:t>, а</w:t>
      </w:r>
      <w:r w:rsidR="007E45C3">
        <w:rPr>
          <w:lang w:val="bg-BG"/>
        </w:rPr>
        <w:t xml:space="preserve"> </w:t>
      </w:r>
      <w:r w:rsidR="007E45C3" w:rsidRPr="00DB1B3A">
        <w:rPr>
          <w:lang w:val="bg-BG"/>
        </w:rPr>
        <w:t>министърът</w:t>
      </w:r>
      <w:r w:rsidR="00734BDF" w:rsidRPr="00DB1B3A">
        <w:rPr>
          <w:lang w:val="bg-BG"/>
        </w:rPr>
        <w:t xml:space="preserve"> на правосъдието е инструктира</w:t>
      </w:r>
      <w:r w:rsidR="007E45C3" w:rsidRPr="00DB1B3A">
        <w:rPr>
          <w:lang w:val="bg-BG"/>
        </w:rPr>
        <w:t>н „да разследва незаконната дейност</w:t>
      </w:r>
      <w:r w:rsidR="00734BDF" w:rsidRPr="00DB1B3A">
        <w:rPr>
          <w:lang w:val="bg-BG"/>
        </w:rPr>
        <w:t xml:space="preserve"> на ЛКП и да представи ... предложение относно възможността да се разреши на парт</w:t>
      </w:r>
      <w:r w:rsidR="009D118C" w:rsidRPr="00DB1B3A">
        <w:rPr>
          <w:lang w:val="bg-BG"/>
        </w:rPr>
        <w:t>ията да продължи своите функции</w:t>
      </w:r>
      <w:r w:rsidR="00F67CDC" w:rsidRPr="00DB1B3A">
        <w:rPr>
          <w:lang w:val="bg-BG"/>
        </w:rPr>
        <w:t>”</w:t>
      </w:r>
      <w:r w:rsidR="007E45C3" w:rsidRPr="00DB1B3A">
        <w:rPr>
          <w:lang w:val="bg-BG"/>
        </w:rPr>
        <w:t xml:space="preserve">. </w:t>
      </w:r>
      <w:r w:rsidR="00E215F9">
        <w:rPr>
          <w:lang w:val="bg-BG"/>
        </w:rPr>
        <w:t>Като се позовава</w:t>
      </w:r>
      <w:r w:rsidR="007E45C3" w:rsidRPr="00DB1B3A">
        <w:rPr>
          <w:lang w:val="bg-BG"/>
        </w:rPr>
        <w:t xml:space="preserve"> на</w:t>
      </w:r>
      <w:r w:rsidR="00734BDF" w:rsidRPr="00DB1B3A">
        <w:rPr>
          <w:lang w:val="bg-BG"/>
        </w:rPr>
        <w:t xml:space="preserve"> предложението на министъра на правосъдието, на 10</w:t>
      </w:r>
      <w:r w:rsidR="00734BDF">
        <w:rPr>
          <w:lang w:val="bg-BG"/>
        </w:rPr>
        <w:t xml:space="preserve"> септември 1991 г. </w:t>
      </w:r>
      <w:r w:rsidR="00443701">
        <w:rPr>
          <w:lang w:val="bg-BG"/>
        </w:rPr>
        <w:t>Върховният съвет</w:t>
      </w:r>
      <w:r w:rsidR="007332BD">
        <w:rPr>
          <w:lang w:val="bg-BG"/>
        </w:rPr>
        <w:t xml:space="preserve"> нарежда </w:t>
      </w:r>
      <w:r w:rsidR="00734BDF">
        <w:rPr>
          <w:lang w:val="bg-BG"/>
        </w:rPr>
        <w:t>партията</w:t>
      </w:r>
      <w:r w:rsidR="007332BD">
        <w:rPr>
          <w:lang w:val="bg-BG"/>
        </w:rPr>
        <w:t xml:space="preserve"> да се разпусне</w:t>
      </w:r>
      <w:r w:rsidR="00734BDF">
        <w:rPr>
          <w:lang w:val="bg-BG"/>
        </w:rPr>
        <w:t xml:space="preserve">. </w:t>
      </w:r>
      <w:r w:rsidR="0051372C">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29</w:t>
      </w:r>
      <w:r w:rsidRPr="00E17978">
        <w:fldChar w:fldCharType="end"/>
      </w:r>
      <w:r w:rsidR="005911E9" w:rsidRPr="00945ED6">
        <w:rPr>
          <w:lang w:val="bg-BG"/>
        </w:rPr>
        <w:t>.</w:t>
      </w:r>
      <w:r w:rsidR="005911E9" w:rsidRPr="00BB4F95">
        <w:rPr>
          <w:lang w:val="en-GB"/>
        </w:rPr>
        <w:t>  </w:t>
      </w:r>
      <w:r w:rsidR="00734BDF">
        <w:rPr>
          <w:lang w:val="bg-BG"/>
        </w:rPr>
        <w:t xml:space="preserve">Междувременно, на 22 август 1991 г. </w:t>
      </w:r>
      <w:r w:rsidR="00443701">
        <w:rPr>
          <w:lang w:val="bg-BG"/>
        </w:rPr>
        <w:t>Върховният съвет</w:t>
      </w:r>
      <w:r w:rsidR="007E45C3">
        <w:rPr>
          <w:lang w:val="bg-BG"/>
        </w:rPr>
        <w:t xml:space="preserve"> създава</w:t>
      </w:r>
      <w:r w:rsidR="00734BDF">
        <w:rPr>
          <w:lang w:val="bg-BG"/>
        </w:rPr>
        <w:t xml:space="preserve"> </w:t>
      </w:r>
      <w:r w:rsidR="00E215F9">
        <w:rPr>
          <w:lang w:val="bg-BG"/>
        </w:rPr>
        <w:t>п</w:t>
      </w:r>
      <w:r w:rsidR="00A25B47">
        <w:rPr>
          <w:lang w:val="bg-BG"/>
        </w:rPr>
        <w:t>арламента</w:t>
      </w:r>
      <w:r w:rsidR="00734BDF">
        <w:rPr>
          <w:lang w:val="bg-BG"/>
        </w:rPr>
        <w:t>рн</w:t>
      </w:r>
      <w:r w:rsidR="00E215F9">
        <w:rPr>
          <w:lang w:val="bg-BG"/>
        </w:rPr>
        <w:t>а</w:t>
      </w:r>
      <w:r w:rsidR="00734BDF">
        <w:rPr>
          <w:lang w:val="bg-BG"/>
        </w:rPr>
        <w:t xml:space="preserve"> коми</w:t>
      </w:r>
      <w:r w:rsidR="00E215F9">
        <w:rPr>
          <w:lang w:val="bg-BG"/>
        </w:rPr>
        <w:t>сия</w:t>
      </w:r>
      <w:r w:rsidR="00734BDF">
        <w:rPr>
          <w:lang w:val="bg-BG"/>
        </w:rPr>
        <w:t>, ко</w:t>
      </w:r>
      <w:r w:rsidR="00E215F9">
        <w:rPr>
          <w:lang w:val="bg-BG"/>
        </w:rPr>
        <w:t>я</w:t>
      </w:r>
      <w:r w:rsidR="00734BDF">
        <w:rPr>
          <w:lang w:val="bg-BG"/>
        </w:rPr>
        <w:t xml:space="preserve">то да разследва участието на членове на блока </w:t>
      </w:r>
      <w:r w:rsidR="00734BDF" w:rsidRPr="00BB4F95">
        <w:rPr>
          <w:i/>
          <w:iCs/>
          <w:lang w:val="en-GB"/>
        </w:rPr>
        <w:t>L</w:t>
      </w:r>
      <w:r w:rsidR="00734BDF" w:rsidRPr="00945ED6">
        <w:rPr>
          <w:i/>
          <w:iCs/>
          <w:lang w:val="bg-BG"/>
        </w:rPr>
        <w:t>ī</w:t>
      </w:r>
      <w:r w:rsidR="00734BDF" w:rsidRPr="00BB4F95">
        <w:rPr>
          <w:i/>
          <w:iCs/>
          <w:lang w:val="en-GB"/>
        </w:rPr>
        <w:t>dzties</w:t>
      </w:r>
      <w:r w:rsidR="00734BDF" w:rsidRPr="00945ED6">
        <w:rPr>
          <w:i/>
          <w:iCs/>
          <w:lang w:val="bg-BG"/>
        </w:rPr>
        <w:t>ī</w:t>
      </w:r>
      <w:r w:rsidR="00734BDF" w:rsidRPr="00BB4F95">
        <w:rPr>
          <w:i/>
          <w:iCs/>
          <w:lang w:val="en-GB"/>
        </w:rPr>
        <w:t>ba</w:t>
      </w:r>
      <w:r w:rsidR="00734BDF">
        <w:rPr>
          <w:i/>
          <w:iCs/>
          <w:lang w:val="bg-BG"/>
        </w:rPr>
        <w:t xml:space="preserve"> </w:t>
      </w:r>
      <w:r w:rsidR="00734BDF">
        <w:rPr>
          <w:iCs/>
          <w:lang w:val="bg-BG"/>
        </w:rPr>
        <w:t>в преврата.</w:t>
      </w:r>
      <w:r w:rsidR="007332BD" w:rsidRPr="00945ED6">
        <w:rPr>
          <w:iCs/>
          <w:lang w:val="bg-BG"/>
        </w:rPr>
        <w:t xml:space="preserve"> </w:t>
      </w:r>
      <w:r w:rsidR="00CA3EA8">
        <w:rPr>
          <w:iCs/>
          <w:lang w:val="bg-BG"/>
        </w:rPr>
        <w:t>Като се позовава</w:t>
      </w:r>
      <w:r w:rsidR="007E45C3">
        <w:rPr>
          <w:iCs/>
          <w:lang w:val="bg-BG"/>
        </w:rPr>
        <w:t xml:space="preserve"> на окончателния</w:t>
      </w:r>
      <w:r w:rsidR="007332BD">
        <w:rPr>
          <w:iCs/>
          <w:lang w:val="bg-BG"/>
        </w:rPr>
        <w:t xml:space="preserve"> доклад на т</w:t>
      </w:r>
      <w:r w:rsidR="00CA3EA8">
        <w:rPr>
          <w:iCs/>
          <w:lang w:val="bg-BG"/>
        </w:rPr>
        <w:t>а</w:t>
      </w:r>
      <w:r w:rsidR="007332BD">
        <w:rPr>
          <w:iCs/>
          <w:lang w:val="bg-BG"/>
        </w:rPr>
        <w:t>зи коми</w:t>
      </w:r>
      <w:r w:rsidR="00CA3EA8">
        <w:rPr>
          <w:iCs/>
          <w:lang w:val="bg-BG"/>
        </w:rPr>
        <w:t>сия</w:t>
      </w:r>
      <w:r w:rsidR="007332BD">
        <w:rPr>
          <w:iCs/>
          <w:lang w:val="bg-BG"/>
        </w:rPr>
        <w:t xml:space="preserve">, на 9 юли 1992 г. </w:t>
      </w:r>
      <w:r w:rsidR="00443701">
        <w:rPr>
          <w:iCs/>
          <w:lang w:val="bg-BG"/>
        </w:rPr>
        <w:t>Върховният съвет</w:t>
      </w:r>
      <w:r w:rsidR="007332BD">
        <w:rPr>
          <w:iCs/>
          <w:lang w:val="bg-BG"/>
        </w:rPr>
        <w:t xml:space="preserve"> отменя правото на 15 от членовете да участват в </w:t>
      </w:r>
      <w:r w:rsidR="007E45C3">
        <w:rPr>
          <w:iCs/>
          <w:lang w:val="bg-BG"/>
        </w:rPr>
        <w:t>п</w:t>
      </w:r>
      <w:r w:rsidR="00A25B47">
        <w:rPr>
          <w:iCs/>
          <w:lang w:val="bg-BG"/>
        </w:rPr>
        <w:t>арламента</w:t>
      </w:r>
      <w:r w:rsidR="007332BD">
        <w:rPr>
          <w:iCs/>
          <w:lang w:val="bg-BG"/>
        </w:rPr>
        <w:t xml:space="preserve">. </w:t>
      </w:r>
      <w:r w:rsidR="00354C6E">
        <w:rPr>
          <w:iCs/>
          <w:lang w:val="bg-BG"/>
        </w:rPr>
        <w:t>Жалбоподателката</w:t>
      </w:r>
      <w:r w:rsidR="007332BD">
        <w:rPr>
          <w:iCs/>
          <w:lang w:val="bg-BG"/>
        </w:rPr>
        <w:t xml:space="preserve"> не е сред тях.</w:t>
      </w:r>
      <w:r w:rsidR="00734BDF">
        <w:rPr>
          <w:iCs/>
          <w:lang w:val="bg-BG"/>
        </w:rPr>
        <w:t xml:space="preserve"> </w:t>
      </w:r>
      <w:r w:rsidR="00734BDF">
        <w:rPr>
          <w:lang w:val="bg-BG"/>
        </w:rPr>
        <w:t xml:space="preserve"> </w:t>
      </w:r>
    </w:p>
    <w:p w:rsidR="005911E9" w:rsidRPr="00945ED6" w:rsidRDefault="002D30DF" w:rsidP="005911E9">
      <w:pPr>
        <w:pStyle w:val="JuH1"/>
        <w:rPr>
          <w:lang w:val="bg-BG"/>
        </w:rPr>
      </w:pPr>
      <w:r w:rsidRPr="00945ED6">
        <w:rPr>
          <w:lang w:val="bg-BG"/>
        </w:rPr>
        <w:t>5</w:t>
      </w:r>
      <w:r w:rsidR="005911E9" w:rsidRPr="00945ED6">
        <w:rPr>
          <w:lang w:val="bg-BG"/>
        </w:rPr>
        <w:t>.</w:t>
      </w:r>
      <w:r w:rsidR="005911E9" w:rsidRPr="00E17978">
        <w:t>  </w:t>
      </w:r>
      <w:r w:rsidR="00E12C4E">
        <w:rPr>
          <w:lang w:val="bg-BG"/>
        </w:rPr>
        <w:t>Следващи</w:t>
      </w:r>
      <w:r w:rsidR="004E035D">
        <w:rPr>
          <w:lang w:val="bg-BG"/>
        </w:rPr>
        <w:t xml:space="preserve"> събития с участието на </w:t>
      </w:r>
      <w:r w:rsidR="00354C6E">
        <w:rPr>
          <w:lang w:val="bg-BG"/>
        </w:rPr>
        <w:t>жалбоподателката</w:t>
      </w:r>
      <w:r w:rsidR="004E035D">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30</w:t>
      </w:r>
      <w:r w:rsidRPr="00E17978">
        <w:fldChar w:fldCharType="end"/>
      </w:r>
      <w:r w:rsidR="005911E9" w:rsidRPr="00945ED6">
        <w:rPr>
          <w:lang w:val="bg-BG"/>
        </w:rPr>
        <w:t>.</w:t>
      </w:r>
      <w:r w:rsidR="005911E9" w:rsidRPr="00BB4F95">
        <w:rPr>
          <w:lang w:val="en-GB"/>
        </w:rPr>
        <w:t>  </w:t>
      </w:r>
      <w:r w:rsidR="004E035D">
        <w:rPr>
          <w:lang w:val="bg-BG"/>
        </w:rPr>
        <w:t xml:space="preserve">През февруари 1993 г. </w:t>
      </w:r>
      <w:r w:rsidR="00354C6E">
        <w:rPr>
          <w:lang w:val="bg-BG"/>
        </w:rPr>
        <w:t>жалбоподателката</w:t>
      </w:r>
      <w:r w:rsidR="004E035D">
        <w:rPr>
          <w:lang w:val="bg-BG"/>
        </w:rPr>
        <w:t xml:space="preserve"> става председател на Движението за социална справедливост и равни права в Латвия (</w:t>
      </w:r>
      <w:r w:rsidR="004E035D" w:rsidRPr="00BB4F95">
        <w:rPr>
          <w:i/>
          <w:iCs/>
          <w:lang w:val="en-GB"/>
        </w:rPr>
        <w:t>Kust</w:t>
      </w:r>
      <w:r w:rsidR="004E035D" w:rsidRPr="00945ED6">
        <w:rPr>
          <w:i/>
          <w:iCs/>
          <w:lang w:val="bg-BG"/>
        </w:rPr>
        <w:t>ī</w:t>
      </w:r>
      <w:r w:rsidR="004E035D" w:rsidRPr="00BB4F95">
        <w:rPr>
          <w:i/>
          <w:iCs/>
          <w:lang w:val="en-GB"/>
        </w:rPr>
        <w:t>ba</w:t>
      </w:r>
      <w:r w:rsidR="004E035D" w:rsidRPr="00945ED6">
        <w:rPr>
          <w:i/>
          <w:iCs/>
          <w:lang w:val="bg-BG"/>
        </w:rPr>
        <w:t xml:space="preserve"> </w:t>
      </w:r>
      <w:r w:rsidR="004E035D" w:rsidRPr="00BB4F95">
        <w:rPr>
          <w:i/>
          <w:iCs/>
          <w:lang w:val="en-GB"/>
        </w:rPr>
        <w:t>par</w:t>
      </w:r>
      <w:r w:rsidR="004E035D" w:rsidRPr="00945ED6">
        <w:rPr>
          <w:i/>
          <w:iCs/>
          <w:lang w:val="bg-BG"/>
        </w:rPr>
        <w:t xml:space="preserve"> </w:t>
      </w:r>
      <w:r w:rsidR="004E035D" w:rsidRPr="00BB4F95">
        <w:rPr>
          <w:i/>
          <w:iCs/>
          <w:lang w:val="en-GB"/>
        </w:rPr>
        <w:t>soci</w:t>
      </w:r>
      <w:r w:rsidR="004E035D" w:rsidRPr="00945ED6">
        <w:rPr>
          <w:i/>
          <w:iCs/>
          <w:lang w:val="bg-BG"/>
        </w:rPr>
        <w:t>ā</w:t>
      </w:r>
      <w:r w:rsidR="004E035D" w:rsidRPr="00BB4F95">
        <w:rPr>
          <w:i/>
          <w:iCs/>
          <w:lang w:val="en-GB"/>
        </w:rPr>
        <w:t>lo</w:t>
      </w:r>
      <w:r w:rsidR="004E035D" w:rsidRPr="00945ED6">
        <w:rPr>
          <w:i/>
          <w:iCs/>
          <w:lang w:val="bg-BG"/>
        </w:rPr>
        <w:t xml:space="preserve"> </w:t>
      </w:r>
      <w:r w:rsidR="004E035D" w:rsidRPr="00BB4F95">
        <w:rPr>
          <w:i/>
          <w:iCs/>
          <w:lang w:val="en-GB"/>
        </w:rPr>
        <w:t>taisn</w:t>
      </w:r>
      <w:r w:rsidR="004E035D" w:rsidRPr="00945ED6">
        <w:rPr>
          <w:i/>
          <w:iCs/>
          <w:lang w:val="bg-BG"/>
        </w:rPr>
        <w:t>ī</w:t>
      </w:r>
      <w:r w:rsidR="004E035D" w:rsidRPr="00BB4F95">
        <w:rPr>
          <w:i/>
          <w:iCs/>
          <w:lang w:val="en-GB"/>
        </w:rPr>
        <w:t>gumu</w:t>
      </w:r>
      <w:r w:rsidR="004E035D" w:rsidRPr="00945ED6">
        <w:rPr>
          <w:i/>
          <w:iCs/>
          <w:lang w:val="bg-BG"/>
        </w:rPr>
        <w:t xml:space="preserve"> </w:t>
      </w:r>
      <w:r w:rsidR="004E035D" w:rsidRPr="00BB4F95">
        <w:rPr>
          <w:i/>
          <w:iCs/>
          <w:lang w:val="en-GB"/>
        </w:rPr>
        <w:t>un</w:t>
      </w:r>
      <w:r w:rsidR="004E035D" w:rsidRPr="00945ED6">
        <w:rPr>
          <w:i/>
          <w:iCs/>
          <w:lang w:val="bg-BG"/>
        </w:rPr>
        <w:t xml:space="preserve"> </w:t>
      </w:r>
      <w:r w:rsidR="004E035D" w:rsidRPr="00BB4F95">
        <w:rPr>
          <w:i/>
          <w:iCs/>
          <w:lang w:val="en-GB"/>
        </w:rPr>
        <w:t>l</w:t>
      </w:r>
      <w:r w:rsidR="004E035D" w:rsidRPr="00945ED6">
        <w:rPr>
          <w:i/>
          <w:iCs/>
          <w:lang w:val="bg-BG"/>
        </w:rPr>
        <w:t>ī</w:t>
      </w:r>
      <w:r w:rsidR="004E035D" w:rsidRPr="00BB4F95">
        <w:rPr>
          <w:i/>
          <w:iCs/>
          <w:lang w:val="en-GB"/>
        </w:rPr>
        <w:t>dzties</w:t>
      </w:r>
      <w:r w:rsidR="004E035D" w:rsidRPr="00945ED6">
        <w:rPr>
          <w:i/>
          <w:iCs/>
          <w:lang w:val="bg-BG"/>
        </w:rPr>
        <w:t>ī</w:t>
      </w:r>
      <w:r w:rsidR="004E035D" w:rsidRPr="00BB4F95">
        <w:rPr>
          <w:i/>
          <w:iCs/>
          <w:lang w:val="en-GB"/>
        </w:rPr>
        <w:t>bu</w:t>
      </w:r>
      <w:r w:rsidR="004E035D" w:rsidRPr="00945ED6">
        <w:rPr>
          <w:i/>
          <w:iCs/>
          <w:lang w:val="bg-BG"/>
        </w:rPr>
        <w:t xml:space="preserve"> </w:t>
      </w:r>
      <w:r w:rsidR="004E035D" w:rsidRPr="00BB4F95">
        <w:rPr>
          <w:i/>
          <w:iCs/>
          <w:lang w:val="en-GB"/>
        </w:rPr>
        <w:t>Latvij</w:t>
      </w:r>
      <w:r w:rsidR="004E035D" w:rsidRPr="00945ED6">
        <w:rPr>
          <w:i/>
          <w:iCs/>
          <w:lang w:val="bg-BG"/>
        </w:rPr>
        <w:t>ā</w:t>
      </w:r>
      <w:r w:rsidR="004E035D">
        <w:rPr>
          <w:iCs/>
          <w:lang w:val="bg-BG"/>
        </w:rPr>
        <w:t>). По-късно то се</w:t>
      </w:r>
      <w:r w:rsidR="00E12C4E">
        <w:rPr>
          <w:iCs/>
          <w:lang w:val="bg-BG"/>
        </w:rPr>
        <w:t xml:space="preserve"> превръща в политическата партия</w:t>
      </w:r>
      <w:r w:rsidR="004E035D">
        <w:rPr>
          <w:iCs/>
          <w:lang w:val="bg-BG"/>
        </w:rPr>
        <w:t xml:space="preserve"> </w:t>
      </w:r>
      <w:r w:rsidR="004E035D" w:rsidRPr="00945ED6">
        <w:rPr>
          <w:lang w:val="bg-BG"/>
        </w:rPr>
        <w:t xml:space="preserve"> </w:t>
      </w:r>
      <w:r w:rsidR="004E035D" w:rsidRPr="00BB4F95">
        <w:rPr>
          <w:i/>
          <w:iCs/>
          <w:lang w:val="en-GB"/>
        </w:rPr>
        <w:t>L</w:t>
      </w:r>
      <w:r w:rsidR="004E035D" w:rsidRPr="00945ED6">
        <w:rPr>
          <w:i/>
          <w:iCs/>
          <w:lang w:val="bg-BG"/>
        </w:rPr>
        <w:t>ī</w:t>
      </w:r>
      <w:r w:rsidR="004E035D" w:rsidRPr="00BB4F95">
        <w:rPr>
          <w:i/>
          <w:iCs/>
          <w:lang w:val="en-GB"/>
        </w:rPr>
        <w:t>dzties</w:t>
      </w:r>
      <w:r w:rsidR="004E035D" w:rsidRPr="00945ED6">
        <w:rPr>
          <w:i/>
          <w:iCs/>
          <w:lang w:val="bg-BG"/>
        </w:rPr>
        <w:t>ī</w:t>
      </w:r>
      <w:r w:rsidR="004E035D" w:rsidRPr="00BB4F95">
        <w:rPr>
          <w:i/>
          <w:iCs/>
          <w:lang w:val="en-GB"/>
        </w:rPr>
        <w:t>ba</w:t>
      </w:r>
      <w:r w:rsidR="004E035D" w:rsidRPr="00945ED6">
        <w:rPr>
          <w:lang w:val="bg-BG"/>
        </w:rPr>
        <w:t xml:space="preserve"> </w:t>
      </w:r>
      <w:r w:rsidR="004E035D">
        <w:rPr>
          <w:lang w:val="bg-BG"/>
        </w:rPr>
        <w:t>(„Равни права</w:t>
      </w:r>
      <w:r w:rsidR="00F67CDC">
        <w:rPr>
          <w:lang w:val="bg-BG"/>
        </w:rPr>
        <w:t>”</w:t>
      </w:r>
      <w:r w:rsidR="004E035D">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31</w:t>
      </w:r>
      <w:r w:rsidRPr="00E17978">
        <w:fldChar w:fldCharType="end"/>
      </w:r>
      <w:r w:rsidR="005911E9" w:rsidRPr="00945ED6">
        <w:rPr>
          <w:lang w:val="bg-BG"/>
        </w:rPr>
        <w:t>.</w:t>
      </w:r>
      <w:r w:rsidR="005911E9" w:rsidRPr="00BB4F95">
        <w:rPr>
          <w:lang w:val="en-GB"/>
        </w:rPr>
        <w:t>  </w:t>
      </w:r>
      <w:r w:rsidR="004E035D">
        <w:rPr>
          <w:lang w:val="bg-BG"/>
        </w:rPr>
        <w:t xml:space="preserve">На 5 и 6 юни 1993 г. се провеждат </w:t>
      </w:r>
      <w:r w:rsidR="00E12C4E">
        <w:rPr>
          <w:lang w:val="bg-BG"/>
        </w:rPr>
        <w:t>п</w:t>
      </w:r>
      <w:r w:rsidR="00A25B47">
        <w:rPr>
          <w:lang w:val="bg-BG"/>
        </w:rPr>
        <w:t>арламента</w:t>
      </w:r>
      <w:r w:rsidR="004E035D">
        <w:rPr>
          <w:lang w:val="bg-BG"/>
        </w:rPr>
        <w:t>рни избори в съответствие с възстановената Конституция от 1922 г</w:t>
      </w:r>
      <w:r w:rsidR="00E12C4E">
        <w:rPr>
          <w:lang w:val="bg-BG"/>
        </w:rPr>
        <w:t>. За първи път след възстановяването</w:t>
      </w:r>
      <w:r w:rsidR="004E035D">
        <w:rPr>
          <w:lang w:val="bg-BG"/>
        </w:rPr>
        <w:t xml:space="preserve"> на независимостта на Латвия населението избира парламент </w:t>
      </w:r>
      <w:r w:rsidR="004E035D" w:rsidRPr="00945ED6">
        <w:rPr>
          <w:lang w:val="bg-BG"/>
        </w:rPr>
        <w:t>(</w:t>
      </w:r>
      <w:r w:rsidR="004E035D" w:rsidRPr="00BB4F95">
        <w:rPr>
          <w:i/>
          <w:iCs/>
          <w:lang w:val="en-GB"/>
        </w:rPr>
        <w:t>Saeima</w:t>
      </w:r>
      <w:r w:rsidR="004E035D" w:rsidRPr="00945ED6">
        <w:rPr>
          <w:lang w:val="bg-BG"/>
        </w:rPr>
        <w:t>)</w:t>
      </w:r>
      <w:r w:rsidR="004E035D">
        <w:rPr>
          <w:lang w:val="bg-BG"/>
        </w:rPr>
        <w:t>, който поем</w:t>
      </w:r>
      <w:r w:rsidR="00721BB1">
        <w:rPr>
          <w:lang w:val="bg-BG"/>
        </w:rPr>
        <w:t>а</w:t>
      </w:r>
      <w:r w:rsidR="004E035D">
        <w:rPr>
          <w:lang w:val="bg-BG"/>
        </w:rPr>
        <w:t xml:space="preserve"> управлението от </w:t>
      </w:r>
      <w:r w:rsidR="00443701">
        <w:rPr>
          <w:lang w:val="bg-BG"/>
        </w:rPr>
        <w:t>Върховния съвет</w:t>
      </w:r>
      <w:r w:rsidR="004E035D">
        <w:rPr>
          <w:lang w:val="bg-BG"/>
        </w:rPr>
        <w:t>.</w:t>
      </w:r>
      <w:r w:rsidR="007F61C2">
        <w:rPr>
          <w:lang w:val="bg-BG"/>
        </w:rPr>
        <w:t xml:space="preserve"> По това време изтича мандатът на </w:t>
      </w:r>
      <w:r w:rsidR="00354C6E">
        <w:rPr>
          <w:lang w:val="bg-BG"/>
        </w:rPr>
        <w:t>жалбоподателката</w:t>
      </w:r>
      <w:r w:rsidR="007F61C2">
        <w:rPr>
          <w:lang w:val="bg-BG"/>
        </w:rPr>
        <w:t xml:space="preserve"> като член на </w:t>
      </w:r>
      <w:r w:rsidR="00E12C4E">
        <w:rPr>
          <w:lang w:val="bg-BG"/>
        </w:rPr>
        <w:t>п</w:t>
      </w:r>
      <w:r w:rsidR="00A25B47">
        <w:rPr>
          <w:lang w:val="bg-BG"/>
        </w:rPr>
        <w:t>арламента</w:t>
      </w:r>
      <w:r w:rsidR="007F61C2">
        <w:rPr>
          <w:lang w:val="bg-BG"/>
        </w:rPr>
        <w:t>. Латвийските вл</w:t>
      </w:r>
      <w:r w:rsidR="00E12C4E">
        <w:rPr>
          <w:lang w:val="bg-BG"/>
        </w:rPr>
        <w:t>асти отказват да я включат</w:t>
      </w:r>
      <w:r w:rsidR="007F61C2">
        <w:rPr>
          <w:lang w:val="bg-BG"/>
        </w:rPr>
        <w:t xml:space="preserve"> в гражданския регистър като гражданин на Латвия, поради което тя не може да участва нито в гореспоменатите избори, нито в следващите </w:t>
      </w:r>
      <w:r w:rsidR="00E12C4E">
        <w:rPr>
          <w:lang w:val="bg-BG"/>
        </w:rPr>
        <w:t>п</w:t>
      </w:r>
      <w:r w:rsidR="00A25B47">
        <w:rPr>
          <w:lang w:val="bg-BG"/>
        </w:rPr>
        <w:t>арламента</w:t>
      </w:r>
      <w:r w:rsidR="00E12C4E">
        <w:rPr>
          <w:lang w:val="bg-BG"/>
        </w:rPr>
        <w:t>рни избори</w:t>
      </w:r>
      <w:r w:rsidR="007F61C2">
        <w:rPr>
          <w:lang w:val="bg-BG"/>
        </w:rPr>
        <w:t xml:space="preserve"> през 1995 г., не може да участва и в общинските избори пре</w:t>
      </w:r>
      <w:r w:rsidR="00E12C4E">
        <w:rPr>
          <w:lang w:val="bg-BG"/>
        </w:rPr>
        <w:t>з 1994 г. След обжалване</w:t>
      </w:r>
      <w:r w:rsidR="007F61C2">
        <w:rPr>
          <w:lang w:val="bg-BG"/>
        </w:rPr>
        <w:t xml:space="preserve"> от страна на </w:t>
      </w:r>
      <w:r w:rsidR="00354C6E">
        <w:rPr>
          <w:lang w:val="bg-BG"/>
        </w:rPr>
        <w:t>жалбоподателката</w:t>
      </w:r>
      <w:r w:rsidR="007F61C2">
        <w:rPr>
          <w:lang w:val="bg-BG"/>
        </w:rPr>
        <w:t xml:space="preserve">, </w:t>
      </w:r>
      <w:r w:rsidR="00DF1542">
        <w:rPr>
          <w:lang w:val="bg-BG"/>
        </w:rPr>
        <w:t xml:space="preserve">през 1996 г. съдът признава, че тя има латвийско гражданство </w:t>
      </w:r>
      <w:r w:rsidR="00E12C4E">
        <w:rPr>
          <w:lang w:val="bg-BG"/>
        </w:rPr>
        <w:t>по право въз о</w:t>
      </w:r>
      <w:r w:rsidR="00DF1542">
        <w:rPr>
          <w:lang w:val="bg-BG"/>
        </w:rPr>
        <w:t>снова</w:t>
      </w:r>
      <w:r w:rsidR="005903B4">
        <w:rPr>
          <w:lang w:val="bg-BG"/>
        </w:rPr>
        <w:t xml:space="preserve"> на факта, че е </w:t>
      </w:r>
      <w:r w:rsidR="005903B4" w:rsidRPr="00DB1B3A">
        <w:rPr>
          <w:lang w:val="bg-BG"/>
        </w:rPr>
        <w:t>потомка на лице, кое</w:t>
      </w:r>
      <w:r w:rsidR="00DF1542" w:rsidRPr="00DB1B3A">
        <w:rPr>
          <w:lang w:val="bg-BG"/>
        </w:rPr>
        <w:t>то е имал</w:t>
      </w:r>
      <w:r w:rsidR="005903B4" w:rsidRPr="00DB1B3A">
        <w:rPr>
          <w:lang w:val="bg-BG"/>
        </w:rPr>
        <w:t>о</w:t>
      </w:r>
      <w:r w:rsidR="00DF1542">
        <w:rPr>
          <w:lang w:val="bg-BG"/>
        </w:rPr>
        <w:t xml:space="preserve"> латвийско гражданство преди 1940 г. Вследствие на това съдът нарежда изборни</w:t>
      </w:r>
      <w:r w:rsidR="00E12C4E">
        <w:rPr>
          <w:lang w:val="bg-BG"/>
        </w:rPr>
        <w:t>те органи да регистрират жалбоподателката</w:t>
      </w:r>
      <w:r w:rsidR="00DF1542">
        <w:rPr>
          <w:lang w:val="bg-BG"/>
        </w:rPr>
        <w:t xml:space="preserve"> и да я снабдят с необходимите документи.  </w:t>
      </w:r>
    </w:p>
    <w:p w:rsidR="002D30DF" w:rsidRPr="00945ED6" w:rsidRDefault="002D30DF" w:rsidP="00B8206D">
      <w:pPr>
        <w:pStyle w:val="JuH1"/>
        <w:rPr>
          <w:lang w:val="bg-BG"/>
        </w:rPr>
      </w:pPr>
      <w:r w:rsidRPr="00945ED6">
        <w:rPr>
          <w:lang w:val="bg-BG"/>
        </w:rPr>
        <w:t>6.</w:t>
      </w:r>
      <w:r w:rsidR="005A5ED0">
        <w:t>  </w:t>
      </w:r>
      <w:r w:rsidR="00DF1542">
        <w:rPr>
          <w:lang w:val="bg-BG"/>
        </w:rPr>
        <w:t>Нак</w:t>
      </w:r>
      <w:r w:rsidR="008118AE">
        <w:rPr>
          <w:lang w:val="bg-BG"/>
        </w:rPr>
        <w:t>а</w:t>
      </w:r>
      <w:r w:rsidR="00DF1542">
        <w:rPr>
          <w:lang w:val="bg-BG"/>
        </w:rPr>
        <w:t xml:space="preserve">зателни производства срещу двама предишни лидери на ЛКП </w:t>
      </w:r>
    </w:p>
    <w:p w:rsidR="002D30DF" w:rsidRPr="00945ED6" w:rsidRDefault="005D3E62" w:rsidP="00B8206D">
      <w:pPr>
        <w:pStyle w:val="JuPara"/>
        <w:rPr>
          <w:lang w:val="bg-BG"/>
        </w:rPr>
      </w:pPr>
      <w:r w:rsidRPr="00E17978">
        <w:fldChar w:fldCharType="begin"/>
      </w:r>
      <w:r w:rsidR="002D30DF" w:rsidRPr="00945ED6">
        <w:rPr>
          <w:lang w:val="bg-BG"/>
        </w:rPr>
        <w:instrText xml:space="preserve"> </w:instrText>
      </w:r>
      <w:r w:rsidR="002D30DF" w:rsidRPr="00BB4F95">
        <w:rPr>
          <w:lang w:val="en-GB"/>
        </w:rPr>
        <w:instrText>SEQ</w:instrText>
      </w:r>
      <w:r w:rsidR="002D30DF" w:rsidRPr="00945ED6">
        <w:rPr>
          <w:lang w:val="bg-BG"/>
        </w:rPr>
        <w:instrText xml:space="preserve"> </w:instrText>
      </w:r>
      <w:r w:rsidR="002D30DF" w:rsidRPr="00BB4F95">
        <w:rPr>
          <w:lang w:val="en-GB"/>
        </w:rPr>
        <w:instrText>level</w:instrText>
      </w:r>
      <w:r w:rsidR="002D30DF" w:rsidRPr="00945ED6">
        <w:rPr>
          <w:lang w:val="bg-BG"/>
        </w:rPr>
        <w:instrText>0 \*</w:instrText>
      </w:r>
      <w:r w:rsidR="002D30DF" w:rsidRPr="00BB4F95">
        <w:rPr>
          <w:lang w:val="en-GB"/>
        </w:rPr>
        <w:instrText>arabic</w:instrText>
      </w:r>
      <w:r w:rsidR="002D30DF" w:rsidRPr="00945ED6">
        <w:rPr>
          <w:lang w:val="bg-BG"/>
        </w:rPr>
        <w:instrText xml:space="preserve"> </w:instrText>
      </w:r>
      <w:r w:rsidRPr="00E17978">
        <w:fldChar w:fldCharType="separate"/>
      </w:r>
      <w:r w:rsidR="00955550" w:rsidRPr="00945ED6">
        <w:rPr>
          <w:noProof/>
          <w:lang w:val="bg-BG"/>
        </w:rPr>
        <w:t>32</w:t>
      </w:r>
      <w:r w:rsidRPr="00E17978">
        <w:fldChar w:fldCharType="end"/>
      </w:r>
      <w:r w:rsidR="002D30DF" w:rsidRPr="00945ED6">
        <w:rPr>
          <w:lang w:val="bg-BG"/>
        </w:rPr>
        <w:t>.</w:t>
      </w:r>
      <w:r w:rsidR="002D30DF" w:rsidRPr="00BB4F95">
        <w:rPr>
          <w:lang w:val="en-GB"/>
        </w:rPr>
        <w:t>  </w:t>
      </w:r>
      <w:r w:rsidR="006C51DD">
        <w:rPr>
          <w:lang w:val="bg-BG"/>
        </w:rPr>
        <w:t>С окончателно решение на Върховния съд от 27 юли 1995 г. А.Р. и О</w:t>
      </w:r>
      <w:r w:rsidR="00E12C4E">
        <w:rPr>
          <w:lang w:val="bg-BG"/>
        </w:rPr>
        <w:t xml:space="preserve">.П., бивши </w:t>
      </w:r>
      <w:r w:rsidR="006C51DD">
        <w:rPr>
          <w:lang w:val="bg-BG"/>
        </w:rPr>
        <w:t>служители на ЛКП</w:t>
      </w:r>
      <w:r w:rsidR="00E12C4E">
        <w:rPr>
          <w:lang w:val="bg-BG"/>
        </w:rPr>
        <w:t xml:space="preserve"> с най-висок ранг</w:t>
      </w:r>
      <w:r w:rsidR="005B10CE">
        <w:rPr>
          <w:lang w:val="bg-BG"/>
        </w:rPr>
        <w:t>,</w:t>
      </w:r>
      <w:r w:rsidR="006C51DD">
        <w:rPr>
          <w:lang w:val="bg-BG"/>
        </w:rPr>
        <w:t xml:space="preserve"> са признати за виновни в опит за сваляне на легитимната власт на независима Латвия </w:t>
      </w:r>
      <w:r w:rsidR="006C51DD">
        <w:rPr>
          <w:lang w:val="bg-BG"/>
        </w:rPr>
        <w:lastRenderedPageBreak/>
        <w:t>по насилствен начин. Р</w:t>
      </w:r>
      <w:r w:rsidR="005903B4">
        <w:rPr>
          <w:lang w:val="bg-BG"/>
        </w:rPr>
        <w:t xml:space="preserve">ешението приема, </w:t>
      </w:r>
      <w:r w:rsidR="005903B4" w:rsidRPr="00DB1B3A">
        <w:rPr>
          <w:lang w:val="bg-BG"/>
        </w:rPr>
        <w:t xml:space="preserve">наред с </w:t>
      </w:r>
      <w:r w:rsidR="006C51DD" w:rsidRPr="00DB1B3A">
        <w:rPr>
          <w:lang w:val="bg-BG"/>
        </w:rPr>
        <w:t>друго</w:t>
      </w:r>
      <w:r w:rsidR="005903B4" w:rsidRPr="00DB1B3A">
        <w:rPr>
          <w:lang w:val="bg-BG"/>
        </w:rPr>
        <w:t>то</w:t>
      </w:r>
      <w:r w:rsidR="006C51DD" w:rsidRPr="00DB1B3A">
        <w:rPr>
          <w:lang w:val="bg-BG"/>
        </w:rPr>
        <w:t>, следните</w:t>
      </w:r>
      <w:r w:rsidR="006C51DD">
        <w:rPr>
          <w:lang w:val="bg-BG"/>
        </w:rPr>
        <w:t xml:space="preserve"> обстоятелства като исторически факти:   </w:t>
      </w:r>
    </w:p>
    <w:p w:rsidR="002D30DF" w:rsidRPr="00945ED6" w:rsidRDefault="002D30DF" w:rsidP="00B8206D">
      <w:pPr>
        <w:pStyle w:val="JuPara"/>
        <w:rPr>
          <w:lang w:val="bg-BG"/>
        </w:rPr>
      </w:pPr>
      <w:r w:rsidRPr="00945ED6">
        <w:rPr>
          <w:lang w:val="bg-BG"/>
        </w:rPr>
        <w:t>(</w:t>
      </w:r>
      <w:r w:rsidRPr="00BB4F95">
        <w:rPr>
          <w:lang w:val="en-GB"/>
        </w:rPr>
        <w:t>a</w:t>
      </w:r>
      <w:r w:rsidRPr="00945ED6">
        <w:rPr>
          <w:lang w:val="bg-BG"/>
        </w:rPr>
        <w:t>)</w:t>
      </w:r>
      <w:r w:rsidRPr="00BB4F95">
        <w:rPr>
          <w:lang w:val="en-GB"/>
        </w:rPr>
        <w:t>  </w:t>
      </w:r>
      <w:r w:rsidR="006C51DD">
        <w:rPr>
          <w:lang w:val="bg-BG"/>
        </w:rPr>
        <w:t>След като</w:t>
      </w:r>
      <w:r w:rsidR="00E12C4E">
        <w:rPr>
          <w:lang w:val="bg-BG"/>
        </w:rPr>
        <w:t xml:space="preserve"> на демократичните избори през март 1990 г.</w:t>
      </w:r>
      <w:r w:rsidR="006C51DD">
        <w:rPr>
          <w:lang w:val="bg-BG"/>
        </w:rPr>
        <w:t xml:space="preserve"> не успява да получи мнозинство </w:t>
      </w:r>
      <w:r w:rsidR="00443701">
        <w:rPr>
          <w:lang w:val="bg-BG"/>
        </w:rPr>
        <w:t>във В</w:t>
      </w:r>
      <w:r w:rsidR="00E12C4E">
        <w:rPr>
          <w:lang w:val="bg-BG"/>
        </w:rPr>
        <w:t>ърховния съвет, ЛКП, заедно с</w:t>
      </w:r>
      <w:r w:rsidR="00443701">
        <w:rPr>
          <w:lang w:val="bg-BG"/>
        </w:rPr>
        <w:t xml:space="preserve"> останалите организации, изброени в раздел 5(6) от Закона за </w:t>
      </w:r>
      <w:r w:rsidR="00A25B47">
        <w:rPr>
          <w:lang w:val="bg-BG"/>
        </w:rPr>
        <w:t>парламентарните</w:t>
      </w:r>
      <w:r w:rsidR="00443701">
        <w:rPr>
          <w:lang w:val="bg-BG"/>
        </w:rPr>
        <w:t xml:space="preserve"> избори</w:t>
      </w:r>
      <w:r w:rsidR="00F70FB9">
        <w:rPr>
          <w:lang w:val="bg-BG"/>
        </w:rPr>
        <w:t>,</w:t>
      </w:r>
      <w:r w:rsidR="00E12C4E">
        <w:rPr>
          <w:lang w:val="bg-BG"/>
        </w:rPr>
        <w:t xml:space="preserve"> решава да действа против Конституцията и да основе</w:t>
      </w:r>
      <w:r w:rsidR="00443701">
        <w:rPr>
          <w:lang w:val="bg-BG"/>
        </w:rPr>
        <w:t xml:space="preserve"> Латвийския комитет за обществено спасение, който прави опит за узурпация на властта, за разпускане на Върховния съвет и </w:t>
      </w:r>
      <w:r w:rsidR="00E12C4E">
        <w:rPr>
          <w:lang w:val="bg-BG"/>
        </w:rPr>
        <w:t xml:space="preserve">на </w:t>
      </w:r>
      <w:r w:rsidR="00443701">
        <w:rPr>
          <w:lang w:val="bg-BG"/>
        </w:rPr>
        <w:t xml:space="preserve">легитимното </w:t>
      </w:r>
      <w:r w:rsidR="00E12C4E">
        <w:rPr>
          <w:lang w:val="bg-BG"/>
        </w:rPr>
        <w:t>п</w:t>
      </w:r>
      <w:r w:rsidR="00A25B47">
        <w:rPr>
          <w:lang w:val="bg-BG"/>
        </w:rPr>
        <w:t>равителство</w:t>
      </w:r>
      <w:r w:rsidR="00443701">
        <w:rPr>
          <w:lang w:val="bg-BG"/>
        </w:rPr>
        <w:t xml:space="preserve"> на Латвия.</w:t>
      </w:r>
      <w:r w:rsidR="00F70FB9">
        <w:rPr>
          <w:lang w:val="bg-BG"/>
        </w:rPr>
        <w:t xml:space="preserve"> Подобни </w:t>
      </w:r>
      <w:r w:rsidR="00E12C4E">
        <w:rPr>
          <w:lang w:val="bg-BG"/>
        </w:rPr>
        <w:t>действия са в противоречие не само с</w:t>
      </w:r>
      <w:r w:rsidR="00F70FB9">
        <w:rPr>
          <w:lang w:val="bg-BG"/>
        </w:rPr>
        <w:t xml:space="preserve"> чл. 2 от Конституцията от 1922 г., който гласи, че</w:t>
      </w:r>
      <w:r w:rsidR="00725C16">
        <w:rPr>
          <w:lang w:val="bg-BG"/>
        </w:rPr>
        <w:t xml:space="preserve"> суверенната власт е съсредоточена в</w:t>
      </w:r>
      <w:r w:rsidR="00E12C4E">
        <w:rPr>
          <w:lang w:val="bg-BG"/>
        </w:rPr>
        <w:t xml:space="preserve"> </w:t>
      </w:r>
      <w:r w:rsidR="005903B4">
        <w:rPr>
          <w:lang w:val="bg-BG"/>
        </w:rPr>
        <w:t xml:space="preserve">ръцете на </w:t>
      </w:r>
      <w:r w:rsidR="00E12C4E">
        <w:rPr>
          <w:lang w:val="bg-BG"/>
        </w:rPr>
        <w:t>народа, но и с</w:t>
      </w:r>
      <w:r w:rsidR="00F70FB9">
        <w:rPr>
          <w:lang w:val="bg-BG"/>
        </w:rPr>
        <w:t xml:space="preserve"> чл. 2 от Конституцията на Латвийска ССР, който дава единствено на избраните съвети </w:t>
      </w:r>
      <w:r w:rsidR="00F70FB9" w:rsidRPr="00945ED6">
        <w:rPr>
          <w:lang w:val="bg-BG"/>
        </w:rPr>
        <w:t>(</w:t>
      </w:r>
      <w:r w:rsidR="00F70FB9" w:rsidRPr="00BB4F95">
        <w:rPr>
          <w:i/>
          <w:iCs/>
          <w:lang w:val="en-GB"/>
        </w:rPr>
        <w:t>soviets</w:t>
      </w:r>
      <w:r w:rsidR="00F70FB9" w:rsidRPr="00945ED6">
        <w:rPr>
          <w:lang w:val="bg-BG"/>
        </w:rPr>
        <w:t>)</w:t>
      </w:r>
      <w:r w:rsidR="00F70FB9">
        <w:rPr>
          <w:lang w:val="bg-BG"/>
        </w:rPr>
        <w:t xml:space="preserve"> правомощията да действат от името на народа.</w:t>
      </w:r>
    </w:p>
    <w:p w:rsidR="002D30DF" w:rsidRPr="00C51877" w:rsidRDefault="002D30DF" w:rsidP="00B8206D">
      <w:pPr>
        <w:pStyle w:val="JuPara"/>
        <w:rPr>
          <w:lang w:val="bg-BG"/>
        </w:rPr>
      </w:pPr>
      <w:r w:rsidRPr="00C51877">
        <w:rPr>
          <w:lang w:val="bg-BG"/>
        </w:rPr>
        <w:t>(</w:t>
      </w:r>
      <w:r w:rsidR="005903B4" w:rsidRPr="00C51877">
        <w:rPr>
          <w:lang w:val="bg-BG"/>
        </w:rPr>
        <w:t>б</w:t>
      </w:r>
      <w:r w:rsidRPr="00C51877">
        <w:rPr>
          <w:lang w:val="bg-BG"/>
        </w:rPr>
        <w:t>)</w:t>
      </w:r>
      <w:r w:rsidRPr="00C51877">
        <w:rPr>
          <w:lang w:val="en-GB"/>
        </w:rPr>
        <w:t>  </w:t>
      </w:r>
      <w:r w:rsidR="00F70FB9" w:rsidRPr="00C51877">
        <w:rPr>
          <w:lang w:val="bg-BG"/>
        </w:rPr>
        <w:t>Цент</w:t>
      </w:r>
      <w:r w:rsidR="00E12C4E" w:rsidRPr="00C51877">
        <w:rPr>
          <w:lang w:val="bg-BG"/>
        </w:rPr>
        <w:t>ралният комитет на ЛКП оказва</w:t>
      </w:r>
      <w:r w:rsidR="00F70FB9" w:rsidRPr="00C51877">
        <w:rPr>
          <w:lang w:val="bg-BG"/>
        </w:rPr>
        <w:t xml:space="preserve"> финансова подкрепа на специалното звено</w:t>
      </w:r>
      <w:r w:rsidR="00E11F7C" w:rsidRPr="00C51877">
        <w:rPr>
          <w:lang w:val="bg-BG"/>
        </w:rPr>
        <w:t xml:space="preserve"> от Съветската полиция, което носи цялата отговорност за фаталните инциденти от януари 1991 г. (вж</w:t>
      </w:r>
      <w:r w:rsidR="003B604A">
        <w:rPr>
          <w:lang w:val="bg-BG"/>
        </w:rPr>
        <w:t>.</w:t>
      </w:r>
      <w:r w:rsidR="00E11F7C" w:rsidRPr="00C51877">
        <w:rPr>
          <w:lang w:val="bg-BG"/>
        </w:rPr>
        <w:t xml:space="preserve"> параграфи 22-23 по-горе); в същото време Латвийският комитет за обществено спасение публично изразява своята подкрепа за въпросния милитаризиран орган. </w:t>
      </w:r>
    </w:p>
    <w:p w:rsidR="002D30DF" w:rsidRPr="00C51877" w:rsidRDefault="002D30DF" w:rsidP="00B8206D">
      <w:pPr>
        <w:pStyle w:val="JuPara"/>
        <w:rPr>
          <w:i/>
          <w:lang w:val="bg-BG"/>
        </w:rPr>
      </w:pPr>
      <w:r w:rsidRPr="00C51877">
        <w:rPr>
          <w:lang w:val="bg-BG"/>
        </w:rPr>
        <w:t>(</w:t>
      </w:r>
      <w:r w:rsidR="005903B4" w:rsidRPr="00C51877">
        <w:rPr>
          <w:lang w:val="bg-BG"/>
        </w:rPr>
        <w:t>в</w:t>
      </w:r>
      <w:r w:rsidRPr="00C51877">
        <w:rPr>
          <w:lang w:val="bg-BG"/>
        </w:rPr>
        <w:t>)</w:t>
      </w:r>
      <w:r w:rsidRPr="00C51877">
        <w:rPr>
          <w:lang w:val="en-GB"/>
        </w:rPr>
        <w:t>  </w:t>
      </w:r>
      <w:r w:rsidR="00E11F7C" w:rsidRPr="00C51877">
        <w:rPr>
          <w:lang w:val="bg-BG"/>
        </w:rPr>
        <w:t>По време на преврата от август 1991 г. Централният комитет на ЛКП открито декларира своята под</w:t>
      </w:r>
      <w:r w:rsidR="00827A92" w:rsidRPr="00C51877">
        <w:rPr>
          <w:lang w:val="bg-BG"/>
        </w:rPr>
        <w:t>к</w:t>
      </w:r>
      <w:r w:rsidR="00E11F7C" w:rsidRPr="00C51877">
        <w:rPr>
          <w:lang w:val="bg-BG"/>
        </w:rPr>
        <w:t>репа за Държавния комитет за извънредно положение, създава „оперативна група</w:t>
      </w:r>
      <w:r w:rsidR="00F67CDC" w:rsidRPr="00C51877">
        <w:rPr>
          <w:lang w:val="bg-BG"/>
        </w:rPr>
        <w:t>”</w:t>
      </w:r>
      <w:r w:rsidR="00E11F7C" w:rsidRPr="00C51877">
        <w:rPr>
          <w:lang w:val="bg-BG"/>
        </w:rPr>
        <w:t xml:space="preserve"> с цел да му оказва помощ и </w:t>
      </w:r>
      <w:r w:rsidR="00247560" w:rsidRPr="00C51877">
        <w:rPr>
          <w:lang w:val="bg-BG"/>
        </w:rPr>
        <w:t>публикува обръщение</w:t>
      </w:r>
      <w:r w:rsidR="00F64D3D" w:rsidRPr="00C51877">
        <w:rPr>
          <w:lang w:val="bg-BG"/>
        </w:rPr>
        <w:t xml:space="preserve"> към народа</w:t>
      </w:r>
      <w:r w:rsidR="00247560" w:rsidRPr="00C51877">
        <w:rPr>
          <w:lang w:val="bg-BG"/>
        </w:rPr>
        <w:t>, което призовава обществеността да се съобразява с</w:t>
      </w:r>
      <w:r w:rsidR="00095712">
        <w:rPr>
          <w:lang w:val="bg-BG"/>
        </w:rPr>
        <w:t xml:space="preserve"> режима, наложен от</w:t>
      </w:r>
      <w:r w:rsidR="00247560" w:rsidRPr="00C51877">
        <w:rPr>
          <w:lang w:val="bg-BG"/>
        </w:rPr>
        <w:t xml:space="preserve"> самопровъзгласилия се и противоконституционен орган.</w:t>
      </w:r>
    </w:p>
    <w:p w:rsidR="005911E9" w:rsidRPr="00945ED6" w:rsidRDefault="00080049" w:rsidP="005911E9">
      <w:pPr>
        <w:pStyle w:val="JuHA"/>
        <w:rPr>
          <w:lang w:val="bg-BG"/>
        </w:rPr>
      </w:pPr>
      <w:r w:rsidRPr="00C51877">
        <w:rPr>
          <w:lang w:val="bg-BG"/>
        </w:rPr>
        <w:t>Б</w:t>
      </w:r>
      <w:r w:rsidR="005911E9" w:rsidRPr="00C51877">
        <w:rPr>
          <w:lang w:val="bg-BG"/>
        </w:rPr>
        <w:t>.</w:t>
      </w:r>
      <w:r w:rsidR="005911E9" w:rsidRPr="00C51877">
        <w:t>  </w:t>
      </w:r>
      <w:r w:rsidR="00F04F47" w:rsidRPr="00C51877">
        <w:rPr>
          <w:lang w:val="bg-BG"/>
        </w:rPr>
        <w:t>Общинските</w:t>
      </w:r>
      <w:r w:rsidR="00F04F47">
        <w:rPr>
          <w:lang w:val="bg-BG"/>
        </w:rPr>
        <w:t xml:space="preserve"> избори през</w:t>
      </w:r>
      <w:r w:rsidR="00247560">
        <w:rPr>
          <w:lang w:val="bg-BG"/>
        </w:rPr>
        <w:t xml:space="preserve"> 1997 г.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33</w:t>
      </w:r>
      <w:r w:rsidRPr="00E17978">
        <w:fldChar w:fldCharType="end"/>
      </w:r>
      <w:r w:rsidR="005911E9" w:rsidRPr="00945ED6">
        <w:rPr>
          <w:lang w:val="bg-BG"/>
        </w:rPr>
        <w:t>.</w:t>
      </w:r>
      <w:r w:rsidR="005911E9" w:rsidRPr="00BB4F95">
        <w:rPr>
          <w:lang w:val="en-GB"/>
        </w:rPr>
        <w:t>  </w:t>
      </w:r>
      <w:r w:rsidR="00247560">
        <w:rPr>
          <w:lang w:val="bg-BG"/>
        </w:rPr>
        <w:t>На 25 януари 1997 г. Движението за социална справ</w:t>
      </w:r>
      <w:r w:rsidR="003919C4">
        <w:rPr>
          <w:lang w:val="bg-BG"/>
        </w:rPr>
        <w:t>едливост и равни права предава</w:t>
      </w:r>
      <w:r w:rsidR="00247560">
        <w:rPr>
          <w:lang w:val="bg-BG"/>
        </w:rPr>
        <w:t xml:space="preserve"> на избирателната </w:t>
      </w:r>
      <w:r w:rsidR="00D34871">
        <w:rPr>
          <w:lang w:val="bg-BG"/>
        </w:rPr>
        <w:t xml:space="preserve">комисия в </w:t>
      </w:r>
      <w:r w:rsidR="00652202">
        <w:rPr>
          <w:lang w:val="bg-BG"/>
        </w:rPr>
        <w:t xml:space="preserve">гр. </w:t>
      </w:r>
      <w:r w:rsidR="00D34871">
        <w:rPr>
          <w:lang w:val="bg-BG"/>
        </w:rPr>
        <w:t>Рига листа</w:t>
      </w:r>
      <w:r w:rsidR="00247560">
        <w:rPr>
          <w:lang w:val="bg-BG"/>
        </w:rPr>
        <w:t xml:space="preserve"> с десет кандидати за предстоящите общински избори </w:t>
      </w:r>
      <w:r w:rsidR="00DE3F2C">
        <w:rPr>
          <w:lang w:val="bg-BG"/>
        </w:rPr>
        <w:t>на 9 март</w:t>
      </w:r>
      <w:r w:rsidR="00247560">
        <w:rPr>
          <w:lang w:val="bg-BG"/>
        </w:rPr>
        <w:t xml:space="preserve"> 1997 г. </w:t>
      </w:r>
      <w:r w:rsidR="00354C6E">
        <w:rPr>
          <w:lang w:val="bg-BG"/>
        </w:rPr>
        <w:t>Жалбоподателката</w:t>
      </w:r>
      <w:r w:rsidR="00247560">
        <w:rPr>
          <w:lang w:val="bg-BG"/>
        </w:rPr>
        <w:t xml:space="preserve"> е сред тези кандидати. В съответствие с изискванията в Закона за</w:t>
      </w:r>
      <w:r w:rsidR="00652202">
        <w:rPr>
          <w:lang w:val="bg-BG"/>
        </w:rPr>
        <w:t xml:space="preserve"> общинските избори, тя</w:t>
      </w:r>
      <w:r w:rsidR="00D34871">
        <w:rPr>
          <w:lang w:val="bg-BG"/>
        </w:rPr>
        <w:t xml:space="preserve"> се подписва в листата</w:t>
      </w:r>
      <w:r w:rsidR="00247560">
        <w:rPr>
          <w:lang w:val="bg-BG"/>
        </w:rPr>
        <w:t xml:space="preserve"> и прилага писмено заявление, в което потвърждава, че не е сред лицата</w:t>
      </w:r>
      <w:r w:rsidR="003C1614">
        <w:rPr>
          <w:lang w:val="bg-BG"/>
        </w:rPr>
        <w:t xml:space="preserve">, посочени в раздел 9 от същия Закон. Съгласно условията на Закона физически лица, които </w:t>
      </w:r>
      <w:r w:rsidR="00D34871">
        <w:rPr>
          <w:lang w:val="bg-BG"/>
        </w:rPr>
        <w:t xml:space="preserve">след 13 януари 1991 г. </w:t>
      </w:r>
      <w:r w:rsidR="003C1614">
        <w:rPr>
          <w:lang w:val="bg-BG"/>
        </w:rPr>
        <w:t>са „участвали активно</w:t>
      </w:r>
      <w:r w:rsidR="00F67CDC">
        <w:rPr>
          <w:lang w:val="bg-BG"/>
        </w:rPr>
        <w:t>”</w:t>
      </w:r>
      <w:r w:rsidR="003C1614">
        <w:rPr>
          <w:lang w:val="bg-BG"/>
        </w:rPr>
        <w:t xml:space="preserve"> </w:t>
      </w:r>
      <w:r w:rsidR="003C1614" w:rsidRPr="00945ED6">
        <w:rPr>
          <w:lang w:val="bg-BG"/>
        </w:rPr>
        <w:t>(</w:t>
      </w:r>
      <w:r w:rsidR="003C1614" w:rsidRPr="00BB4F95">
        <w:rPr>
          <w:i/>
          <w:iCs/>
          <w:lang w:val="en-GB"/>
        </w:rPr>
        <w:t>darboju</w:t>
      </w:r>
      <w:r w:rsidR="003C1614" w:rsidRPr="00945ED6">
        <w:rPr>
          <w:i/>
          <w:iCs/>
          <w:lang w:val="bg-BG"/>
        </w:rPr>
        <w:t>šā</w:t>
      </w:r>
      <w:r w:rsidR="003C1614" w:rsidRPr="00BB4F95">
        <w:rPr>
          <w:i/>
          <w:iCs/>
          <w:lang w:val="en-GB"/>
        </w:rPr>
        <w:t>s</w:t>
      </w:r>
      <w:r w:rsidR="003C1614" w:rsidRPr="00945ED6">
        <w:rPr>
          <w:lang w:val="bg-BG"/>
        </w:rPr>
        <w:t>)</w:t>
      </w:r>
      <w:r w:rsidR="00652202">
        <w:rPr>
          <w:lang w:val="bg-BG"/>
        </w:rPr>
        <w:t xml:space="preserve"> в КПСС, ЛКП и </w:t>
      </w:r>
      <w:r w:rsidR="003C1614">
        <w:rPr>
          <w:lang w:val="bg-BG"/>
        </w:rPr>
        <w:t>други упоменати ор</w:t>
      </w:r>
      <w:r w:rsidR="00D34871">
        <w:rPr>
          <w:lang w:val="bg-BG"/>
        </w:rPr>
        <w:t>ганизации</w:t>
      </w:r>
      <w:r w:rsidR="003C1614">
        <w:rPr>
          <w:lang w:val="bg-BG"/>
        </w:rPr>
        <w:t>, нямат право да се кандидатират на общинските избори.</w:t>
      </w:r>
      <w:r w:rsidR="00652202">
        <w:rPr>
          <w:lang w:val="bg-BG"/>
        </w:rPr>
        <w:t xml:space="preserve"> </w:t>
      </w:r>
      <w:r w:rsidR="00095712">
        <w:rPr>
          <w:lang w:val="bg-BG"/>
        </w:rPr>
        <w:t xml:space="preserve">С </w:t>
      </w:r>
      <w:r w:rsidR="00DE3F2C">
        <w:rPr>
          <w:lang w:val="bg-BG"/>
        </w:rPr>
        <w:t xml:space="preserve">писмо, </w:t>
      </w:r>
      <w:r w:rsidR="00D34871">
        <w:rPr>
          <w:lang w:val="bg-BG"/>
        </w:rPr>
        <w:t>подадено</w:t>
      </w:r>
      <w:r w:rsidR="008118AE">
        <w:rPr>
          <w:lang w:val="bg-BG"/>
        </w:rPr>
        <w:t xml:space="preserve"> в</w:t>
      </w:r>
      <w:r w:rsidR="00DE3F2C">
        <w:rPr>
          <w:lang w:val="bg-BG"/>
        </w:rPr>
        <w:t xml:space="preserve"> същия ден</w:t>
      </w:r>
      <w:r w:rsidR="00D34871">
        <w:rPr>
          <w:lang w:val="bg-BG"/>
        </w:rPr>
        <w:t xml:space="preserve"> като листата</w:t>
      </w:r>
      <w:r w:rsidR="00652202">
        <w:rPr>
          <w:lang w:val="bg-BG"/>
        </w:rPr>
        <w:t>, жалбоподателката</w:t>
      </w:r>
      <w:r w:rsidR="00DE3F2C">
        <w:rPr>
          <w:lang w:val="bg-BG"/>
        </w:rPr>
        <w:t xml:space="preserve"> уведомява избирателната</w:t>
      </w:r>
      <w:r w:rsidR="0053706A">
        <w:rPr>
          <w:lang w:val="bg-BG"/>
        </w:rPr>
        <w:t xml:space="preserve"> комисия, че е членувала в партийната организация</w:t>
      </w:r>
      <w:r w:rsidR="00DE3F2C">
        <w:rPr>
          <w:lang w:val="bg-BG"/>
        </w:rPr>
        <w:t xml:space="preserve"> на ЛКП в Плявниеки и в </w:t>
      </w:r>
      <w:r w:rsidR="00DE3F2C">
        <w:rPr>
          <w:iCs/>
          <w:lang w:val="bg-BG"/>
        </w:rPr>
        <w:t xml:space="preserve">Централния комитет за </w:t>
      </w:r>
      <w:r w:rsidR="00095712">
        <w:rPr>
          <w:iCs/>
          <w:lang w:val="bg-BG"/>
        </w:rPr>
        <w:t xml:space="preserve">надзор </w:t>
      </w:r>
      <w:r w:rsidR="00DE3F2C">
        <w:rPr>
          <w:iCs/>
          <w:lang w:val="bg-BG"/>
        </w:rPr>
        <w:t>и проверка</w:t>
      </w:r>
      <w:r w:rsidR="00D34871">
        <w:rPr>
          <w:iCs/>
          <w:lang w:val="bg-BG"/>
        </w:rPr>
        <w:t xml:space="preserve"> на ЛКП</w:t>
      </w:r>
      <w:r w:rsidR="00DE3F2C">
        <w:rPr>
          <w:iCs/>
          <w:lang w:val="bg-BG"/>
        </w:rPr>
        <w:t xml:space="preserve"> до 10 септември 1991 г. – денят,</w:t>
      </w:r>
      <w:r w:rsidR="00D34871">
        <w:rPr>
          <w:iCs/>
          <w:lang w:val="bg-BG"/>
        </w:rPr>
        <w:t xml:space="preserve"> в който партията</w:t>
      </w:r>
      <w:r w:rsidR="00DE3F2C">
        <w:rPr>
          <w:iCs/>
          <w:lang w:val="bg-BG"/>
        </w:rPr>
        <w:t xml:space="preserve"> официално се разпуска. </w:t>
      </w:r>
      <w:r w:rsidR="00D34871">
        <w:rPr>
          <w:iCs/>
          <w:lang w:val="bg-BG"/>
        </w:rPr>
        <w:t>Въпреки това</w:t>
      </w:r>
      <w:r w:rsidR="00652202">
        <w:rPr>
          <w:iCs/>
          <w:lang w:val="bg-BG"/>
        </w:rPr>
        <w:t xml:space="preserve"> жалбоподателката</w:t>
      </w:r>
      <w:r w:rsidR="00D34871">
        <w:rPr>
          <w:iCs/>
          <w:lang w:val="bg-BG"/>
        </w:rPr>
        <w:t xml:space="preserve"> твърди, че гореспоменатите ограничения не могат да </w:t>
      </w:r>
      <w:r w:rsidR="00652202">
        <w:rPr>
          <w:iCs/>
          <w:lang w:val="bg-BG"/>
        </w:rPr>
        <w:lastRenderedPageBreak/>
        <w:t>ѝ бъдат наложени</w:t>
      </w:r>
      <w:r w:rsidR="00D34871">
        <w:rPr>
          <w:iCs/>
          <w:lang w:val="bg-BG"/>
        </w:rPr>
        <w:t>, тъй като противоречат на чл</w:t>
      </w:r>
      <w:r w:rsidR="003D32F6">
        <w:rPr>
          <w:iCs/>
          <w:lang w:val="bg-BG"/>
        </w:rPr>
        <w:t>ен</w:t>
      </w:r>
      <w:r w:rsidR="00D34871">
        <w:rPr>
          <w:iCs/>
          <w:lang w:val="bg-BG"/>
        </w:rPr>
        <w:t xml:space="preserve"> 2 и </w:t>
      </w:r>
      <w:r w:rsidR="003D32F6">
        <w:rPr>
          <w:iCs/>
          <w:lang w:val="bg-BG"/>
        </w:rPr>
        <w:t xml:space="preserve">член </w:t>
      </w:r>
      <w:r w:rsidR="00D34871">
        <w:rPr>
          <w:iCs/>
          <w:lang w:val="bg-BG"/>
        </w:rPr>
        <w:t>25 от Международния пакт за граждански и политически права.</w:t>
      </w:r>
      <w:r w:rsidR="00DE3F2C">
        <w:rPr>
          <w:iCs/>
          <w:lang w:val="bg-BG"/>
        </w:rPr>
        <w:t xml:space="preserve"> </w:t>
      </w:r>
      <w:r w:rsidR="00DE3F2C">
        <w:rPr>
          <w:lang w:val="bg-BG"/>
        </w:rPr>
        <w:t xml:space="preserve"> </w:t>
      </w:r>
      <w:r w:rsidR="003C1614">
        <w:rPr>
          <w:lang w:val="bg-BG"/>
        </w:rPr>
        <w:t xml:space="preserve">  </w:t>
      </w:r>
      <w:r w:rsidR="00247560">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34</w:t>
      </w:r>
      <w:r w:rsidRPr="00E17978">
        <w:fldChar w:fldCharType="end"/>
      </w:r>
      <w:r w:rsidR="005911E9" w:rsidRPr="00945ED6">
        <w:rPr>
          <w:lang w:val="bg-BG"/>
        </w:rPr>
        <w:t>.</w:t>
      </w:r>
      <w:r w:rsidR="005911E9" w:rsidRPr="00BB4F95">
        <w:rPr>
          <w:lang w:val="en-GB"/>
        </w:rPr>
        <w:t>  </w:t>
      </w:r>
      <w:r w:rsidR="00D34871">
        <w:rPr>
          <w:lang w:val="bg-BG"/>
        </w:rPr>
        <w:t>С решение от 11 февруари 1997 г. избирателната комис</w:t>
      </w:r>
      <w:r w:rsidR="003919C4">
        <w:rPr>
          <w:lang w:val="bg-BG"/>
        </w:rPr>
        <w:t xml:space="preserve">ия в </w:t>
      </w:r>
      <w:r w:rsidR="00652202">
        <w:rPr>
          <w:lang w:val="bg-BG"/>
        </w:rPr>
        <w:t xml:space="preserve">гр. </w:t>
      </w:r>
      <w:r w:rsidR="003919C4">
        <w:rPr>
          <w:lang w:val="bg-BG"/>
        </w:rPr>
        <w:t>Рига регистрира внесената</w:t>
      </w:r>
      <w:r w:rsidR="00D34871">
        <w:rPr>
          <w:lang w:val="bg-BG"/>
        </w:rPr>
        <w:t xml:space="preserve"> от </w:t>
      </w:r>
      <w:r w:rsidR="00354C6E">
        <w:rPr>
          <w:lang w:val="bg-BG"/>
        </w:rPr>
        <w:t>жалбоподателката</w:t>
      </w:r>
      <w:r w:rsidR="00652202">
        <w:rPr>
          <w:lang w:val="bg-BG"/>
        </w:rPr>
        <w:t xml:space="preserve"> листа. На изборите на</w:t>
      </w:r>
      <w:r w:rsidR="00D34871">
        <w:rPr>
          <w:lang w:val="bg-BG"/>
        </w:rPr>
        <w:t xml:space="preserve"> 9 март 1997 г. </w:t>
      </w:r>
      <w:r w:rsidR="00F04F47">
        <w:rPr>
          <w:lang w:val="bg-BG"/>
        </w:rPr>
        <w:t xml:space="preserve">кандидатите в тази листа печелят четири от общо шейсет места в Градския съвет на Рига </w:t>
      </w:r>
      <w:r w:rsidR="00F04F47" w:rsidRPr="00945ED6">
        <w:rPr>
          <w:lang w:val="bg-BG"/>
        </w:rPr>
        <w:t>(</w:t>
      </w:r>
      <w:r w:rsidR="00F04F47" w:rsidRPr="00BB4F95">
        <w:rPr>
          <w:i/>
          <w:iCs/>
          <w:lang w:val="en-GB"/>
        </w:rPr>
        <w:t>R</w:t>
      </w:r>
      <w:r w:rsidR="00F04F47" w:rsidRPr="00945ED6">
        <w:rPr>
          <w:i/>
          <w:iCs/>
          <w:lang w:val="bg-BG"/>
        </w:rPr>
        <w:t>ī</w:t>
      </w:r>
      <w:r w:rsidR="00F04F47" w:rsidRPr="00BB4F95">
        <w:rPr>
          <w:i/>
          <w:iCs/>
          <w:lang w:val="en-GB"/>
        </w:rPr>
        <w:t>gas</w:t>
      </w:r>
      <w:r w:rsidR="00F04F47" w:rsidRPr="00945ED6">
        <w:rPr>
          <w:i/>
          <w:iCs/>
          <w:lang w:val="bg-BG"/>
        </w:rPr>
        <w:t xml:space="preserve"> </w:t>
      </w:r>
      <w:r w:rsidR="00F04F47" w:rsidRPr="00BB4F95">
        <w:rPr>
          <w:i/>
          <w:iCs/>
          <w:lang w:val="en-GB"/>
        </w:rPr>
        <w:t>Dome</w:t>
      </w:r>
      <w:r w:rsidR="00F04F47" w:rsidRPr="00945ED6">
        <w:rPr>
          <w:lang w:val="bg-BG"/>
        </w:rPr>
        <w:t>)</w:t>
      </w:r>
      <w:r w:rsidR="00F04F47">
        <w:rPr>
          <w:lang w:val="bg-BG"/>
        </w:rPr>
        <w:t xml:space="preserve">. </w:t>
      </w:r>
      <w:r w:rsidR="00354C6E">
        <w:rPr>
          <w:lang w:val="bg-BG"/>
        </w:rPr>
        <w:t>Жалбоподателката</w:t>
      </w:r>
      <w:r w:rsidR="00F04F47">
        <w:rPr>
          <w:lang w:val="bg-BG"/>
        </w:rPr>
        <w:t xml:space="preserve"> е сред избраните.</w:t>
      </w:r>
      <w:r w:rsidR="00D34871">
        <w:rPr>
          <w:lang w:val="bg-BG"/>
        </w:rPr>
        <w:t xml:space="preserve"> </w:t>
      </w:r>
    </w:p>
    <w:p w:rsidR="005911E9" w:rsidRPr="00945ED6" w:rsidRDefault="00080049" w:rsidP="005911E9">
      <w:pPr>
        <w:pStyle w:val="JuHA"/>
        <w:rPr>
          <w:lang w:val="bg-BG"/>
        </w:rPr>
      </w:pPr>
      <w:r>
        <w:rPr>
          <w:lang w:val="bg-BG"/>
        </w:rPr>
        <w:t>В</w:t>
      </w:r>
      <w:r w:rsidR="005911E9" w:rsidRPr="00945ED6">
        <w:rPr>
          <w:lang w:val="bg-BG"/>
        </w:rPr>
        <w:t>.</w:t>
      </w:r>
      <w:r w:rsidR="005911E9" w:rsidRPr="00E17978">
        <w:t>  </w:t>
      </w:r>
      <w:r w:rsidR="00A25B47">
        <w:rPr>
          <w:lang w:val="bg-BG"/>
        </w:rPr>
        <w:t>Парламентарните</w:t>
      </w:r>
      <w:r w:rsidR="00F04F47">
        <w:rPr>
          <w:lang w:val="bg-BG"/>
        </w:rPr>
        <w:t xml:space="preserve"> избори през 1998 г.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35</w:t>
      </w:r>
      <w:r w:rsidRPr="00E17978">
        <w:fldChar w:fldCharType="end"/>
      </w:r>
      <w:r w:rsidR="005911E9" w:rsidRPr="00945ED6">
        <w:rPr>
          <w:lang w:val="bg-BG"/>
        </w:rPr>
        <w:t>.</w:t>
      </w:r>
      <w:r w:rsidR="005911E9" w:rsidRPr="00BB4F95">
        <w:rPr>
          <w:lang w:val="en-GB"/>
        </w:rPr>
        <w:t>  </w:t>
      </w:r>
      <w:r w:rsidR="00F04F47">
        <w:rPr>
          <w:lang w:val="bg-BG"/>
        </w:rPr>
        <w:t xml:space="preserve">С идеята да участва в </w:t>
      </w:r>
      <w:r w:rsidR="00A25B47">
        <w:rPr>
          <w:lang w:val="bg-BG"/>
        </w:rPr>
        <w:t>Парламентарните</w:t>
      </w:r>
      <w:r w:rsidR="00F04F47">
        <w:rPr>
          <w:lang w:val="bg-BG"/>
        </w:rPr>
        <w:t xml:space="preserve"> избори на 3 октомври 1998 г., Движението за социална справедливост и равни права в Латвия сформира коалиция с Партията за национална хармония </w:t>
      </w:r>
      <w:r w:rsidR="00F04F47" w:rsidRPr="00945ED6">
        <w:rPr>
          <w:lang w:val="bg-BG"/>
        </w:rPr>
        <w:t>(</w:t>
      </w:r>
      <w:r w:rsidR="00F04F47" w:rsidRPr="00BB4F95">
        <w:rPr>
          <w:i/>
          <w:iCs/>
          <w:lang w:val="en-GB"/>
        </w:rPr>
        <w:t>Tautas</w:t>
      </w:r>
      <w:r w:rsidR="00F04F47" w:rsidRPr="00945ED6">
        <w:rPr>
          <w:i/>
          <w:iCs/>
          <w:lang w:val="bg-BG"/>
        </w:rPr>
        <w:t xml:space="preserve"> </w:t>
      </w:r>
      <w:r w:rsidR="00F04F47" w:rsidRPr="00BB4F95">
        <w:rPr>
          <w:i/>
          <w:iCs/>
          <w:lang w:val="en-GB"/>
        </w:rPr>
        <w:t>Saska</w:t>
      </w:r>
      <w:r w:rsidR="00F04F47" w:rsidRPr="00945ED6">
        <w:rPr>
          <w:i/>
          <w:iCs/>
          <w:lang w:val="bg-BG"/>
        </w:rPr>
        <w:t>ņ</w:t>
      </w:r>
      <w:r w:rsidR="00F04F47" w:rsidRPr="00BB4F95">
        <w:rPr>
          <w:i/>
          <w:iCs/>
          <w:lang w:val="en-GB"/>
        </w:rPr>
        <w:t>as</w:t>
      </w:r>
      <w:r w:rsidR="00F04F47" w:rsidRPr="00945ED6">
        <w:rPr>
          <w:i/>
          <w:iCs/>
          <w:lang w:val="bg-BG"/>
        </w:rPr>
        <w:t xml:space="preserve"> </w:t>
      </w:r>
      <w:r w:rsidR="00F04F47" w:rsidRPr="00BB4F95">
        <w:rPr>
          <w:i/>
          <w:iCs/>
          <w:lang w:val="en-GB"/>
        </w:rPr>
        <w:t>partija</w:t>
      </w:r>
      <w:r w:rsidR="00F04F47" w:rsidRPr="00945ED6">
        <w:rPr>
          <w:lang w:val="bg-BG"/>
        </w:rPr>
        <w:t>)</w:t>
      </w:r>
      <w:r w:rsidR="00F04F47">
        <w:rPr>
          <w:lang w:val="bg-BG"/>
        </w:rPr>
        <w:t xml:space="preserve">, Латвийската социалистическа партия </w:t>
      </w:r>
      <w:r w:rsidR="00F04F47" w:rsidRPr="00945ED6">
        <w:rPr>
          <w:lang w:val="bg-BG"/>
        </w:rPr>
        <w:t>(</w:t>
      </w:r>
      <w:r w:rsidR="00F04F47" w:rsidRPr="00BB4F95">
        <w:rPr>
          <w:i/>
          <w:iCs/>
          <w:lang w:val="en-GB"/>
        </w:rPr>
        <w:t>Latvijas</w:t>
      </w:r>
      <w:r w:rsidR="00F04F47" w:rsidRPr="00945ED6">
        <w:rPr>
          <w:i/>
          <w:iCs/>
          <w:lang w:val="bg-BG"/>
        </w:rPr>
        <w:t xml:space="preserve"> </w:t>
      </w:r>
      <w:r w:rsidR="00F04F47" w:rsidRPr="00BB4F95">
        <w:rPr>
          <w:i/>
          <w:iCs/>
          <w:lang w:val="en-GB"/>
        </w:rPr>
        <w:t>Soci</w:t>
      </w:r>
      <w:r w:rsidR="00F04F47" w:rsidRPr="00945ED6">
        <w:rPr>
          <w:i/>
          <w:iCs/>
          <w:lang w:val="bg-BG"/>
        </w:rPr>
        <w:t>ā</w:t>
      </w:r>
      <w:r w:rsidR="00F04F47" w:rsidRPr="00BB4F95">
        <w:rPr>
          <w:i/>
          <w:iCs/>
          <w:lang w:val="en-GB"/>
        </w:rPr>
        <w:t>listisk</w:t>
      </w:r>
      <w:r w:rsidR="00F04F47" w:rsidRPr="00945ED6">
        <w:rPr>
          <w:i/>
          <w:iCs/>
          <w:lang w:val="bg-BG"/>
        </w:rPr>
        <w:t xml:space="preserve">ā </w:t>
      </w:r>
      <w:r w:rsidR="00F04F47" w:rsidRPr="00BB4F95">
        <w:rPr>
          <w:i/>
          <w:iCs/>
          <w:lang w:val="en-GB"/>
        </w:rPr>
        <w:t>partija</w:t>
      </w:r>
      <w:r w:rsidR="00F04F47" w:rsidRPr="00945ED6">
        <w:rPr>
          <w:lang w:val="bg-BG"/>
        </w:rPr>
        <w:t>)</w:t>
      </w:r>
      <w:r w:rsidR="00F04F47">
        <w:rPr>
          <w:lang w:val="bg-BG"/>
        </w:rPr>
        <w:t xml:space="preserve"> и Руската партия </w:t>
      </w:r>
      <w:r w:rsidR="00F04F47" w:rsidRPr="00945ED6">
        <w:rPr>
          <w:lang w:val="bg-BG"/>
        </w:rPr>
        <w:t>(</w:t>
      </w:r>
      <w:r w:rsidR="00F04F47" w:rsidRPr="00BB4F95">
        <w:rPr>
          <w:i/>
          <w:iCs/>
          <w:lang w:val="en-GB"/>
        </w:rPr>
        <w:t>Krievu</w:t>
      </w:r>
      <w:r w:rsidR="00F04F47" w:rsidRPr="00945ED6">
        <w:rPr>
          <w:i/>
          <w:iCs/>
          <w:lang w:val="bg-BG"/>
        </w:rPr>
        <w:t xml:space="preserve"> </w:t>
      </w:r>
      <w:r w:rsidR="00F04F47" w:rsidRPr="00BB4F95">
        <w:rPr>
          <w:i/>
          <w:iCs/>
          <w:lang w:val="en-GB"/>
        </w:rPr>
        <w:t>partija</w:t>
      </w:r>
      <w:r w:rsidR="00F04F47" w:rsidRPr="00945ED6">
        <w:rPr>
          <w:lang w:val="bg-BG"/>
        </w:rPr>
        <w:t>)</w:t>
      </w:r>
      <w:r w:rsidR="00F04F47">
        <w:rPr>
          <w:lang w:val="bg-BG"/>
        </w:rPr>
        <w:t>. Четирите партии съставят обща листа, озаглавена „Партия за национална хармония</w:t>
      </w:r>
      <w:r w:rsidR="00F67CDC">
        <w:rPr>
          <w:lang w:val="bg-BG"/>
        </w:rPr>
        <w:t>”</w:t>
      </w:r>
      <w:r w:rsidR="00F04F47">
        <w:rPr>
          <w:lang w:val="bg-BG"/>
        </w:rPr>
        <w:t xml:space="preserve">. </w:t>
      </w:r>
      <w:r w:rsidR="00C7351D">
        <w:rPr>
          <w:lang w:val="bg-BG"/>
        </w:rPr>
        <w:t xml:space="preserve">Името на </w:t>
      </w:r>
      <w:r w:rsidR="00354C6E">
        <w:rPr>
          <w:lang w:val="bg-BG"/>
        </w:rPr>
        <w:t>жалбоподателката</w:t>
      </w:r>
      <w:r w:rsidR="00C7351D">
        <w:rPr>
          <w:lang w:val="bg-BG"/>
        </w:rPr>
        <w:t xml:space="preserve"> присъства в тази листа като кандидат за избирателни райони Рига и Видземе. </w:t>
      </w:r>
      <w:r w:rsidR="00F04F47">
        <w:rPr>
          <w:lang w:val="bg-BG"/>
        </w:rPr>
        <w:t xml:space="preserve">  </w:t>
      </w:r>
    </w:p>
    <w:p w:rsidR="005911E9" w:rsidRPr="00945ED6" w:rsidRDefault="00652202" w:rsidP="00B8206D">
      <w:pPr>
        <w:pStyle w:val="JuPara"/>
        <w:rPr>
          <w:lang w:val="bg-BG"/>
        </w:rPr>
      </w:pPr>
      <w:r w:rsidRPr="00945ED6">
        <w:rPr>
          <w:lang w:val="bg-BG"/>
        </w:rPr>
        <w:t>Н</w:t>
      </w:r>
      <w:r w:rsidR="00C7351D">
        <w:rPr>
          <w:lang w:val="en-US"/>
        </w:rPr>
        <w:t>a</w:t>
      </w:r>
      <w:r w:rsidR="00C7351D" w:rsidRPr="00945ED6">
        <w:rPr>
          <w:lang w:val="bg-BG"/>
        </w:rPr>
        <w:t xml:space="preserve"> 28 </w:t>
      </w:r>
      <w:r w:rsidR="00C7351D">
        <w:rPr>
          <w:lang w:val="bg-BG"/>
        </w:rPr>
        <w:t>юли 1998 г. ли</w:t>
      </w:r>
      <w:r>
        <w:rPr>
          <w:lang w:val="bg-BG"/>
        </w:rPr>
        <w:t>стата е предадена за регистрация на Централна</w:t>
      </w:r>
      <w:r w:rsidR="00772231">
        <w:rPr>
          <w:lang w:val="bg-BG"/>
        </w:rPr>
        <w:t>та</w:t>
      </w:r>
      <w:r>
        <w:rPr>
          <w:lang w:val="bg-BG"/>
        </w:rPr>
        <w:t xml:space="preserve"> избирателна комисия. Съгласно</w:t>
      </w:r>
      <w:r w:rsidR="00C7351D">
        <w:rPr>
          <w:lang w:val="bg-BG"/>
        </w:rPr>
        <w:t xml:space="preserve"> изискванията в Закона за </w:t>
      </w:r>
      <w:r w:rsidR="00A25B47">
        <w:rPr>
          <w:lang w:val="bg-BG"/>
        </w:rPr>
        <w:t>парламентарните</w:t>
      </w:r>
      <w:r>
        <w:rPr>
          <w:lang w:val="bg-BG"/>
        </w:rPr>
        <w:t xml:space="preserve"> избори, жалбоподателката</w:t>
      </w:r>
      <w:r w:rsidR="00C7351D">
        <w:rPr>
          <w:lang w:val="bg-BG"/>
        </w:rPr>
        <w:t xml:space="preserve"> подписва листата и прилага към нея писмено заявление</w:t>
      </w:r>
      <w:r w:rsidR="000F3382">
        <w:rPr>
          <w:lang w:val="bg-BG"/>
        </w:rPr>
        <w:t>, идентично с онова, което е подала по-рано във връзка с общинските избори. Също както в случая с изборите от 1997 г.,</w:t>
      </w:r>
      <w:r w:rsidR="005903B4">
        <w:rPr>
          <w:lang w:val="bg-BG"/>
        </w:rPr>
        <w:t xml:space="preserve"> тя изпраща писмо до</w:t>
      </w:r>
      <w:r>
        <w:rPr>
          <w:lang w:val="bg-BG"/>
        </w:rPr>
        <w:t xml:space="preserve"> Централна</w:t>
      </w:r>
      <w:r w:rsidR="00772231">
        <w:rPr>
          <w:lang w:val="bg-BG"/>
        </w:rPr>
        <w:t>та</w:t>
      </w:r>
      <w:r w:rsidR="000F3382">
        <w:rPr>
          <w:lang w:val="bg-BG"/>
        </w:rPr>
        <w:t xml:space="preserve"> избирателна комисия, в което </w:t>
      </w:r>
      <w:r w:rsidR="00797FC0">
        <w:rPr>
          <w:lang w:val="bg-BG"/>
        </w:rPr>
        <w:t xml:space="preserve">обяснява своето положение и твърди, че гореспоменатите ограничения са несъвместими с </w:t>
      </w:r>
      <w:r w:rsidR="00797FC0">
        <w:rPr>
          <w:iCs/>
          <w:lang w:val="bg-BG"/>
        </w:rPr>
        <w:t>Международния пакт за граждански и политически права и чл</w:t>
      </w:r>
      <w:r w:rsidR="00772231">
        <w:rPr>
          <w:iCs/>
          <w:lang w:val="bg-BG"/>
        </w:rPr>
        <w:t>ен</w:t>
      </w:r>
      <w:r w:rsidR="00797FC0">
        <w:rPr>
          <w:iCs/>
          <w:lang w:val="bg-BG"/>
        </w:rPr>
        <w:t xml:space="preserve"> 3 от </w:t>
      </w:r>
      <w:r w:rsidR="00797FC0">
        <w:rPr>
          <w:lang w:val="bg-BG"/>
        </w:rPr>
        <w:t xml:space="preserve">Протокол </w:t>
      </w:r>
      <w:r w:rsidR="00797FC0" w:rsidRPr="00BD78EA">
        <w:rPr>
          <w:szCs w:val="24"/>
          <w:cs/>
        </w:rPr>
        <w:t>№</w:t>
      </w:r>
      <w:r w:rsidR="00797FC0">
        <w:rPr>
          <w:rFonts w:hint="cs"/>
          <w:szCs w:val="24"/>
          <w:cs/>
        </w:rPr>
        <w:t xml:space="preserve"> 1 </w:t>
      </w:r>
      <w:r w:rsidR="00772231">
        <w:rPr>
          <w:rFonts w:hint="cs"/>
          <w:szCs w:val="24"/>
          <w:cs/>
        </w:rPr>
        <w:t>към</w:t>
      </w:r>
      <w:r w:rsidR="00797FC0">
        <w:rPr>
          <w:rFonts w:hint="cs"/>
          <w:szCs w:val="24"/>
          <w:cs/>
        </w:rPr>
        <w:t xml:space="preserve"> Конвенцията.</w:t>
      </w:r>
      <w:r w:rsidR="00797FC0">
        <w:rPr>
          <w:iCs/>
          <w:lang w:val="bg-BG"/>
        </w:rPr>
        <w:t xml:space="preserve"> </w:t>
      </w:r>
      <w:r w:rsidR="00797FC0">
        <w:rPr>
          <w:lang w:val="bg-BG"/>
        </w:rPr>
        <w:t xml:space="preserve">  </w:t>
      </w:r>
      <w:r w:rsidR="00C7351D">
        <w:rPr>
          <w:lang w:val="bg-BG"/>
        </w:rPr>
        <w:t xml:space="preserve"> </w:t>
      </w:r>
      <w:r w:rsidR="00C7351D" w:rsidRPr="00945ED6">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36</w:t>
      </w:r>
      <w:r w:rsidRPr="00E17978">
        <w:fldChar w:fldCharType="end"/>
      </w:r>
      <w:r w:rsidR="005911E9" w:rsidRPr="00945ED6">
        <w:rPr>
          <w:lang w:val="bg-BG"/>
        </w:rPr>
        <w:t>.</w:t>
      </w:r>
      <w:r w:rsidR="005911E9" w:rsidRPr="00BB4F95">
        <w:rPr>
          <w:lang w:val="en-GB"/>
        </w:rPr>
        <w:t>  </w:t>
      </w:r>
      <w:r w:rsidR="00652202">
        <w:rPr>
          <w:lang w:val="bg-BG"/>
        </w:rPr>
        <w:t>На 29 юли 1998 г. Централна</w:t>
      </w:r>
      <w:r w:rsidR="00772231">
        <w:rPr>
          <w:lang w:val="bg-BG"/>
        </w:rPr>
        <w:t>та</w:t>
      </w:r>
      <w:r w:rsidR="005D635E">
        <w:rPr>
          <w:lang w:val="bg-BG"/>
        </w:rPr>
        <w:t xml:space="preserve"> избирателна комисия </w:t>
      </w:r>
      <w:r w:rsidR="005D635E" w:rsidRPr="005903B4">
        <w:rPr>
          <w:lang w:val="bg-BG"/>
        </w:rPr>
        <w:t>спира</w:t>
      </w:r>
      <w:r w:rsidR="005D635E">
        <w:rPr>
          <w:lang w:val="bg-BG"/>
        </w:rPr>
        <w:t xml:space="preserve"> регистрацията на листата с мотива, че кандидатурата на </w:t>
      </w:r>
      <w:r w:rsidR="00354C6E">
        <w:rPr>
          <w:lang w:val="bg-BG"/>
        </w:rPr>
        <w:t>жалбоподателката</w:t>
      </w:r>
      <w:r w:rsidR="005D635E">
        <w:rPr>
          <w:lang w:val="bg-BG"/>
        </w:rPr>
        <w:t xml:space="preserve"> не отговаря на изискванията на Закона за </w:t>
      </w:r>
      <w:r w:rsidR="00A25B47">
        <w:rPr>
          <w:lang w:val="bg-BG"/>
        </w:rPr>
        <w:t>парламентарните</w:t>
      </w:r>
      <w:r w:rsidR="005D635E">
        <w:rPr>
          <w:lang w:val="bg-BG"/>
        </w:rPr>
        <w:t xml:space="preserve"> избори. От съображения да не застраши перспективите за регистрация на цялата листа, </w:t>
      </w:r>
      <w:r w:rsidR="00354C6E">
        <w:rPr>
          <w:lang w:val="bg-BG"/>
        </w:rPr>
        <w:t>жалбоподателката</w:t>
      </w:r>
      <w:r w:rsidR="005D635E">
        <w:rPr>
          <w:lang w:val="bg-BG"/>
        </w:rPr>
        <w:t xml:space="preserve"> оттегля кандидатурата си, след което листата веднага е регистрирана.  </w:t>
      </w:r>
    </w:p>
    <w:p w:rsidR="005911E9" w:rsidRPr="00945ED6" w:rsidRDefault="00080049" w:rsidP="005911E9">
      <w:pPr>
        <w:pStyle w:val="JuHA"/>
        <w:rPr>
          <w:lang w:val="bg-BG"/>
        </w:rPr>
      </w:pPr>
      <w:r>
        <w:rPr>
          <w:lang w:val="bg-BG"/>
        </w:rPr>
        <w:t>Г</w:t>
      </w:r>
      <w:r w:rsidR="005911E9" w:rsidRPr="00945ED6">
        <w:rPr>
          <w:lang w:val="bg-BG"/>
        </w:rPr>
        <w:t>.</w:t>
      </w:r>
      <w:r w:rsidR="005911E9" w:rsidRPr="00E17978">
        <w:t>  </w:t>
      </w:r>
      <w:r w:rsidR="005D635E" w:rsidRPr="00DB1B3A">
        <w:rPr>
          <w:lang w:val="bg-BG"/>
        </w:rPr>
        <w:t>Процедур</w:t>
      </w:r>
      <w:r w:rsidR="004B2FBA" w:rsidRPr="00DB1B3A">
        <w:rPr>
          <w:lang w:val="bg-BG"/>
        </w:rPr>
        <w:t xml:space="preserve">ата по установяване </w:t>
      </w:r>
      <w:r w:rsidR="001931CA" w:rsidRPr="00DB1B3A">
        <w:rPr>
          <w:lang w:val="bg-BG"/>
        </w:rPr>
        <w:t xml:space="preserve">на участието </w:t>
      </w:r>
      <w:r w:rsidR="005D635E" w:rsidRPr="00DB1B3A">
        <w:rPr>
          <w:lang w:val="bg-BG"/>
        </w:rPr>
        <w:t xml:space="preserve">на </w:t>
      </w:r>
      <w:r w:rsidR="00354C6E" w:rsidRPr="00DB1B3A">
        <w:rPr>
          <w:lang w:val="bg-BG"/>
        </w:rPr>
        <w:t>жалбоподателката</w:t>
      </w:r>
      <w:r w:rsidR="005D635E" w:rsidRPr="00DB1B3A">
        <w:rPr>
          <w:lang w:val="bg-BG"/>
        </w:rPr>
        <w:t xml:space="preserve"> в ЛКП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37</w:t>
      </w:r>
      <w:r w:rsidRPr="00E17978">
        <w:fldChar w:fldCharType="end"/>
      </w:r>
      <w:r w:rsidR="005911E9" w:rsidRPr="00945ED6">
        <w:rPr>
          <w:lang w:val="bg-BG"/>
        </w:rPr>
        <w:t>.</w:t>
      </w:r>
      <w:r w:rsidR="005911E9" w:rsidRPr="00BB4F95">
        <w:rPr>
          <w:lang w:val="en-GB"/>
        </w:rPr>
        <w:t>  </w:t>
      </w:r>
      <w:r w:rsidR="005D635E">
        <w:rPr>
          <w:lang w:val="bg-BG"/>
        </w:rPr>
        <w:t>С писмо от 7 август 1998</w:t>
      </w:r>
      <w:r w:rsidR="00652202">
        <w:rPr>
          <w:lang w:val="bg-BG"/>
        </w:rPr>
        <w:t xml:space="preserve"> г. председателят на Централна</w:t>
      </w:r>
      <w:r w:rsidR="00885B0B">
        <w:rPr>
          <w:lang w:val="bg-BG"/>
        </w:rPr>
        <w:t>та</w:t>
      </w:r>
      <w:r w:rsidR="001B61B0">
        <w:rPr>
          <w:lang w:val="bg-BG"/>
        </w:rPr>
        <w:t xml:space="preserve"> избирателна комисия иска </w:t>
      </w:r>
      <w:r w:rsidR="005D635E">
        <w:rPr>
          <w:lang w:val="bg-BG"/>
        </w:rPr>
        <w:t>главния</w:t>
      </w:r>
      <w:r w:rsidR="001B61B0">
        <w:rPr>
          <w:lang w:val="bg-BG"/>
        </w:rPr>
        <w:t>т</w:t>
      </w:r>
      <w:r w:rsidR="005D635E">
        <w:rPr>
          <w:lang w:val="bg-BG"/>
        </w:rPr>
        <w:t xml:space="preserve"> прокурор да разгледа легитимността на избора на </w:t>
      </w:r>
      <w:r w:rsidR="00354C6E">
        <w:rPr>
          <w:lang w:val="bg-BG"/>
        </w:rPr>
        <w:t>жалбоподателката</w:t>
      </w:r>
      <w:r w:rsidR="001B61B0">
        <w:rPr>
          <w:lang w:val="bg-BG"/>
        </w:rPr>
        <w:t xml:space="preserve"> за член на</w:t>
      </w:r>
      <w:r w:rsidR="005D635E">
        <w:rPr>
          <w:lang w:val="bg-BG"/>
        </w:rPr>
        <w:t xml:space="preserve"> Градския съвет на Рига.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38</w:t>
      </w:r>
      <w:r w:rsidRPr="00E17978">
        <w:fldChar w:fldCharType="end"/>
      </w:r>
      <w:r w:rsidR="005911E9" w:rsidRPr="00945ED6">
        <w:rPr>
          <w:lang w:val="bg-BG"/>
        </w:rPr>
        <w:t>.</w:t>
      </w:r>
      <w:r w:rsidR="005911E9" w:rsidRPr="00BB4F95">
        <w:rPr>
          <w:lang w:val="en-GB"/>
        </w:rPr>
        <w:t>  </w:t>
      </w:r>
      <w:r w:rsidR="00B0226E">
        <w:rPr>
          <w:lang w:val="bg-BG"/>
        </w:rPr>
        <w:t>С</w:t>
      </w:r>
      <w:r w:rsidR="00866697">
        <w:rPr>
          <w:lang w:val="bg-BG"/>
        </w:rPr>
        <w:t xml:space="preserve"> решение от 31 август 1998 г., копие от което е изпратено до Централна</w:t>
      </w:r>
      <w:r w:rsidR="00885B0B">
        <w:rPr>
          <w:lang w:val="bg-BG"/>
        </w:rPr>
        <w:t>та</w:t>
      </w:r>
      <w:r w:rsidR="009522EA">
        <w:rPr>
          <w:lang w:val="bg-BG"/>
        </w:rPr>
        <w:t xml:space="preserve"> избирателна комисия, Главна</w:t>
      </w:r>
      <w:r w:rsidR="00866697">
        <w:rPr>
          <w:lang w:val="bg-BG"/>
        </w:rPr>
        <w:t xml:space="preserve"> прокуратура </w:t>
      </w:r>
      <w:r w:rsidR="00866697" w:rsidRPr="00945ED6">
        <w:rPr>
          <w:lang w:val="bg-BG"/>
        </w:rPr>
        <w:t>(</w:t>
      </w:r>
      <w:r w:rsidR="00866697" w:rsidRPr="00945ED6">
        <w:rPr>
          <w:i/>
          <w:iCs/>
          <w:lang w:val="bg-BG"/>
        </w:rPr>
        <w:t>Ģ</w:t>
      </w:r>
      <w:r w:rsidR="00866697" w:rsidRPr="00BB4F95">
        <w:rPr>
          <w:i/>
          <w:iCs/>
          <w:lang w:val="en-GB"/>
        </w:rPr>
        <w:t>ener</w:t>
      </w:r>
      <w:r w:rsidR="00866697" w:rsidRPr="00945ED6">
        <w:rPr>
          <w:i/>
          <w:iCs/>
          <w:lang w:val="bg-BG"/>
        </w:rPr>
        <w:t>ā</w:t>
      </w:r>
      <w:r w:rsidR="00866697" w:rsidRPr="00BB4F95">
        <w:rPr>
          <w:i/>
          <w:iCs/>
          <w:lang w:val="en-GB"/>
        </w:rPr>
        <w:t>lprokurat</w:t>
      </w:r>
      <w:r w:rsidR="00866697" w:rsidRPr="00945ED6">
        <w:rPr>
          <w:i/>
          <w:iCs/>
          <w:lang w:val="bg-BG"/>
        </w:rPr>
        <w:t>ū</w:t>
      </w:r>
      <w:r w:rsidR="00866697" w:rsidRPr="00BB4F95">
        <w:rPr>
          <w:i/>
          <w:iCs/>
          <w:lang w:val="en-GB"/>
        </w:rPr>
        <w:t>ra</w:t>
      </w:r>
      <w:r w:rsidR="00866697" w:rsidRPr="00945ED6">
        <w:rPr>
          <w:lang w:val="bg-BG"/>
        </w:rPr>
        <w:t>)</w:t>
      </w:r>
      <w:r w:rsidR="00866697">
        <w:rPr>
          <w:lang w:val="bg-BG"/>
        </w:rPr>
        <w:t xml:space="preserve"> отбелязва, че </w:t>
      </w:r>
      <w:r w:rsidR="00354C6E">
        <w:rPr>
          <w:lang w:val="bg-BG"/>
        </w:rPr>
        <w:t>жалбоподателката</w:t>
      </w:r>
      <w:r w:rsidR="00866697">
        <w:rPr>
          <w:lang w:val="bg-BG"/>
        </w:rPr>
        <w:t xml:space="preserve"> не е извършил</w:t>
      </w:r>
      <w:r w:rsidR="001B61B0">
        <w:rPr>
          <w:lang w:val="bg-BG"/>
        </w:rPr>
        <w:t>а</w:t>
      </w:r>
      <w:r w:rsidR="00866697">
        <w:rPr>
          <w:lang w:val="bg-BG"/>
        </w:rPr>
        <w:t xml:space="preserve"> </w:t>
      </w:r>
      <w:r w:rsidR="00866697">
        <w:rPr>
          <w:lang w:val="bg-BG"/>
        </w:rPr>
        <w:lastRenderedPageBreak/>
        <w:t>никакво действие</w:t>
      </w:r>
      <w:r w:rsidR="00080049">
        <w:rPr>
          <w:lang w:val="bg-BG"/>
        </w:rPr>
        <w:t>, което се определя</w:t>
      </w:r>
      <w:r w:rsidR="001B61B0">
        <w:rPr>
          <w:lang w:val="bg-BG"/>
        </w:rPr>
        <w:t xml:space="preserve"> като престъпление от</w:t>
      </w:r>
      <w:r w:rsidR="00866697">
        <w:rPr>
          <w:lang w:val="bg-BG"/>
        </w:rPr>
        <w:t xml:space="preserve"> Нак</w:t>
      </w:r>
      <w:r w:rsidR="001B61B0">
        <w:rPr>
          <w:lang w:val="bg-BG"/>
        </w:rPr>
        <w:t>а</w:t>
      </w:r>
      <w:r w:rsidR="00866697">
        <w:rPr>
          <w:lang w:val="bg-BG"/>
        </w:rPr>
        <w:t>зателния кодекс. Според ре</w:t>
      </w:r>
      <w:r w:rsidR="001B61B0">
        <w:rPr>
          <w:lang w:val="bg-BG"/>
        </w:rPr>
        <w:t>шението, макар жалбоподателката</w:t>
      </w:r>
      <w:r w:rsidR="00866697">
        <w:rPr>
          <w:lang w:val="bg-BG"/>
        </w:rPr>
        <w:t xml:space="preserve"> </w:t>
      </w:r>
      <w:r w:rsidR="001B61B0">
        <w:rPr>
          <w:lang w:val="bg-BG"/>
        </w:rPr>
        <w:t xml:space="preserve">да </w:t>
      </w:r>
      <w:r w:rsidR="00866697">
        <w:rPr>
          <w:lang w:val="bg-BG"/>
        </w:rPr>
        <w:t xml:space="preserve">е предоставила на избирателната комисия в </w:t>
      </w:r>
      <w:r w:rsidR="001B61B0">
        <w:rPr>
          <w:lang w:val="bg-BG"/>
        </w:rPr>
        <w:t xml:space="preserve">гр. </w:t>
      </w:r>
      <w:r w:rsidR="00866697">
        <w:rPr>
          <w:lang w:val="bg-BG"/>
        </w:rPr>
        <w:t>Рига невярна информация относно уча</w:t>
      </w:r>
      <w:r w:rsidR="001B61B0">
        <w:rPr>
          <w:lang w:val="bg-BG"/>
        </w:rPr>
        <w:t>стието си в ЛКП, няма доказателства</w:t>
      </w:r>
      <w:r w:rsidR="00866697">
        <w:rPr>
          <w:lang w:val="bg-BG"/>
        </w:rPr>
        <w:t>, че е направила това с конкретна</w:t>
      </w:r>
      <w:r w:rsidR="001B61B0">
        <w:rPr>
          <w:lang w:val="bg-BG"/>
        </w:rPr>
        <w:t>та</w:t>
      </w:r>
      <w:r w:rsidR="00866697">
        <w:rPr>
          <w:lang w:val="bg-BG"/>
        </w:rPr>
        <w:t xml:space="preserve"> цел да подведе комисията.</w:t>
      </w:r>
      <w:r w:rsidR="003C3BDF">
        <w:rPr>
          <w:lang w:val="bg-BG"/>
        </w:rPr>
        <w:t xml:space="preserve"> </w:t>
      </w:r>
      <w:r w:rsidR="003C3BDF" w:rsidRPr="00080049">
        <w:rPr>
          <w:lang w:val="bg-BG"/>
        </w:rPr>
        <w:t>П</w:t>
      </w:r>
      <w:r w:rsidR="00866697" w:rsidRPr="00080049">
        <w:rPr>
          <w:lang w:val="bg-BG"/>
        </w:rPr>
        <w:t>рокурорите</w:t>
      </w:r>
      <w:r w:rsidR="00866697">
        <w:rPr>
          <w:lang w:val="bg-BG"/>
        </w:rPr>
        <w:t xml:space="preserve"> считат, че </w:t>
      </w:r>
      <w:r w:rsidR="003C3BDF">
        <w:rPr>
          <w:lang w:val="bg-BG"/>
        </w:rPr>
        <w:t>заявлението</w:t>
      </w:r>
      <w:r w:rsidR="00866697">
        <w:rPr>
          <w:lang w:val="bg-BG"/>
        </w:rPr>
        <w:t>, приложено</w:t>
      </w:r>
      <w:r w:rsidR="003C3BDF">
        <w:rPr>
          <w:lang w:val="bg-BG"/>
        </w:rPr>
        <w:t xml:space="preserve"> от </w:t>
      </w:r>
      <w:r w:rsidR="00354C6E">
        <w:rPr>
          <w:lang w:val="bg-BG"/>
        </w:rPr>
        <w:t>жалбоподателката</w:t>
      </w:r>
      <w:r w:rsidR="00866697">
        <w:rPr>
          <w:lang w:val="bg-BG"/>
        </w:rPr>
        <w:t xml:space="preserve"> към листата с кандидати за изборите на 9 март 1997 г., </w:t>
      </w:r>
      <w:r w:rsidR="003C3BDF">
        <w:rPr>
          <w:lang w:val="bg-BG"/>
        </w:rPr>
        <w:t xml:space="preserve">трябва да се чете във връзка с обяснителното </w:t>
      </w:r>
      <w:r w:rsidR="00A94155">
        <w:rPr>
          <w:lang w:val="bg-BG"/>
        </w:rPr>
        <w:t xml:space="preserve">ѝ </w:t>
      </w:r>
      <w:r w:rsidR="003C3BDF">
        <w:rPr>
          <w:lang w:val="bg-BG"/>
        </w:rPr>
        <w:t>писмо от 25 януари 1997 г.</w:t>
      </w:r>
      <w:r w:rsidR="00866697">
        <w:rPr>
          <w:lang w:val="bg-BG"/>
        </w:rPr>
        <w:t xml:space="preserve"> </w:t>
      </w:r>
    </w:p>
    <w:p w:rsidR="005911E9" w:rsidRPr="00945ED6" w:rsidRDefault="005D3E62" w:rsidP="00B8206D">
      <w:pPr>
        <w:pStyle w:val="JuPara"/>
        <w:rPr>
          <w:lang w:val="bg-BG"/>
        </w:rPr>
      </w:pPr>
      <w:r w:rsidRPr="00E17978">
        <w:fldChar w:fldCharType="begin"/>
      </w:r>
      <w:r w:rsidR="002D30DF" w:rsidRPr="00945ED6">
        <w:rPr>
          <w:lang w:val="bg-BG"/>
        </w:rPr>
        <w:instrText xml:space="preserve"> </w:instrText>
      </w:r>
      <w:r w:rsidR="002D30DF" w:rsidRPr="00BB4F95">
        <w:rPr>
          <w:lang w:val="en-GB"/>
        </w:rPr>
        <w:instrText>SEQ</w:instrText>
      </w:r>
      <w:r w:rsidR="002D30DF" w:rsidRPr="00945ED6">
        <w:rPr>
          <w:lang w:val="bg-BG"/>
        </w:rPr>
        <w:instrText xml:space="preserve"> </w:instrText>
      </w:r>
      <w:r w:rsidR="002D30DF" w:rsidRPr="00BB4F95">
        <w:rPr>
          <w:lang w:val="en-GB"/>
        </w:rPr>
        <w:instrText>level</w:instrText>
      </w:r>
      <w:r w:rsidR="002D30DF" w:rsidRPr="00945ED6">
        <w:rPr>
          <w:lang w:val="bg-BG"/>
        </w:rPr>
        <w:instrText>0 \*</w:instrText>
      </w:r>
      <w:r w:rsidR="002D30DF" w:rsidRPr="00BB4F95">
        <w:rPr>
          <w:lang w:val="en-GB"/>
        </w:rPr>
        <w:instrText>arabic</w:instrText>
      </w:r>
      <w:r w:rsidR="002D30DF" w:rsidRPr="00945ED6">
        <w:rPr>
          <w:lang w:val="bg-BG"/>
        </w:rPr>
        <w:instrText xml:space="preserve"> </w:instrText>
      </w:r>
      <w:r w:rsidRPr="00E17978">
        <w:fldChar w:fldCharType="separate"/>
      </w:r>
      <w:r w:rsidR="00955550" w:rsidRPr="00945ED6">
        <w:rPr>
          <w:noProof/>
          <w:lang w:val="bg-BG"/>
        </w:rPr>
        <w:t>39</w:t>
      </w:r>
      <w:r w:rsidRPr="00E17978">
        <w:fldChar w:fldCharType="end"/>
      </w:r>
      <w:r w:rsidR="002D30DF" w:rsidRPr="00945ED6">
        <w:rPr>
          <w:lang w:val="bg-BG"/>
        </w:rPr>
        <w:t>.</w:t>
      </w:r>
      <w:r w:rsidR="002D30DF" w:rsidRPr="00BB4F95">
        <w:rPr>
          <w:lang w:val="en-GB"/>
        </w:rPr>
        <w:t>  </w:t>
      </w:r>
      <w:r w:rsidR="009522EA">
        <w:rPr>
          <w:lang w:val="bg-BG"/>
        </w:rPr>
        <w:t>На 14 януари 1999 г. Главна</w:t>
      </w:r>
      <w:r w:rsidR="00105054">
        <w:rPr>
          <w:lang w:val="bg-BG"/>
        </w:rPr>
        <w:t xml:space="preserve"> проку</w:t>
      </w:r>
      <w:r w:rsidR="00FC0274">
        <w:rPr>
          <w:lang w:val="bg-BG"/>
        </w:rPr>
        <w:t>ратура се обръща към окръжния</w:t>
      </w:r>
      <w:r w:rsidR="00105054">
        <w:rPr>
          <w:lang w:val="bg-BG"/>
        </w:rPr>
        <w:t xml:space="preserve"> съ</w:t>
      </w:r>
      <w:r w:rsidR="00700BCB">
        <w:rPr>
          <w:lang w:val="bg-BG"/>
        </w:rPr>
        <w:t xml:space="preserve">д в </w:t>
      </w:r>
      <w:r w:rsidR="001B61B0">
        <w:rPr>
          <w:lang w:val="bg-BG"/>
        </w:rPr>
        <w:t xml:space="preserve">гр. </w:t>
      </w:r>
      <w:r w:rsidR="00700BCB">
        <w:rPr>
          <w:lang w:val="bg-BG"/>
        </w:rPr>
        <w:t xml:space="preserve">Рига </w:t>
      </w:r>
      <w:r w:rsidR="00285A88">
        <w:rPr>
          <w:lang w:val="bg-BG"/>
        </w:rPr>
        <w:t>за констатация</w:t>
      </w:r>
      <w:r w:rsidR="00105054">
        <w:rPr>
          <w:lang w:val="bg-BG"/>
        </w:rPr>
        <w:t xml:space="preserve">, че </w:t>
      </w:r>
      <w:r w:rsidR="00354C6E">
        <w:rPr>
          <w:lang w:val="bg-BG"/>
        </w:rPr>
        <w:t>жалбоподателката</w:t>
      </w:r>
      <w:r w:rsidR="001B61B0">
        <w:rPr>
          <w:lang w:val="bg-BG"/>
        </w:rPr>
        <w:t xml:space="preserve"> е участвала</w:t>
      </w:r>
      <w:r w:rsidR="00105054">
        <w:rPr>
          <w:lang w:val="bg-BG"/>
        </w:rPr>
        <w:t xml:space="preserve"> в дейността на ЛКП след 13 януари 1991 г.</w:t>
      </w:r>
      <w:r w:rsidR="00B66485">
        <w:rPr>
          <w:lang w:val="bg-BG"/>
        </w:rPr>
        <w:t xml:space="preserve"> Към твърдението </w:t>
      </w:r>
      <w:r w:rsidR="00B66485" w:rsidRPr="00080049">
        <w:rPr>
          <w:lang w:val="bg-BG"/>
        </w:rPr>
        <w:t>си прокурорите прилагат следните</w:t>
      </w:r>
      <w:r w:rsidR="00B66485">
        <w:rPr>
          <w:lang w:val="bg-BG"/>
        </w:rPr>
        <w:t xml:space="preserve"> документи: писмото на </w:t>
      </w:r>
      <w:r w:rsidR="00354C6E">
        <w:rPr>
          <w:lang w:val="bg-BG"/>
        </w:rPr>
        <w:t>жалбоподателката</w:t>
      </w:r>
      <w:r w:rsidR="00B66485">
        <w:rPr>
          <w:lang w:val="bg-BG"/>
        </w:rPr>
        <w:t xml:space="preserve"> от 25 януари 1997 г.; протоколите от заседанието на </w:t>
      </w:r>
      <w:r w:rsidR="00B66485">
        <w:rPr>
          <w:iCs/>
          <w:lang w:val="bg-BG"/>
        </w:rPr>
        <w:t>Централния комитет за</w:t>
      </w:r>
      <w:r w:rsidR="001B61B0">
        <w:rPr>
          <w:iCs/>
          <w:lang w:val="bg-BG"/>
        </w:rPr>
        <w:t xml:space="preserve"> на</w:t>
      </w:r>
      <w:r w:rsidR="00285A88">
        <w:rPr>
          <w:iCs/>
          <w:lang w:val="bg-BG"/>
        </w:rPr>
        <w:t>дзор</w:t>
      </w:r>
      <w:r w:rsidR="001B61B0">
        <w:rPr>
          <w:iCs/>
          <w:lang w:val="bg-BG"/>
        </w:rPr>
        <w:t xml:space="preserve"> и проверка на ЛКП на</w:t>
      </w:r>
      <w:r w:rsidR="00B66485">
        <w:rPr>
          <w:iCs/>
          <w:lang w:val="bg-BG"/>
        </w:rPr>
        <w:t xml:space="preserve"> 26 януари 1991 г.; протоколите от общото събрание на Централния комитет за на</w:t>
      </w:r>
      <w:r w:rsidR="00285A88">
        <w:rPr>
          <w:iCs/>
          <w:lang w:val="bg-BG"/>
        </w:rPr>
        <w:t>дзор</w:t>
      </w:r>
      <w:r w:rsidR="00B66485">
        <w:rPr>
          <w:iCs/>
          <w:lang w:val="bg-BG"/>
        </w:rPr>
        <w:t xml:space="preserve"> и проверка и общинските и регионални</w:t>
      </w:r>
      <w:r w:rsidR="00285A88">
        <w:rPr>
          <w:iCs/>
          <w:lang w:val="bg-BG"/>
        </w:rPr>
        <w:t>те</w:t>
      </w:r>
      <w:r w:rsidR="00B66485">
        <w:rPr>
          <w:iCs/>
          <w:lang w:val="bg-BG"/>
        </w:rPr>
        <w:t xml:space="preserve"> комитети за на</w:t>
      </w:r>
      <w:r w:rsidR="001B1AC5">
        <w:rPr>
          <w:iCs/>
          <w:lang w:val="bg-BG"/>
        </w:rPr>
        <w:t>дзор</w:t>
      </w:r>
      <w:r w:rsidR="00B66485">
        <w:rPr>
          <w:iCs/>
          <w:lang w:val="bg-BG"/>
        </w:rPr>
        <w:t xml:space="preserve"> и проверка от 27 ма</w:t>
      </w:r>
      <w:r w:rsidR="00827A92">
        <w:rPr>
          <w:iCs/>
          <w:lang w:val="bg-BG"/>
        </w:rPr>
        <w:t>рт 1991 г.; също така и приложенията</w:t>
      </w:r>
      <w:r w:rsidR="00B66485">
        <w:rPr>
          <w:iCs/>
          <w:lang w:val="bg-BG"/>
        </w:rPr>
        <w:t xml:space="preserve"> към тези протоколи, показващи структурата и състава на гореспоменатия комитет, както и списък с членовете на Комитета за проверка от 1 юли 1991 г.  </w:t>
      </w:r>
      <w:r w:rsidR="00B66485">
        <w:rPr>
          <w:lang w:val="bg-BG"/>
        </w:rPr>
        <w:t xml:space="preserve"> </w:t>
      </w:r>
      <w:r w:rsidR="00105054">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40</w:t>
      </w:r>
      <w:r w:rsidRPr="00E17978">
        <w:fldChar w:fldCharType="end"/>
      </w:r>
      <w:r w:rsidR="005911E9" w:rsidRPr="00945ED6">
        <w:rPr>
          <w:lang w:val="bg-BG"/>
        </w:rPr>
        <w:t>.</w:t>
      </w:r>
      <w:r w:rsidR="005911E9" w:rsidRPr="00BB4F95">
        <w:rPr>
          <w:lang w:val="en-GB"/>
        </w:rPr>
        <w:t>  </w:t>
      </w:r>
      <w:r w:rsidR="004B4A26">
        <w:rPr>
          <w:lang w:val="bg-BG"/>
        </w:rPr>
        <w:t>След състез</w:t>
      </w:r>
      <w:r w:rsidR="00FC0274">
        <w:rPr>
          <w:lang w:val="bg-BG"/>
        </w:rPr>
        <w:t>ателно производство окръжният</w:t>
      </w:r>
      <w:r w:rsidR="004B4A26">
        <w:rPr>
          <w:lang w:val="bg-BG"/>
        </w:rPr>
        <w:t xml:space="preserve"> съд в </w:t>
      </w:r>
      <w:r w:rsidR="001B61B0">
        <w:rPr>
          <w:lang w:val="bg-BG"/>
        </w:rPr>
        <w:t xml:space="preserve">гр. </w:t>
      </w:r>
      <w:r w:rsidR="004B4A26">
        <w:rPr>
          <w:lang w:val="bg-BG"/>
        </w:rPr>
        <w:t xml:space="preserve">Рига </w:t>
      </w:r>
      <w:r w:rsidR="004B4A26" w:rsidRPr="00080049">
        <w:rPr>
          <w:lang w:val="bg-BG"/>
        </w:rPr>
        <w:t>допуска прокурорското</w:t>
      </w:r>
      <w:r w:rsidR="004B4A26">
        <w:rPr>
          <w:lang w:val="bg-BG"/>
        </w:rPr>
        <w:t xml:space="preserve"> искане с решение от 15 февруари 1999 г. Съдът смята, че предоставените му документи ясно свидетелстват за активното участие на </w:t>
      </w:r>
      <w:r w:rsidR="00354C6E">
        <w:rPr>
          <w:lang w:val="bg-BG"/>
        </w:rPr>
        <w:t>жалбоподателката</w:t>
      </w:r>
      <w:r w:rsidR="004B4A26">
        <w:rPr>
          <w:lang w:val="bg-BG"/>
        </w:rPr>
        <w:t xml:space="preserve"> в делата на партията след критичната дата, също и че </w:t>
      </w:r>
      <w:r w:rsidR="00482D77">
        <w:rPr>
          <w:lang w:val="bg-BG"/>
        </w:rPr>
        <w:t xml:space="preserve">предоставените от </w:t>
      </w:r>
      <w:r w:rsidR="00354C6E">
        <w:rPr>
          <w:lang w:val="bg-BG"/>
        </w:rPr>
        <w:t>жалбоподателката</w:t>
      </w:r>
      <w:r w:rsidR="00482D77">
        <w:rPr>
          <w:lang w:val="bg-BG"/>
        </w:rPr>
        <w:t xml:space="preserve"> доказателства не са достатъч</w:t>
      </w:r>
      <w:r w:rsidR="00F30008">
        <w:rPr>
          <w:lang w:val="bg-BG"/>
        </w:rPr>
        <w:t xml:space="preserve">ни, за да опровергаят това </w:t>
      </w:r>
      <w:r w:rsidR="00EC6AFE">
        <w:rPr>
          <w:lang w:val="bg-BG"/>
        </w:rPr>
        <w:t>заключени</w:t>
      </w:r>
      <w:r w:rsidR="00F30008">
        <w:rPr>
          <w:lang w:val="bg-BG"/>
        </w:rPr>
        <w:t>е</w:t>
      </w:r>
      <w:r w:rsidR="00482D77">
        <w:rPr>
          <w:lang w:val="bg-BG"/>
        </w:rPr>
        <w:t>. Следователно съдът о</w:t>
      </w:r>
      <w:r w:rsidR="001B61B0">
        <w:rPr>
          <w:lang w:val="bg-BG"/>
        </w:rPr>
        <w:t>тхвърля доводите на жалбоподателката, че е членувала в</w:t>
      </w:r>
      <w:r w:rsidR="00482D77">
        <w:rPr>
          <w:lang w:val="bg-BG"/>
        </w:rPr>
        <w:t xml:space="preserve"> ЛКП само формално, не е уч</w:t>
      </w:r>
      <w:r w:rsidR="001B61B0">
        <w:rPr>
          <w:lang w:val="bg-BG"/>
        </w:rPr>
        <w:t xml:space="preserve">аствала в заседанията на </w:t>
      </w:r>
      <w:r w:rsidR="001B61B0">
        <w:rPr>
          <w:iCs/>
          <w:lang w:val="bg-BG"/>
        </w:rPr>
        <w:t>Централния</w:t>
      </w:r>
      <w:r w:rsidR="00482D77">
        <w:rPr>
          <w:iCs/>
          <w:lang w:val="bg-BG"/>
        </w:rPr>
        <w:t xml:space="preserve"> комитет за на</w:t>
      </w:r>
      <w:r w:rsidR="00EC6AFE">
        <w:rPr>
          <w:iCs/>
          <w:lang w:val="bg-BG"/>
        </w:rPr>
        <w:t>дзор</w:t>
      </w:r>
      <w:r w:rsidR="001B61B0">
        <w:rPr>
          <w:iCs/>
          <w:lang w:val="bg-BG"/>
        </w:rPr>
        <w:t xml:space="preserve"> и проверка и съответно </w:t>
      </w:r>
      <w:r w:rsidR="00482D77">
        <w:rPr>
          <w:iCs/>
          <w:lang w:val="bg-BG"/>
        </w:rPr>
        <w:t>не може да се счита, че е „действала</w:t>
      </w:r>
      <w:r w:rsidR="00F67CDC">
        <w:rPr>
          <w:iCs/>
          <w:lang w:val="bg-BG"/>
        </w:rPr>
        <w:t>”</w:t>
      </w:r>
      <w:r w:rsidR="00482D77">
        <w:rPr>
          <w:iCs/>
          <w:lang w:val="bg-BG"/>
        </w:rPr>
        <w:t xml:space="preserve">, „била </w:t>
      </w:r>
      <w:r w:rsidR="00A87962">
        <w:rPr>
          <w:iCs/>
          <w:lang w:val="bg-BG"/>
        </w:rPr>
        <w:t>е ативист</w:t>
      </w:r>
      <w:r w:rsidR="00F67CDC">
        <w:rPr>
          <w:iCs/>
          <w:lang w:val="bg-BG"/>
        </w:rPr>
        <w:t>”</w:t>
      </w:r>
      <w:r w:rsidR="00482D77">
        <w:rPr>
          <w:iCs/>
          <w:lang w:val="bg-BG"/>
        </w:rPr>
        <w:t xml:space="preserve"> или „участвала активно</w:t>
      </w:r>
      <w:r w:rsidR="00F67CDC">
        <w:rPr>
          <w:iCs/>
          <w:lang w:val="bg-BG"/>
        </w:rPr>
        <w:t>”</w:t>
      </w:r>
      <w:r w:rsidR="00482D77">
        <w:rPr>
          <w:iCs/>
          <w:lang w:val="bg-BG"/>
        </w:rPr>
        <w:t xml:space="preserve"> </w:t>
      </w:r>
      <w:r w:rsidR="00482D77" w:rsidRPr="00945ED6">
        <w:rPr>
          <w:lang w:val="bg-BG"/>
        </w:rPr>
        <w:t>(</w:t>
      </w:r>
      <w:r w:rsidR="00482D77" w:rsidRPr="00BB4F95">
        <w:rPr>
          <w:i/>
          <w:iCs/>
          <w:lang w:val="en-GB"/>
        </w:rPr>
        <w:t>darboties</w:t>
      </w:r>
      <w:r w:rsidR="00482D77" w:rsidRPr="00945ED6">
        <w:rPr>
          <w:lang w:val="bg-BG"/>
        </w:rPr>
        <w:t>)</w:t>
      </w:r>
      <w:r w:rsidR="001B61B0">
        <w:rPr>
          <w:lang w:val="bg-BG"/>
        </w:rPr>
        <w:t xml:space="preserve"> в дейността</w:t>
      </w:r>
      <w:r w:rsidR="00482D77">
        <w:rPr>
          <w:lang w:val="bg-BG"/>
        </w:rPr>
        <w:t xml:space="preserve"> на партията.</w:t>
      </w:r>
      <w:r w:rsidR="00482D77">
        <w:rPr>
          <w:iCs/>
          <w:lang w:val="bg-BG"/>
        </w:rPr>
        <w:t xml:space="preserve"> </w:t>
      </w:r>
      <w:r w:rsidR="00482D77">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41</w:t>
      </w:r>
      <w:r w:rsidRPr="00E17978">
        <w:fldChar w:fldCharType="end"/>
      </w:r>
      <w:r w:rsidR="005911E9" w:rsidRPr="00945ED6">
        <w:rPr>
          <w:lang w:val="bg-BG"/>
        </w:rPr>
        <w:t>.</w:t>
      </w:r>
      <w:r w:rsidR="005911E9" w:rsidRPr="00BB4F95">
        <w:rPr>
          <w:lang w:val="en-GB"/>
        </w:rPr>
        <w:t>  </w:t>
      </w:r>
      <w:r w:rsidR="00354C6E">
        <w:rPr>
          <w:lang w:val="bg-BG"/>
        </w:rPr>
        <w:t>Жалбоподателката</w:t>
      </w:r>
      <w:r w:rsidR="001B61B0">
        <w:rPr>
          <w:lang w:val="bg-BG"/>
        </w:rPr>
        <w:t xml:space="preserve"> обжалва това решен</w:t>
      </w:r>
      <w:r w:rsidR="00E27EE7">
        <w:rPr>
          <w:lang w:val="bg-BG"/>
        </w:rPr>
        <w:t>ие пред</w:t>
      </w:r>
      <w:r w:rsidR="000F6193">
        <w:rPr>
          <w:lang w:val="bg-BG"/>
        </w:rPr>
        <w:t xml:space="preserve"> Г</w:t>
      </w:r>
      <w:r w:rsidR="00482D77">
        <w:rPr>
          <w:lang w:val="bg-BG"/>
        </w:rPr>
        <w:t xml:space="preserve">ражданското отделение на Върховния съд. </w:t>
      </w:r>
      <w:r w:rsidR="00394279">
        <w:rPr>
          <w:lang w:val="bg-BG"/>
        </w:rPr>
        <w:t>Гражданското отделение започва да разглежда жалбата на 12 ноември 1999 г. По време на</w:t>
      </w:r>
      <w:r w:rsidR="00E27EE7">
        <w:rPr>
          <w:lang w:val="bg-BG"/>
        </w:rPr>
        <w:t xml:space="preserve"> устното изслушване жалбоподателката</w:t>
      </w:r>
      <w:r w:rsidR="00394279">
        <w:rPr>
          <w:lang w:val="bg-BG"/>
        </w:rPr>
        <w:t xml:space="preserve"> твърди, че съдържанието на гореспоменатите протоколи, цитиращи нейното име, не могат да се използват срещу нея, тъй като и на двете посочени дати тя е изпълнявала задълженията си към Върховния съ</w:t>
      </w:r>
      <w:r w:rsidR="00A87962">
        <w:rPr>
          <w:lang w:val="bg-BG"/>
        </w:rPr>
        <w:t>вет</w:t>
      </w:r>
      <w:r w:rsidR="00394279">
        <w:rPr>
          <w:lang w:val="bg-BG"/>
        </w:rPr>
        <w:t xml:space="preserve"> на Латвия, а не към ЛКП. След като изслушва показанията на двама свид</w:t>
      </w:r>
      <w:r w:rsidR="00E27EE7">
        <w:rPr>
          <w:lang w:val="bg-BG"/>
        </w:rPr>
        <w:t>етели, според които жалбоподателката действително</w:t>
      </w:r>
      <w:r w:rsidR="00394279">
        <w:rPr>
          <w:lang w:val="bg-BG"/>
        </w:rPr>
        <w:t xml:space="preserve"> е присъствала във Върховния съ</w:t>
      </w:r>
      <w:r w:rsidR="00BF3900" w:rsidRPr="00530E30">
        <w:rPr>
          <w:lang w:val="bg-BG"/>
        </w:rPr>
        <w:t>вет</w:t>
      </w:r>
      <w:r w:rsidR="00394279">
        <w:rPr>
          <w:lang w:val="bg-BG"/>
        </w:rPr>
        <w:t xml:space="preserve">, </w:t>
      </w:r>
      <w:r w:rsidR="000F6193">
        <w:rPr>
          <w:lang w:val="bg-BG"/>
        </w:rPr>
        <w:t>Г</w:t>
      </w:r>
      <w:r w:rsidR="00B06F98">
        <w:rPr>
          <w:lang w:val="bg-BG"/>
        </w:rPr>
        <w:t xml:space="preserve">ражданското </w:t>
      </w:r>
      <w:r w:rsidR="00394279">
        <w:rPr>
          <w:lang w:val="bg-BG"/>
        </w:rPr>
        <w:t>отделени</w:t>
      </w:r>
      <w:r w:rsidR="00B06F98">
        <w:rPr>
          <w:lang w:val="bg-BG"/>
        </w:rPr>
        <w:t xml:space="preserve">е отлага разглеждането на делото, за да се даде възможност на </w:t>
      </w:r>
      <w:r w:rsidR="00354C6E">
        <w:rPr>
          <w:lang w:val="bg-BG"/>
        </w:rPr>
        <w:t>жалбоподателката</w:t>
      </w:r>
      <w:r w:rsidR="00B06F98">
        <w:rPr>
          <w:lang w:val="bg-BG"/>
        </w:rPr>
        <w:t xml:space="preserve"> да представи по-убедителни доказателства в подкрепа на твърденията си, като например протоколи от </w:t>
      </w:r>
      <w:r w:rsidR="00E27EE7">
        <w:rPr>
          <w:lang w:val="bg-BG"/>
        </w:rPr>
        <w:t>п</w:t>
      </w:r>
      <w:r w:rsidR="00A25B47">
        <w:rPr>
          <w:lang w:val="bg-BG"/>
        </w:rPr>
        <w:t>арламента</w:t>
      </w:r>
      <w:r w:rsidR="00B06F98">
        <w:rPr>
          <w:lang w:val="bg-BG"/>
        </w:rPr>
        <w:t xml:space="preserve">рни дебати или от събрания на </w:t>
      </w:r>
      <w:r w:rsidR="00E27EE7">
        <w:rPr>
          <w:lang w:val="bg-BG"/>
        </w:rPr>
        <w:t>п</w:t>
      </w:r>
      <w:r w:rsidR="00A25B47">
        <w:rPr>
          <w:lang w:val="bg-BG"/>
        </w:rPr>
        <w:t>арламента</w:t>
      </w:r>
      <w:r w:rsidR="00B06F98">
        <w:rPr>
          <w:lang w:val="bg-BG"/>
        </w:rPr>
        <w:t xml:space="preserve">рния блок </w:t>
      </w:r>
      <w:r w:rsidR="00B06F98" w:rsidRPr="00BB4F95">
        <w:rPr>
          <w:i/>
          <w:iCs/>
          <w:lang w:val="en-GB"/>
        </w:rPr>
        <w:t>L</w:t>
      </w:r>
      <w:r w:rsidR="00B06F98" w:rsidRPr="00945ED6">
        <w:rPr>
          <w:i/>
          <w:iCs/>
          <w:lang w:val="bg-BG"/>
        </w:rPr>
        <w:t>ī</w:t>
      </w:r>
      <w:r w:rsidR="00B06F98" w:rsidRPr="00BB4F95">
        <w:rPr>
          <w:i/>
          <w:iCs/>
          <w:lang w:val="en-GB"/>
        </w:rPr>
        <w:t>dzties</w:t>
      </w:r>
      <w:r w:rsidR="00B06F98" w:rsidRPr="00945ED6">
        <w:rPr>
          <w:i/>
          <w:iCs/>
          <w:lang w:val="bg-BG"/>
        </w:rPr>
        <w:t>ī</w:t>
      </w:r>
      <w:r w:rsidR="00B06F98" w:rsidRPr="00BB4F95">
        <w:rPr>
          <w:i/>
          <w:iCs/>
          <w:lang w:val="en-GB"/>
        </w:rPr>
        <w:t>ba</w:t>
      </w:r>
      <w:r w:rsidR="00B06F98">
        <w:rPr>
          <w:i/>
          <w:iCs/>
          <w:lang w:val="bg-BG"/>
        </w:rPr>
        <w:t xml:space="preserve">. </w:t>
      </w:r>
      <w:r w:rsidR="00E27EE7">
        <w:rPr>
          <w:iCs/>
          <w:lang w:val="bg-BG"/>
        </w:rPr>
        <w:t>Тъй като такива</w:t>
      </w:r>
      <w:r w:rsidR="00B06F98">
        <w:rPr>
          <w:iCs/>
          <w:lang w:val="bg-BG"/>
        </w:rPr>
        <w:t xml:space="preserve"> протоколи не са съхранени от архивната </w:t>
      </w:r>
      <w:r w:rsidR="00B06F98">
        <w:rPr>
          <w:iCs/>
          <w:lang w:val="bg-BG"/>
        </w:rPr>
        <w:lastRenderedPageBreak/>
        <w:t xml:space="preserve">служба на </w:t>
      </w:r>
      <w:r w:rsidR="00E27EE7">
        <w:rPr>
          <w:iCs/>
          <w:lang w:val="bg-BG"/>
        </w:rPr>
        <w:t>п</w:t>
      </w:r>
      <w:r w:rsidR="00A25B47">
        <w:rPr>
          <w:iCs/>
          <w:lang w:val="bg-BG"/>
        </w:rPr>
        <w:t>арламента</w:t>
      </w:r>
      <w:r w:rsidR="00B06F98">
        <w:rPr>
          <w:iCs/>
          <w:lang w:val="bg-BG"/>
        </w:rPr>
        <w:t xml:space="preserve">, </w:t>
      </w:r>
      <w:r w:rsidR="00354C6E">
        <w:rPr>
          <w:iCs/>
          <w:lang w:val="bg-BG"/>
        </w:rPr>
        <w:t>жалбоподателката</w:t>
      </w:r>
      <w:r w:rsidR="00E27EE7">
        <w:rPr>
          <w:iCs/>
          <w:lang w:val="bg-BG"/>
        </w:rPr>
        <w:t xml:space="preserve"> в крайна сметка</w:t>
      </w:r>
      <w:r w:rsidR="00B06F98">
        <w:rPr>
          <w:iCs/>
          <w:lang w:val="bg-BG"/>
        </w:rPr>
        <w:t xml:space="preserve"> не успява да представи подобни доказателства.</w:t>
      </w:r>
      <w:r w:rsidR="00B06F98">
        <w:rPr>
          <w:lang w:val="bg-BG"/>
        </w:rPr>
        <w:t xml:space="preserve">  </w:t>
      </w:r>
      <w:r w:rsidR="00394279">
        <w:rPr>
          <w:lang w:val="bg-BG"/>
        </w:rPr>
        <w:t xml:space="preserve"> </w:t>
      </w:r>
    </w:p>
    <w:p w:rsidR="005911E9" w:rsidRPr="00945ED6" w:rsidRDefault="005D3E62" w:rsidP="00B8206D">
      <w:pPr>
        <w:pStyle w:val="JuPara"/>
        <w:rPr>
          <w:lang w:val="bg-BG"/>
        </w:rPr>
      </w:pPr>
      <w:r w:rsidRPr="00E17978">
        <w:fldChar w:fldCharType="begin"/>
      </w:r>
      <w:r w:rsidR="002D30DF" w:rsidRPr="00945ED6">
        <w:rPr>
          <w:lang w:val="bg-BG"/>
        </w:rPr>
        <w:instrText xml:space="preserve"> </w:instrText>
      </w:r>
      <w:r w:rsidR="002D30DF" w:rsidRPr="00BB4F95">
        <w:rPr>
          <w:lang w:val="en-GB"/>
        </w:rPr>
        <w:instrText>SEQ</w:instrText>
      </w:r>
      <w:r w:rsidR="002D30DF" w:rsidRPr="00945ED6">
        <w:rPr>
          <w:lang w:val="bg-BG"/>
        </w:rPr>
        <w:instrText xml:space="preserve"> </w:instrText>
      </w:r>
      <w:r w:rsidR="002D30DF" w:rsidRPr="00BB4F95">
        <w:rPr>
          <w:lang w:val="en-GB"/>
        </w:rPr>
        <w:instrText>level</w:instrText>
      </w:r>
      <w:r w:rsidR="002D30DF" w:rsidRPr="00945ED6">
        <w:rPr>
          <w:lang w:val="bg-BG"/>
        </w:rPr>
        <w:instrText>0 \*</w:instrText>
      </w:r>
      <w:r w:rsidR="002D30DF" w:rsidRPr="00BB4F95">
        <w:rPr>
          <w:lang w:val="en-GB"/>
        </w:rPr>
        <w:instrText>arabic</w:instrText>
      </w:r>
      <w:r w:rsidR="002D30DF" w:rsidRPr="00945ED6">
        <w:rPr>
          <w:lang w:val="bg-BG"/>
        </w:rPr>
        <w:instrText xml:space="preserve"> </w:instrText>
      </w:r>
      <w:r w:rsidRPr="00E17978">
        <w:fldChar w:fldCharType="separate"/>
      </w:r>
      <w:r w:rsidR="00955550" w:rsidRPr="00945ED6">
        <w:rPr>
          <w:noProof/>
          <w:lang w:val="bg-BG"/>
        </w:rPr>
        <w:t>42</w:t>
      </w:r>
      <w:r w:rsidRPr="00E17978">
        <w:fldChar w:fldCharType="end"/>
      </w:r>
      <w:r w:rsidR="002D30DF" w:rsidRPr="00945ED6">
        <w:rPr>
          <w:lang w:val="bg-BG"/>
        </w:rPr>
        <w:t>.</w:t>
      </w:r>
      <w:r w:rsidR="002D30DF" w:rsidRPr="00BB4F95">
        <w:rPr>
          <w:lang w:val="en-GB"/>
        </w:rPr>
        <w:t>  </w:t>
      </w:r>
      <w:r w:rsidR="00B06F98">
        <w:rPr>
          <w:lang w:val="bg-BG"/>
        </w:rPr>
        <w:t>С решение от 15 декември 1999 г.</w:t>
      </w:r>
      <w:r w:rsidR="000F6193">
        <w:rPr>
          <w:lang w:val="bg-BG"/>
        </w:rPr>
        <w:t xml:space="preserve"> Г</w:t>
      </w:r>
      <w:r w:rsidR="000B56F9">
        <w:rPr>
          <w:lang w:val="bg-BG"/>
        </w:rPr>
        <w:t>ражданскот</w:t>
      </w:r>
      <w:r w:rsidR="00CE469B">
        <w:rPr>
          <w:lang w:val="bg-BG"/>
        </w:rPr>
        <w:t>о отделение отхвърля жалбата, като заявява</w:t>
      </w:r>
      <w:r w:rsidR="000B56F9">
        <w:rPr>
          <w:lang w:val="bg-BG"/>
        </w:rPr>
        <w:t xml:space="preserve">, че </w:t>
      </w:r>
      <w:r w:rsidR="00CE469B">
        <w:rPr>
          <w:lang w:val="bg-BG"/>
        </w:rPr>
        <w:t xml:space="preserve">събраните от Главна прокуратура доказателства </w:t>
      </w:r>
      <w:r w:rsidR="000B56F9">
        <w:rPr>
          <w:lang w:val="bg-BG"/>
        </w:rPr>
        <w:t xml:space="preserve">са достатъчни, за да се заключи, че </w:t>
      </w:r>
      <w:r w:rsidR="00354C6E">
        <w:rPr>
          <w:lang w:val="bg-BG"/>
        </w:rPr>
        <w:t>жалбоподателката</w:t>
      </w:r>
      <w:r w:rsidR="000B56F9">
        <w:rPr>
          <w:lang w:val="bg-BG"/>
        </w:rPr>
        <w:t xml:space="preserve"> </w:t>
      </w:r>
      <w:r w:rsidR="00CE469B">
        <w:rPr>
          <w:lang w:val="bg-BG"/>
        </w:rPr>
        <w:t xml:space="preserve">е </w:t>
      </w:r>
      <w:r w:rsidR="000B56F9">
        <w:rPr>
          <w:lang w:val="bg-BG"/>
        </w:rPr>
        <w:t>участва</w:t>
      </w:r>
      <w:r w:rsidR="00CE469B">
        <w:rPr>
          <w:lang w:val="bg-BG"/>
        </w:rPr>
        <w:t>ла активно в дейността</w:t>
      </w:r>
      <w:r w:rsidR="0058061C" w:rsidRPr="00945ED6">
        <w:rPr>
          <w:lang w:val="bg-BG"/>
        </w:rPr>
        <w:t xml:space="preserve"> </w:t>
      </w:r>
      <w:r w:rsidR="0058061C">
        <w:rPr>
          <w:lang w:val="bg-BG"/>
        </w:rPr>
        <w:t>на ЛК</w:t>
      </w:r>
      <w:r w:rsidR="00CE469B">
        <w:rPr>
          <w:lang w:val="bg-BG"/>
        </w:rPr>
        <w:t>П след 13 януари 1991 г. Гражданското отделение отбелязва още</w:t>
      </w:r>
      <w:r w:rsidR="0058061C">
        <w:rPr>
          <w:lang w:val="bg-BG"/>
        </w:rPr>
        <w:t>, че разпускането на ЛКП е</w:t>
      </w:r>
      <w:r w:rsidR="00CE401F">
        <w:rPr>
          <w:lang w:val="bg-BG"/>
        </w:rPr>
        <w:t xml:space="preserve"> било</w:t>
      </w:r>
      <w:r w:rsidR="0058061C">
        <w:rPr>
          <w:lang w:val="bg-BG"/>
        </w:rPr>
        <w:t xml:space="preserve"> наредено „в съответствие с интересите на латвийската държава в конкретна историческа и политическа ситуация</w:t>
      </w:r>
      <w:r w:rsidR="00F67CDC">
        <w:rPr>
          <w:lang w:val="bg-BG"/>
        </w:rPr>
        <w:t>”</w:t>
      </w:r>
      <w:r w:rsidR="0058061C">
        <w:rPr>
          <w:lang w:val="bg-BG"/>
        </w:rPr>
        <w:t xml:space="preserve"> и че междун</w:t>
      </w:r>
      <w:r w:rsidR="00CE401F">
        <w:rPr>
          <w:lang w:val="bg-BG"/>
        </w:rPr>
        <w:t>ародните конвенции, на които</w:t>
      </w:r>
      <w:r w:rsidR="0058061C">
        <w:rPr>
          <w:lang w:val="bg-BG"/>
        </w:rPr>
        <w:t xml:space="preserve"> </w:t>
      </w:r>
      <w:r w:rsidR="00354C6E">
        <w:rPr>
          <w:lang w:val="bg-BG"/>
        </w:rPr>
        <w:t>жалбоподателката</w:t>
      </w:r>
      <w:r w:rsidR="00CE401F">
        <w:rPr>
          <w:lang w:val="bg-BG"/>
        </w:rPr>
        <w:t xml:space="preserve"> се позовава</w:t>
      </w:r>
      <w:r w:rsidR="0058061C">
        <w:rPr>
          <w:lang w:val="bg-BG"/>
        </w:rPr>
        <w:t xml:space="preserve">, позволяват обосновани ограничения върху упражняването на избирателни права.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43</w:t>
      </w:r>
      <w:r w:rsidRPr="00E17978">
        <w:fldChar w:fldCharType="end"/>
      </w:r>
      <w:r w:rsidR="005911E9" w:rsidRPr="00945ED6">
        <w:rPr>
          <w:lang w:val="bg-BG"/>
        </w:rPr>
        <w:t>.</w:t>
      </w:r>
      <w:r w:rsidR="005911E9" w:rsidRPr="00BB4F95">
        <w:rPr>
          <w:lang w:val="en-GB"/>
        </w:rPr>
        <w:t>  </w:t>
      </w:r>
      <w:r w:rsidR="000F6193">
        <w:rPr>
          <w:lang w:val="bg-BG"/>
        </w:rPr>
        <w:t>След решението на Г</w:t>
      </w:r>
      <w:r w:rsidR="0058061C">
        <w:rPr>
          <w:lang w:val="bg-BG"/>
        </w:rPr>
        <w:t xml:space="preserve">ражданското отделение, влязло в сила от датата на обявяването му, </w:t>
      </w:r>
      <w:r w:rsidR="00354C6E">
        <w:rPr>
          <w:lang w:val="bg-BG"/>
        </w:rPr>
        <w:t>жалбоподателката</w:t>
      </w:r>
      <w:r w:rsidR="00CE401F">
        <w:rPr>
          <w:lang w:val="bg-BG"/>
        </w:rPr>
        <w:t xml:space="preserve"> е</w:t>
      </w:r>
      <w:r w:rsidR="008C1526">
        <w:rPr>
          <w:lang w:val="bg-BG"/>
        </w:rPr>
        <w:t xml:space="preserve"> дисквалифицира</w:t>
      </w:r>
      <w:r w:rsidR="00CE401F">
        <w:rPr>
          <w:lang w:val="bg-BG"/>
        </w:rPr>
        <w:t>на</w:t>
      </w:r>
      <w:r w:rsidR="008C1526">
        <w:rPr>
          <w:lang w:val="bg-BG"/>
        </w:rPr>
        <w:t xml:space="preserve"> от изб</w:t>
      </w:r>
      <w:r w:rsidR="009D1B83" w:rsidRPr="00530E30">
        <w:rPr>
          <w:lang w:val="bg-BG"/>
        </w:rPr>
        <w:t xml:space="preserve">орна </w:t>
      </w:r>
      <w:r w:rsidR="008C1526">
        <w:rPr>
          <w:lang w:val="bg-BG"/>
        </w:rPr>
        <w:t xml:space="preserve">служба и губи мястото си като член на Градския съвет на Рига. </w:t>
      </w:r>
    </w:p>
    <w:p w:rsidR="008C1526"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44</w:t>
      </w:r>
      <w:r w:rsidRPr="00E17978">
        <w:fldChar w:fldCharType="end"/>
      </w:r>
      <w:r w:rsidR="005911E9" w:rsidRPr="00945ED6">
        <w:rPr>
          <w:lang w:val="bg-BG"/>
        </w:rPr>
        <w:t>.</w:t>
      </w:r>
      <w:r w:rsidR="008C1526">
        <w:rPr>
          <w:lang w:val="bg-BG"/>
        </w:rPr>
        <w:t xml:space="preserve"> </w:t>
      </w:r>
      <w:r w:rsidR="00354C6E" w:rsidRPr="00DB1B3A">
        <w:rPr>
          <w:lang w:val="bg-BG"/>
        </w:rPr>
        <w:t>Жалбоподателката</w:t>
      </w:r>
      <w:r w:rsidR="008C1526" w:rsidRPr="00DB1B3A">
        <w:rPr>
          <w:lang w:val="bg-BG"/>
        </w:rPr>
        <w:t xml:space="preserve"> се обръща към Сената на Върховния съд с</w:t>
      </w:r>
      <w:r w:rsidR="009522EA" w:rsidRPr="00DB1B3A">
        <w:rPr>
          <w:lang w:val="bg-BG"/>
        </w:rPr>
        <w:t xml:space="preserve"> иск</w:t>
      </w:r>
      <w:r w:rsidR="000F6193" w:rsidRPr="00DB1B3A">
        <w:rPr>
          <w:lang w:val="bg-BG"/>
        </w:rPr>
        <w:t xml:space="preserve"> </w:t>
      </w:r>
      <w:r w:rsidR="009522EA" w:rsidRPr="00DB1B3A">
        <w:rPr>
          <w:lang w:val="bg-BG"/>
        </w:rPr>
        <w:t>за отмяна на</w:t>
      </w:r>
      <w:r w:rsidR="000F6193" w:rsidRPr="00DB1B3A">
        <w:rPr>
          <w:lang w:val="bg-BG"/>
        </w:rPr>
        <w:t xml:space="preserve"> решението на Г</w:t>
      </w:r>
      <w:r w:rsidR="008C1526" w:rsidRPr="00DB1B3A">
        <w:rPr>
          <w:lang w:val="bg-BG"/>
        </w:rPr>
        <w:t>раж</w:t>
      </w:r>
      <w:r w:rsidR="00CE401F" w:rsidRPr="00DB1B3A">
        <w:rPr>
          <w:lang w:val="bg-BG"/>
        </w:rPr>
        <w:t>данското отделение. Тя изтъква</w:t>
      </w:r>
      <w:r w:rsidR="008C1526" w:rsidRPr="00DB1B3A">
        <w:rPr>
          <w:lang w:val="bg-BG"/>
        </w:rPr>
        <w:t xml:space="preserve">, </w:t>
      </w:r>
      <w:r w:rsidR="00DB1B3A" w:rsidRPr="00DB1B3A">
        <w:rPr>
          <w:lang w:val="bg-BG"/>
        </w:rPr>
        <w:t xml:space="preserve">наред с </w:t>
      </w:r>
      <w:r w:rsidR="008C1526" w:rsidRPr="00DB1B3A">
        <w:rPr>
          <w:lang w:val="bg-BG"/>
        </w:rPr>
        <w:t>друго</w:t>
      </w:r>
      <w:r w:rsidR="00DB1B3A" w:rsidRPr="00DB1B3A">
        <w:rPr>
          <w:lang w:val="bg-BG"/>
        </w:rPr>
        <w:t>то</w:t>
      </w:r>
      <w:r w:rsidR="008C1526" w:rsidRPr="00DB1B3A">
        <w:rPr>
          <w:lang w:val="bg-BG"/>
        </w:rPr>
        <w:t>, че ограничението</w:t>
      </w:r>
      <w:r w:rsidR="008C1526">
        <w:rPr>
          <w:lang w:val="bg-BG"/>
        </w:rPr>
        <w:t xml:space="preserve"> е несъвместимо с чл</w:t>
      </w:r>
      <w:r w:rsidR="002422BF">
        <w:rPr>
          <w:lang w:val="bg-BG"/>
        </w:rPr>
        <w:t>ен</w:t>
      </w:r>
      <w:r w:rsidR="008C1526">
        <w:rPr>
          <w:lang w:val="bg-BG"/>
        </w:rPr>
        <w:t xml:space="preserve"> 11 от Конвенцията. С </w:t>
      </w:r>
      <w:r w:rsidR="008C1526" w:rsidRPr="00D73120">
        <w:rPr>
          <w:lang w:val="bg-BG"/>
        </w:rPr>
        <w:t>окончателно определение</w:t>
      </w:r>
      <w:r w:rsidR="008C1526">
        <w:rPr>
          <w:lang w:val="bg-BG"/>
        </w:rPr>
        <w:t xml:space="preserve"> от 7 февруари 2000 г. Сенатът обявява жалбата за недопустима. С</w:t>
      </w:r>
      <w:r w:rsidR="00CE401F">
        <w:rPr>
          <w:lang w:val="bg-BG"/>
        </w:rPr>
        <w:t>поред становището на Сената разглежданото</w:t>
      </w:r>
      <w:r w:rsidR="008C1526">
        <w:rPr>
          <w:lang w:val="bg-BG"/>
        </w:rPr>
        <w:t xml:space="preserve"> производс</w:t>
      </w:r>
      <w:r w:rsidR="00CE401F">
        <w:rPr>
          <w:lang w:val="bg-BG"/>
        </w:rPr>
        <w:t>тво има една-единствена</w:t>
      </w:r>
      <w:r w:rsidR="00072B0F">
        <w:rPr>
          <w:lang w:val="bg-BG"/>
        </w:rPr>
        <w:t xml:space="preserve"> строго определ</w:t>
      </w:r>
      <w:r w:rsidR="00F30008">
        <w:rPr>
          <w:lang w:val="bg-BG"/>
        </w:rPr>
        <w:t>ена цел, а именно да се изготви становище по въпроса</w:t>
      </w:r>
      <w:r w:rsidR="00072B0F">
        <w:rPr>
          <w:lang w:val="bg-BG"/>
        </w:rPr>
        <w:t xml:space="preserve"> дали </w:t>
      </w:r>
      <w:r w:rsidR="00354C6E">
        <w:rPr>
          <w:lang w:val="bg-BG"/>
        </w:rPr>
        <w:t>жалбоподателката</w:t>
      </w:r>
      <w:r w:rsidR="00072B0F">
        <w:rPr>
          <w:lang w:val="bg-BG"/>
        </w:rPr>
        <w:t xml:space="preserve"> е уча</w:t>
      </w:r>
      <w:r w:rsidR="000C4A4D">
        <w:rPr>
          <w:lang w:val="bg-BG"/>
        </w:rPr>
        <w:t>с</w:t>
      </w:r>
      <w:r w:rsidR="00072B0F">
        <w:rPr>
          <w:lang w:val="bg-BG"/>
        </w:rPr>
        <w:t>твал</w:t>
      </w:r>
      <w:r w:rsidR="00CE401F">
        <w:rPr>
          <w:lang w:val="bg-BG"/>
        </w:rPr>
        <w:t>а активно в дейността</w:t>
      </w:r>
      <w:r w:rsidR="00072B0F">
        <w:rPr>
          <w:lang w:val="bg-BG"/>
        </w:rPr>
        <w:t xml:space="preserve"> на ЛКП след 13 януари 1991 г. Сенатът заключва, че не е в неговата компетентност да анализира правните последствия от </w:t>
      </w:r>
      <w:r w:rsidR="00F30008">
        <w:rPr>
          <w:lang w:val="bg-BG"/>
        </w:rPr>
        <w:t>т</w:t>
      </w:r>
      <w:r w:rsidR="00280C31">
        <w:rPr>
          <w:lang w:val="bg-BG"/>
        </w:rPr>
        <w:t>ази констатация</w:t>
      </w:r>
      <w:r w:rsidR="000C4A4D">
        <w:rPr>
          <w:lang w:val="bg-BG"/>
        </w:rPr>
        <w:t xml:space="preserve"> с мотива, че те н</w:t>
      </w:r>
      <w:r w:rsidR="00F30008">
        <w:rPr>
          <w:lang w:val="bg-BG"/>
        </w:rPr>
        <w:t>ямат връзка със сам</w:t>
      </w:r>
      <w:r w:rsidR="00280C31">
        <w:rPr>
          <w:lang w:val="bg-BG"/>
        </w:rPr>
        <w:t>ата констатация</w:t>
      </w:r>
      <w:r w:rsidR="000C4A4D">
        <w:rPr>
          <w:lang w:val="bg-BG"/>
        </w:rPr>
        <w:t>. В допълнение Сенатът от</w:t>
      </w:r>
      <w:r w:rsidR="001E67B5">
        <w:rPr>
          <w:lang w:val="bg-BG"/>
        </w:rPr>
        <w:t xml:space="preserve">белязва, че в </w:t>
      </w:r>
      <w:r w:rsidR="00CE401F">
        <w:rPr>
          <w:lang w:val="bg-BG"/>
        </w:rPr>
        <w:t>такъв</w:t>
      </w:r>
      <w:r w:rsidR="000C4A4D">
        <w:rPr>
          <w:lang w:val="bg-BG"/>
        </w:rPr>
        <w:t xml:space="preserve"> анализ би следвало да се разгледа съвместимостта на латвийското законодателство с конституционното и международното право</w:t>
      </w:r>
      <w:r w:rsidR="00FC0274">
        <w:rPr>
          <w:lang w:val="bg-BG"/>
        </w:rPr>
        <w:t>, а такова действие</w:t>
      </w:r>
      <w:r w:rsidR="000C4A4D">
        <w:rPr>
          <w:lang w:val="bg-BG"/>
        </w:rPr>
        <w:t xml:space="preserve"> не попада в компетентността на съда, който разглежда финалното обжалване.  </w:t>
      </w:r>
      <w:r w:rsidR="00072B0F">
        <w:rPr>
          <w:lang w:val="bg-BG"/>
        </w:rPr>
        <w:t xml:space="preserve">  </w:t>
      </w:r>
      <w:r w:rsidR="008C1526">
        <w:rPr>
          <w:lang w:val="bg-BG"/>
        </w:rPr>
        <w:t xml:space="preserve">   </w:t>
      </w:r>
      <w:r w:rsidR="005911E9" w:rsidRPr="00BB4F95">
        <w:rPr>
          <w:lang w:val="en-GB"/>
        </w:rPr>
        <w:t>  </w:t>
      </w:r>
    </w:p>
    <w:p w:rsidR="005A5ED0" w:rsidRPr="00945ED6" w:rsidRDefault="005D3E62" w:rsidP="00B8206D">
      <w:pPr>
        <w:pStyle w:val="JuPara"/>
        <w:rPr>
          <w:lang w:val="bg-BG"/>
        </w:rPr>
      </w:pPr>
      <w:r w:rsidRPr="00E17978">
        <w:fldChar w:fldCharType="begin"/>
      </w:r>
      <w:r w:rsidR="007A5E9A" w:rsidRPr="00945ED6">
        <w:rPr>
          <w:lang w:val="bg-BG"/>
        </w:rPr>
        <w:instrText xml:space="preserve"> </w:instrText>
      </w:r>
      <w:r w:rsidR="007A5E9A" w:rsidRPr="00BB4F95">
        <w:rPr>
          <w:lang w:val="en-GB"/>
        </w:rPr>
        <w:instrText>SEQ</w:instrText>
      </w:r>
      <w:r w:rsidR="007A5E9A" w:rsidRPr="00945ED6">
        <w:rPr>
          <w:lang w:val="bg-BG"/>
        </w:rPr>
        <w:instrText xml:space="preserve"> </w:instrText>
      </w:r>
      <w:r w:rsidR="007A5E9A" w:rsidRPr="00BB4F95">
        <w:rPr>
          <w:lang w:val="en-GB"/>
        </w:rPr>
        <w:instrText>level</w:instrText>
      </w:r>
      <w:r w:rsidR="007A5E9A" w:rsidRPr="00945ED6">
        <w:rPr>
          <w:lang w:val="bg-BG"/>
        </w:rPr>
        <w:instrText>0 \*</w:instrText>
      </w:r>
      <w:r w:rsidR="007A5E9A" w:rsidRPr="00BB4F95">
        <w:rPr>
          <w:lang w:val="en-GB"/>
        </w:rPr>
        <w:instrText>arabic</w:instrText>
      </w:r>
      <w:r w:rsidR="007A5E9A" w:rsidRPr="00945ED6">
        <w:rPr>
          <w:lang w:val="bg-BG"/>
        </w:rPr>
        <w:instrText xml:space="preserve"> </w:instrText>
      </w:r>
      <w:r w:rsidRPr="00E17978">
        <w:fldChar w:fldCharType="separate"/>
      </w:r>
      <w:r w:rsidR="00955550" w:rsidRPr="00945ED6">
        <w:rPr>
          <w:noProof/>
          <w:lang w:val="bg-BG"/>
        </w:rPr>
        <w:t>45</w:t>
      </w:r>
      <w:r w:rsidRPr="00E17978">
        <w:fldChar w:fldCharType="end"/>
      </w:r>
      <w:r w:rsidR="007A5E9A" w:rsidRPr="00945ED6">
        <w:rPr>
          <w:lang w:val="bg-BG"/>
        </w:rPr>
        <w:t>.</w:t>
      </w:r>
      <w:r w:rsidR="007A5E9A" w:rsidRPr="00BB4F95">
        <w:rPr>
          <w:lang w:val="en-GB"/>
        </w:rPr>
        <w:t>  </w:t>
      </w:r>
      <w:r w:rsidR="00FC0274">
        <w:rPr>
          <w:lang w:val="bg-BG"/>
        </w:rPr>
        <w:t xml:space="preserve">Производства, подобни на тези срещу </w:t>
      </w:r>
      <w:r w:rsidR="00354C6E">
        <w:rPr>
          <w:lang w:val="bg-BG"/>
        </w:rPr>
        <w:t>жалбоподателката</w:t>
      </w:r>
      <w:r w:rsidR="00CE401F">
        <w:rPr>
          <w:lang w:val="bg-BG"/>
        </w:rPr>
        <w:t xml:space="preserve">, са образувани и срещу </w:t>
      </w:r>
      <w:r w:rsidR="00FC0274">
        <w:rPr>
          <w:lang w:val="bg-BG"/>
        </w:rPr>
        <w:t>част от другите активисти на ЛКП, като не за всички съдът е признал, че са „участвали активно</w:t>
      </w:r>
      <w:r w:rsidR="00F67CDC">
        <w:rPr>
          <w:lang w:val="bg-BG"/>
        </w:rPr>
        <w:t>”</w:t>
      </w:r>
      <w:r w:rsidR="00FC0274">
        <w:rPr>
          <w:lang w:val="bg-BG"/>
        </w:rPr>
        <w:t xml:space="preserve"> в дейността на ЛКП след януари 1991 г. </w:t>
      </w:r>
    </w:p>
    <w:p w:rsidR="005911E9" w:rsidRPr="00945ED6" w:rsidRDefault="001D5704" w:rsidP="005911E9">
      <w:pPr>
        <w:pStyle w:val="JuHA"/>
        <w:rPr>
          <w:lang w:val="bg-BG"/>
        </w:rPr>
      </w:pPr>
      <w:r>
        <w:rPr>
          <w:lang w:val="bg-BG"/>
        </w:rPr>
        <w:t>Д</w:t>
      </w:r>
      <w:r w:rsidR="005911E9" w:rsidRPr="00945ED6">
        <w:rPr>
          <w:lang w:val="bg-BG"/>
        </w:rPr>
        <w:t>.</w:t>
      </w:r>
      <w:r w:rsidR="005911E9" w:rsidRPr="00E17978">
        <w:t>  </w:t>
      </w:r>
      <w:r w:rsidR="00A25B47">
        <w:rPr>
          <w:lang w:val="bg-BG"/>
        </w:rPr>
        <w:t>Парламентарните</w:t>
      </w:r>
      <w:r w:rsidR="00FC0274">
        <w:rPr>
          <w:lang w:val="bg-BG"/>
        </w:rPr>
        <w:t xml:space="preserve"> избори през 2002 г.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46</w:t>
      </w:r>
      <w:r w:rsidRPr="00E17978">
        <w:fldChar w:fldCharType="end"/>
      </w:r>
      <w:r w:rsidR="005911E9" w:rsidRPr="00945ED6">
        <w:rPr>
          <w:lang w:val="bg-BG"/>
        </w:rPr>
        <w:t>.</w:t>
      </w:r>
      <w:r w:rsidR="005911E9" w:rsidRPr="00BB4F95">
        <w:rPr>
          <w:lang w:val="en-GB"/>
        </w:rPr>
        <w:t>  </w:t>
      </w:r>
      <w:r w:rsidR="00FC0274">
        <w:rPr>
          <w:lang w:val="bg-BG"/>
        </w:rPr>
        <w:t xml:space="preserve">Следващите </w:t>
      </w:r>
      <w:r w:rsidR="001C0ED1">
        <w:rPr>
          <w:lang w:val="bg-BG"/>
        </w:rPr>
        <w:t>п</w:t>
      </w:r>
      <w:r w:rsidR="00A25B47">
        <w:rPr>
          <w:lang w:val="bg-BG"/>
        </w:rPr>
        <w:t>арламента</w:t>
      </w:r>
      <w:r w:rsidR="00FC0274">
        <w:rPr>
          <w:lang w:val="bg-BG"/>
        </w:rPr>
        <w:t xml:space="preserve">рни избори се провеждат на 5 октомври 2002 г. С идеята да участва в тези избори, партията </w:t>
      </w:r>
      <w:r w:rsidR="00FC0274" w:rsidRPr="00BB4F95">
        <w:rPr>
          <w:i/>
          <w:iCs/>
          <w:lang w:val="en-GB"/>
        </w:rPr>
        <w:t>L</w:t>
      </w:r>
      <w:r w:rsidR="00FC0274" w:rsidRPr="00945ED6">
        <w:rPr>
          <w:i/>
          <w:iCs/>
          <w:lang w:val="bg-BG"/>
        </w:rPr>
        <w:t>ī</w:t>
      </w:r>
      <w:r w:rsidR="00FC0274" w:rsidRPr="00BB4F95">
        <w:rPr>
          <w:i/>
          <w:iCs/>
          <w:lang w:val="en-GB"/>
        </w:rPr>
        <w:t>dzties</w:t>
      </w:r>
      <w:r w:rsidR="00FC0274" w:rsidRPr="00945ED6">
        <w:rPr>
          <w:i/>
          <w:iCs/>
          <w:lang w:val="bg-BG"/>
        </w:rPr>
        <w:t>ī</w:t>
      </w:r>
      <w:r w:rsidR="00FC0274" w:rsidRPr="00BB4F95">
        <w:rPr>
          <w:i/>
          <w:iCs/>
          <w:lang w:val="en-GB"/>
        </w:rPr>
        <w:t>ba</w:t>
      </w:r>
      <w:r w:rsidR="00FC0274">
        <w:rPr>
          <w:iCs/>
          <w:lang w:val="bg-BG"/>
        </w:rPr>
        <w:t>, председателс</w:t>
      </w:r>
      <w:r w:rsidR="005E698F">
        <w:rPr>
          <w:iCs/>
          <w:lang w:val="bg-BG"/>
        </w:rPr>
        <w:t xml:space="preserve">твана от </w:t>
      </w:r>
      <w:r w:rsidR="00354C6E">
        <w:rPr>
          <w:iCs/>
          <w:lang w:val="bg-BG"/>
        </w:rPr>
        <w:t>жалбоподателката</w:t>
      </w:r>
      <w:r w:rsidR="00012C12">
        <w:rPr>
          <w:iCs/>
          <w:lang w:val="bg-BG"/>
        </w:rPr>
        <w:t>, сформира коалиция</w:t>
      </w:r>
      <w:r w:rsidR="005E698F">
        <w:rPr>
          <w:iCs/>
          <w:lang w:val="bg-BG"/>
        </w:rPr>
        <w:t xml:space="preserve"> с наименование „За човешки права в обединена Латвия</w:t>
      </w:r>
      <w:r w:rsidR="00F67CDC">
        <w:rPr>
          <w:iCs/>
          <w:lang w:val="bg-BG"/>
        </w:rPr>
        <w:t>”</w:t>
      </w:r>
      <w:r w:rsidR="005E698F">
        <w:rPr>
          <w:iCs/>
          <w:lang w:val="bg-BG"/>
        </w:rPr>
        <w:t xml:space="preserve"> </w:t>
      </w:r>
      <w:r w:rsidR="005E698F" w:rsidRPr="00945ED6">
        <w:rPr>
          <w:lang w:val="bg-BG"/>
        </w:rPr>
        <w:t>(</w:t>
      </w:r>
      <w:r w:rsidR="005E698F" w:rsidRPr="00BB4F95">
        <w:rPr>
          <w:i/>
          <w:iCs/>
          <w:lang w:val="en-GB"/>
        </w:rPr>
        <w:t>Par</w:t>
      </w:r>
      <w:r w:rsidR="005E698F" w:rsidRPr="00945ED6">
        <w:rPr>
          <w:i/>
          <w:iCs/>
          <w:lang w:val="bg-BG"/>
        </w:rPr>
        <w:t xml:space="preserve"> </w:t>
      </w:r>
      <w:r w:rsidR="005E698F" w:rsidRPr="00BB4F95">
        <w:rPr>
          <w:i/>
          <w:iCs/>
          <w:lang w:val="en-GB"/>
        </w:rPr>
        <w:t>cilv</w:t>
      </w:r>
      <w:r w:rsidR="005E698F" w:rsidRPr="00945ED6">
        <w:rPr>
          <w:i/>
          <w:iCs/>
          <w:lang w:val="bg-BG"/>
        </w:rPr>
        <w:t>ē</w:t>
      </w:r>
      <w:r w:rsidR="005E698F" w:rsidRPr="00BB4F95">
        <w:rPr>
          <w:i/>
          <w:iCs/>
          <w:lang w:val="en-GB"/>
        </w:rPr>
        <w:t>ka</w:t>
      </w:r>
      <w:r w:rsidR="005E698F" w:rsidRPr="00945ED6">
        <w:rPr>
          <w:i/>
          <w:iCs/>
          <w:lang w:val="bg-BG"/>
        </w:rPr>
        <w:t xml:space="preserve"> </w:t>
      </w:r>
      <w:r w:rsidR="005E698F" w:rsidRPr="00BB4F95">
        <w:rPr>
          <w:i/>
          <w:iCs/>
          <w:lang w:val="en-GB"/>
        </w:rPr>
        <w:t>ties</w:t>
      </w:r>
      <w:r w:rsidR="005E698F" w:rsidRPr="00945ED6">
        <w:rPr>
          <w:i/>
          <w:iCs/>
          <w:lang w:val="bg-BG"/>
        </w:rPr>
        <w:t>ī</w:t>
      </w:r>
      <w:r w:rsidR="005E698F" w:rsidRPr="00BB4F95">
        <w:rPr>
          <w:i/>
          <w:iCs/>
          <w:lang w:val="en-GB"/>
        </w:rPr>
        <w:t>b</w:t>
      </w:r>
      <w:r w:rsidR="005E698F" w:rsidRPr="00945ED6">
        <w:rPr>
          <w:i/>
          <w:iCs/>
          <w:lang w:val="bg-BG"/>
        </w:rPr>
        <w:t>ā</w:t>
      </w:r>
      <w:r w:rsidR="005E698F" w:rsidRPr="00BB4F95">
        <w:rPr>
          <w:i/>
          <w:iCs/>
          <w:lang w:val="en-GB"/>
        </w:rPr>
        <w:t>m</w:t>
      </w:r>
      <w:r w:rsidR="005E698F" w:rsidRPr="00945ED6">
        <w:rPr>
          <w:i/>
          <w:iCs/>
          <w:lang w:val="bg-BG"/>
        </w:rPr>
        <w:t xml:space="preserve"> </w:t>
      </w:r>
      <w:r w:rsidR="005E698F" w:rsidRPr="00BB4F95">
        <w:rPr>
          <w:i/>
          <w:iCs/>
          <w:lang w:val="en-GB"/>
        </w:rPr>
        <w:t>vienot</w:t>
      </w:r>
      <w:r w:rsidR="005E698F" w:rsidRPr="00945ED6">
        <w:rPr>
          <w:i/>
          <w:iCs/>
          <w:lang w:val="bg-BG"/>
        </w:rPr>
        <w:t xml:space="preserve">ā </w:t>
      </w:r>
      <w:r w:rsidR="005E698F" w:rsidRPr="00BB4F95">
        <w:rPr>
          <w:i/>
          <w:iCs/>
          <w:lang w:val="en-GB"/>
        </w:rPr>
        <w:t>Latvij</w:t>
      </w:r>
      <w:r w:rsidR="005E698F" w:rsidRPr="00945ED6">
        <w:rPr>
          <w:i/>
          <w:iCs/>
          <w:lang w:val="bg-BG"/>
        </w:rPr>
        <w:t>ā</w:t>
      </w:r>
      <w:r w:rsidR="005E698F" w:rsidRPr="00945ED6">
        <w:rPr>
          <w:lang w:val="bg-BG"/>
        </w:rPr>
        <w:t xml:space="preserve">, с абревиатура </w:t>
      </w:r>
      <w:r w:rsidR="005E698F" w:rsidRPr="00736DEB">
        <w:rPr>
          <w:iCs/>
          <w:lang w:val="en-GB"/>
        </w:rPr>
        <w:t>PCTVL</w:t>
      </w:r>
      <w:r w:rsidR="005E698F" w:rsidRPr="00945ED6">
        <w:rPr>
          <w:lang w:val="bg-BG"/>
        </w:rPr>
        <w:t>)</w:t>
      </w:r>
      <w:r w:rsidR="005E698F">
        <w:rPr>
          <w:lang w:val="bg-BG"/>
        </w:rPr>
        <w:t xml:space="preserve"> с други две партии: Партията за национална хармония и Социалистическата парт</w:t>
      </w:r>
      <w:r w:rsidR="00012C12">
        <w:rPr>
          <w:lang w:val="bg-BG"/>
        </w:rPr>
        <w:t>ия. В изборния манифест на коалицията</w:t>
      </w:r>
      <w:r w:rsidR="005E698F">
        <w:rPr>
          <w:lang w:val="bg-BG"/>
        </w:rPr>
        <w:t xml:space="preserve"> изрично е посочена необходимостта </w:t>
      </w:r>
      <w:r w:rsidR="005E698F">
        <w:rPr>
          <w:lang w:val="bg-BG"/>
        </w:rPr>
        <w:lastRenderedPageBreak/>
        <w:t>от премахване на ограниченията върху избирател</w:t>
      </w:r>
      <w:r w:rsidR="00601200">
        <w:rPr>
          <w:lang w:val="bg-BG"/>
        </w:rPr>
        <w:t>ни</w:t>
      </w:r>
      <w:r w:rsidR="0065400D">
        <w:rPr>
          <w:lang w:val="bg-BG"/>
        </w:rPr>
        <w:t>те</w:t>
      </w:r>
      <w:r w:rsidR="005E698F">
        <w:rPr>
          <w:lang w:val="bg-BG"/>
        </w:rPr>
        <w:t xml:space="preserve"> права на лицата, които са участвали активно в дейността на ЛКП след 13 януари 1991 г.  </w:t>
      </w:r>
      <w:r w:rsidR="00FC0274">
        <w:rPr>
          <w:iCs/>
          <w:lang w:val="bg-BG"/>
        </w:rPr>
        <w:t xml:space="preserve"> </w:t>
      </w:r>
      <w:r w:rsidR="00FC0274">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47</w:t>
      </w:r>
      <w:r w:rsidRPr="00E17978">
        <w:fldChar w:fldCharType="end"/>
      </w:r>
      <w:r w:rsidR="005911E9" w:rsidRPr="00945ED6">
        <w:rPr>
          <w:lang w:val="bg-BG"/>
        </w:rPr>
        <w:t>.</w:t>
      </w:r>
      <w:r w:rsidR="005911E9" w:rsidRPr="00BB4F95">
        <w:rPr>
          <w:lang w:val="en-GB"/>
        </w:rPr>
        <w:t>  </w:t>
      </w:r>
      <w:r w:rsidR="004C3AA4">
        <w:rPr>
          <w:lang w:val="bg-BG"/>
        </w:rPr>
        <w:t xml:space="preserve">През пролетта на 2002 г. изпълнителният съвет на партията </w:t>
      </w:r>
      <w:r w:rsidR="004C3AA4" w:rsidRPr="00BB4F95">
        <w:rPr>
          <w:i/>
          <w:iCs/>
          <w:lang w:val="en-GB"/>
        </w:rPr>
        <w:t>L</w:t>
      </w:r>
      <w:r w:rsidR="004C3AA4" w:rsidRPr="00945ED6">
        <w:rPr>
          <w:i/>
          <w:iCs/>
          <w:lang w:val="bg-BG"/>
        </w:rPr>
        <w:t>ī</w:t>
      </w:r>
      <w:r w:rsidR="004C3AA4" w:rsidRPr="00BB4F95">
        <w:rPr>
          <w:i/>
          <w:iCs/>
          <w:lang w:val="en-GB"/>
        </w:rPr>
        <w:t>dzties</w:t>
      </w:r>
      <w:r w:rsidR="004C3AA4" w:rsidRPr="00945ED6">
        <w:rPr>
          <w:i/>
          <w:iCs/>
          <w:lang w:val="bg-BG"/>
        </w:rPr>
        <w:t>ī</w:t>
      </w:r>
      <w:r w:rsidR="004C3AA4" w:rsidRPr="00BB4F95">
        <w:rPr>
          <w:i/>
          <w:iCs/>
          <w:lang w:val="en-GB"/>
        </w:rPr>
        <w:t>ba</w:t>
      </w:r>
      <w:r w:rsidR="004C3AA4">
        <w:rPr>
          <w:i/>
          <w:iCs/>
          <w:lang w:val="bg-BG"/>
        </w:rPr>
        <w:t xml:space="preserve"> </w:t>
      </w:r>
      <w:r w:rsidR="004C3AA4">
        <w:rPr>
          <w:iCs/>
          <w:lang w:val="bg-BG"/>
        </w:rPr>
        <w:t xml:space="preserve">издига кандидатурата на </w:t>
      </w:r>
      <w:r w:rsidR="00354C6E">
        <w:rPr>
          <w:iCs/>
          <w:lang w:val="bg-BG"/>
        </w:rPr>
        <w:t>жалбоподателката</w:t>
      </w:r>
      <w:r w:rsidR="00CE401F">
        <w:rPr>
          <w:iCs/>
          <w:lang w:val="bg-BG"/>
        </w:rPr>
        <w:t xml:space="preserve"> за изборите през 2002 г.</w:t>
      </w:r>
      <w:r w:rsidR="00012C12">
        <w:rPr>
          <w:iCs/>
          <w:lang w:val="bg-BG"/>
        </w:rPr>
        <w:t xml:space="preserve"> Съветът на коалицията</w:t>
      </w:r>
      <w:r w:rsidR="004C3AA4">
        <w:rPr>
          <w:iCs/>
          <w:lang w:val="bg-BG"/>
        </w:rPr>
        <w:t xml:space="preserve"> </w:t>
      </w:r>
      <w:r w:rsidR="004C3AA4" w:rsidRPr="00736DEB">
        <w:rPr>
          <w:iCs/>
          <w:lang w:val="en-GB"/>
        </w:rPr>
        <w:t>PCTVL</w:t>
      </w:r>
      <w:r w:rsidR="00CE401F">
        <w:rPr>
          <w:iCs/>
          <w:lang w:val="bg-BG"/>
        </w:rPr>
        <w:t xml:space="preserve"> одобрява тази кандидатура</w:t>
      </w:r>
      <w:r w:rsidR="004C3AA4">
        <w:rPr>
          <w:iCs/>
          <w:lang w:val="bg-BG"/>
        </w:rPr>
        <w:t xml:space="preserve">. Скоро след това обаче, на </w:t>
      </w:r>
      <w:r w:rsidR="004C3AA4" w:rsidRPr="00E76BD5">
        <w:rPr>
          <w:iCs/>
          <w:lang w:val="bg-BG"/>
        </w:rPr>
        <w:t xml:space="preserve">16 май 2002 г., </w:t>
      </w:r>
      <w:r w:rsidR="00CE401F" w:rsidRPr="00E76BD5">
        <w:rPr>
          <w:iCs/>
          <w:lang w:val="bg-BG"/>
        </w:rPr>
        <w:t>п</w:t>
      </w:r>
      <w:r w:rsidR="00A25B47" w:rsidRPr="00E76BD5">
        <w:rPr>
          <w:iCs/>
          <w:lang w:val="bg-BG"/>
        </w:rPr>
        <w:t>арламентът</w:t>
      </w:r>
      <w:r w:rsidR="003919C4" w:rsidRPr="00E76BD5">
        <w:rPr>
          <w:iCs/>
          <w:lang w:val="bg-BG"/>
        </w:rPr>
        <w:t xml:space="preserve"> с </w:t>
      </w:r>
      <w:r w:rsidR="009522EA" w:rsidRPr="00E76BD5">
        <w:rPr>
          <w:iCs/>
          <w:lang w:val="bg-BG"/>
        </w:rPr>
        <w:t xml:space="preserve">изтичащ мандат отхвърля </w:t>
      </w:r>
      <w:r w:rsidR="001D5704" w:rsidRPr="00E76BD5">
        <w:rPr>
          <w:iCs/>
          <w:lang w:val="bg-BG"/>
        </w:rPr>
        <w:t>предложението</w:t>
      </w:r>
      <w:r w:rsidR="003919C4" w:rsidRPr="00E76BD5">
        <w:rPr>
          <w:iCs/>
          <w:lang w:val="bg-BG"/>
        </w:rPr>
        <w:t xml:space="preserve"> за отмяна на раздел </w:t>
      </w:r>
      <w:r w:rsidR="003919C4" w:rsidRPr="00E76BD5">
        <w:rPr>
          <w:lang w:val="bg-BG"/>
        </w:rPr>
        <w:t>5(</w:t>
      </w:r>
      <w:r w:rsidR="003919C4" w:rsidRPr="00945ED6">
        <w:rPr>
          <w:lang w:val="bg-BG"/>
        </w:rPr>
        <w:t>6)</w:t>
      </w:r>
      <w:r w:rsidR="003919C4">
        <w:rPr>
          <w:lang w:val="bg-BG"/>
        </w:rPr>
        <w:t xml:space="preserve"> от Закона за </w:t>
      </w:r>
      <w:r w:rsidR="00CE401F">
        <w:rPr>
          <w:lang w:val="bg-BG"/>
        </w:rPr>
        <w:t>п</w:t>
      </w:r>
      <w:r w:rsidR="00A25B47">
        <w:rPr>
          <w:lang w:val="bg-BG"/>
        </w:rPr>
        <w:t>арламентарните</w:t>
      </w:r>
      <w:r w:rsidR="00012C12">
        <w:rPr>
          <w:lang w:val="bg-BG"/>
        </w:rPr>
        <w:t xml:space="preserve"> избори. Съветът на коалицията</w:t>
      </w:r>
      <w:r w:rsidR="003919C4">
        <w:rPr>
          <w:lang w:val="bg-BG"/>
        </w:rPr>
        <w:t xml:space="preserve">, който е съвсем наясно с положението на </w:t>
      </w:r>
      <w:r w:rsidR="00354C6E">
        <w:rPr>
          <w:lang w:val="bg-BG"/>
        </w:rPr>
        <w:t>жалбоподателката</w:t>
      </w:r>
      <w:r w:rsidR="003919C4">
        <w:rPr>
          <w:lang w:val="bg-BG"/>
        </w:rPr>
        <w:t xml:space="preserve"> и се опасява, </w:t>
      </w:r>
      <w:r w:rsidR="00012C12">
        <w:rPr>
          <w:lang w:val="bg-BG"/>
        </w:rPr>
        <w:t>че кандидатурата ѝ ще възпрепятства регистрацията на</w:t>
      </w:r>
      <w:r w:rsidR="003919C4">
        <w:rPr>
          <w:lang w:val="bg-BG"/>
        </w:rPr>
        <w:t xml:space="preserve"> цялата листа на </w:t>
      </w:r>
      <w:r w:rsidR="003919C4" w:rsidRPr="00736DEB">
        <w:rPr>
          <w:iCs/>
          <w:lang w:val="en-GB"/>
        </w:rPr>
        <w:t>PCTVL</w:t>
      </w:r>
      <w:r w:rsidR="003919C4">
        <w:rPr>
          <w:iCs/>
          <w:lang w:val="bg-BG"/>
        </w:rPr>
        <w:t xml:space="preserve">, променя мнението си и решава да не включва нейното име в листата </w:t>
      </w:r>
      <w:r w:rsidR="00012C12">
        <w:rPr>
          <w:iCs/>
          <w:lang w:val="bg-BG"/>
        </w:rPr>
        <w:t>с кандидати. Жалбоподателката</w:t>
      </w:r>
      <w:r w:rsidR="003919C4">
        <w:rPr>
          <w:iCs/>
          <w:lang w:val="bg-BG"/>
        </w:rPr>
        <w:t xml:space="preserve"> решава да внесе отделна листа, съдържаща само едно име – нейното собствено – и озаглавена „Партия за национална хармония</w:t>
      </w:r>
      <w:r w:rsidR="00F67CDC">
        <w:rPr>
          <w:iCs/>
          <w:lang w:val="bg-BG"/>
        </w:rPr>
        <w:t>”</w:t>
      </w:r>
      <w:r w:rsidR="003919C4">
        <w:rPr>
          <w:iCs/>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48</w:t>
      </w:r>
      <w:r w:rsidRPr="00E17978">
        <w:fldChar w:fldCharType="end"/>
      </w:r>
      <w:r w:rsidR="005911E9" w:rsidRPr="00945ED6">
        <w:rPr>
          <w:lang w:val="bg-BG"/>
        </w:rPr>
        <w:t>.</w:t>
      </w:r>
      <w:r w:rsidR="005911E9" w:rsidRPr="00BB4F95">
        <w:rPr>
          <w:lang w:val="en-GB"/>
        </w:rPr>
        <w:t>  </w:t>
      </w:r>
      <w:r w:rsidR="00012C12">
        <w:rPr>
          <w:lang w:val="bg-BG"/>
        </w:rPr>
        <w:t>На 23 юли 2002 г. изборната коалиция</w:t>
      </w:r>
      <w:r w:rsidR="006E6A54">
        <w:rPr>
          <w:lang w:val="bg-BG"/>
        </w:rPr>
        <w:t xml:space="preserve"> </w:t>
      </w:r>
      <w:r w:rsidR="005911E9" w:rsidRPr="00736DEB">
        <w:rPr>
          <w:iCs/>
          <w:lang w:val="en-GB"/>
        </w:rPr>
        <w:t>PCTVL</w:t>
      </w:r>
      <w:r w:rsidR="006E6A54">
        <w:rPr>
          <w:iCs/>
          <w:lang w:val="bg-BG"/>
        </w:rPr>
        <w:t xml:space="preserve"> пре</w:t>
      </w:r>
      <w:r w:rsidR="00652202">
        <w:rPr>
          <w:iCs/>
          <w:lang w:val="bg-BG"/>
        </w:rPr>
        <w:t>дава своята листа на Централна</w:t>
      </w:r>
      <w:r w:rsidR="0065400D">
        <w:rPr>
          <w:iCs/>
          <w:lang w:val="bg-BG"/>
        </w:rPr>
        <w:t>та</w:t>
      </w:r>
      <w:r w:rsidR="006E6A54">
        <w:rPr>
          <w:iCs/>
          <w:lang w:val="bg-BG"/>
        </w:rPr>
        <w:t xml:space="preserve"> избирателна комисия.</w:t>
      </w:r>
      <w:r w:rsidR="00012C12">
        <w:rPr>
          <w:iCs/>
          <w:lang w:val="bg-BG"/>
        </w:rPr>
        <w:t xml:space="preserve"> Листата</w:t>
      </w:r>
      <w:r w:rsidR="000F6193">
        <w:rPr>
          <w:iCs/>
          <w:lang w:val="bg-BG"/>
        </w:rPr>
        <w:t xml:space="preserve"> съдържа имената на общо седемдесет и седем</w:t>
      </w:r>
      <w:r w:rsidR="006E6A54">
        <w:rPr>
          <w:iCs/>
          <w:lang w:val="bg-BG"/>
        </w:rPr>
        <w:t xml:space="preserve"> кандидати за петте избирателни района на Латвия. На същата дата </w:t>
      </w:r>
      <w:r w:rsidR="00012C12">
        <w:rPr>
          <w:iCs/>
          <w:lang w:val="bg-BG"/>
        </w:rPr>
        <w:t>жалбоподателката</w:t>
      </w:r>
      <w:r w:rsidR="001F400C">
        <w:rPr>
          <w:iCs/>
          <w:lang w:val="bg-BG"/>
        </w:rPr>
        <w:t xml:space="preserve"> иска от комисията да регистрира нейна собствена листа, само за избирателен район Курземе. С</w:t>
      </w:r>
      <w:r w:rsidR="00012C12">
        <w:rPr>
          <w:iCs/>
          <w:lang w:val="bg-BG"/>
        </w:rPr>
        <w:t>ъщо както в случая с изборите през</w:t>
      </w:r>
      <w:r w:rsidR="001F400C">
        <w:rPr>
          <w:iCs/>
          <w:lang w:val="bg-BG"/>
        </w:rPr>
        <w:t xml:space="preserve"> 1998 г., тя прилага към листата си писмено заявлен</w:t>
      </w:r>
      <w:r w:rsidR="00012C12">
        <w:rPr>
          <w:iCs/>
          <w:lang w:val="bg-BG"/>
        </w:rPr>
        <w:t xml:space="preserve">ие, в което </w:t>
      </w:r>
      <w:r w:rsidR="00930C04">
        <w:rPr>
          <w:iCs/>
          <w:lang w:val="bg-BG"/>
        </w:rPr>
        <w:t>посочва</w:t>
      </w:r>
      <w:r w:rsidR="00012C12">
        <w:rPr>
          <w:iCs/>
          <w:lang w:val="bg-BG"/>
        </w:rPr>
        <w:t>, че оспорваните</w:t>
      </w:r>
      <w:r w:rsidR="001F400C">
        <w:rPr>
          <w:iCs/>
          <w:lang w:val="bg-BG"/>
        </w:rPr>
        <w:t xml:space="preserve"> ограничения са несъвместими с Конституцията и с международните задължения на Латвия. На 25 юли 2002 г. комисията регистрира и двете листи. </w:t>
      </w:r>
      <w:r w:rsidR="005911E9" w:rsidRPr="00945ED6">
        <w:rPr>
          <w:i/>
          <w:iCs/>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49</w:t>
      </w:r>
      <w:r w:rsidRPr="00E17978">
        <w:fldChar w:fldCharType="end"/>
      </w:r>
      <w:r w:rsidR="005911E9" w:rsidRPr="00945ED6">
        <w:rPr>
          <w:lang w:val="bg-BG"/>
        </w:rPr>
        <w:t>.</w:t>
      </w:r>
      <w:r w:rsidR="001F400C">
        <w:rPr>
          <w:lang w:val="bg-BG"/>
        </w:rPr>
        <w:t xml:space="preserve"> С решение</w:t>
      </w:r>
      <w:r w:rsidR="00652202">
        <w:rPr>
          <w:lang w:val="bg-BG"/>
        </w:rPr>
        <w:t xml:space="preserve"> от 7 август 2002 г. Централна</w:t>
      </w:r>
      <w:r w:rsidR="00930C04">
        <w:rPr>
          <w:lang w:val="bg-BG"/>
        </w:rPr>
        <w:t>та</w:t>
      </w:r>
      <w:r w:rsidR="001F400C">
        <w:rPr>
          <w:lang w:val="bg-BG"/>
        </w:rPr>
        <w:t xml:space="preserve"> избирателна комисия, позовавайки се на решението на Гражданското отделение от 15 декември 1999 г., </w:t>
      </w:r>
      <w:r w:rsidR="00012C12">
        <w:rPr>
          <w:lang w:val="bg-BG"/>
        </w:rPr>
        <w:t>отстранява жалбоподателката</w:t>
      </w:r>
      <w:r w:rsidR="00F071FD">
        <w:rPr>
          <w:lang w:val="bg-BG"/>
        </w:rPr>
        <w:t xml:space="preserve"> от нейна</w:t>
      </w:r>
      <w:r w:rsidR="00012C12">
        <w:rPr>
          <w:lang w:val="bg-BG"/>
        </w:rPr>
        <w:t>та листа. След като се установява</w:t>
      </w:r>
      <w:r w:rsidR="00F071FD">
        <w:rPr>
          <w:lang w:val="bg-BG"/>
        </w:rPr>
        <w:t>, че тя е единственият кандидат в листата на „Партията за национална хармония</w:t>
      </w:r>
      <w:r w:rsidR="00F67CDC">
        <w:rPr>
          <w:lang w:val="bg-BG"/>
        </w:rPr>
        <w:t>”</w:t>
      </w:r>
      <w:r w:rsidR="00F071FD">
        <w:rPr>
          <w:lang w:val="bg-BG"/>
        </w:rPr>
        <w:t xml:space="preserve"> и че след нейното отстраняване не са останали други кандидати, комисията решава да отмени регистрацията на тази листа.</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50</w:t>
      </w:r>
      <w:r w:rsidRPr="00E17978">
        <w:fldChar w:fldCharType="end"/>
      </w:r>
      <w:r w:rsidR="005911E9" w:rsidRPr="00945ED6">
        <w:rPr>
          <w:lang w:val="bg-BG"/>
        </w:rPr>
        <w:t>.</w:t>
      </w:r>
      <w:r w:rsidR="005911E9" w:rsidRPr="00BB4F95">
        <w:rPr>
          <w:lang w:val="en-GB"/>
        </w:rPr>
        <w:t>  </w:t>
      </w:r>
      <w:r w:rsidR="00012C12">
        <w:rPr>
          <w:lang w:val="bg-BG"/>
        </w:rPr>
        <w:t>На изборите на</w:t>
      </w:r>
      <w:r w:rsidR="00F071FD">
        <w:rPr>
          <w:lang w:val="bg-BG"/>
        </w:rPr>
        <w:t xml:space="preserve"> 5 октомври 2002 г. листата </w:t>
      </w:r>
      <w:r w:rsidR="000F6193">
        <w:rPr>
          <w:lang w:val="bg-BG"/>
        </w:rPr>
        <w:t xml:space="preserve">на </w:t>
      </w:r>
      <w:r w:rsidR="007B55B7">
        <w:rPr>
          <w:lang w:val="bg-BG"/>
        </w:rPr>
        <w:t xml:space="preserve">коалицията </w:t>
      </w:r>
      <w:r w:rsidR="000F6193" w:rsidRPr="00736DEB">
        <w:rPr>
          <w:iCs/>
          <w:lang w:val="en-GB"/>
        </w:rPr>
        <w:t>PCTVL</w:t>
      </w:r>
      <w:r w:rsidR="00012C12">
        <w:rPr>
          <w:iCs/>
          <w:lang w:val="bg-BG"/>
        </w:rPr>
        <w:t xml:space="preserve"> печели</w:t>
      </w:r>
      <w:r w:rsidR="000F6193">
        <w:rPr>
          <w:iCs/>
          <w:lang w:val="bg-BG"/>
        </w:rPr>
        <w:t xml:space="preserve"> </w:t>
      </w:r>
      <w:r w:rsidR="000F6193" w:rsidRPr="00945ED6">
        <w:rPr>
          <w:lang w:val="bg-BG"/>
        </w:rPr>
        <w:t xml:space="preserve">18,94% </w:t>
      </w:r>
      <w:r w:rsidR="00012C12">
        <w:rPr>
          <w:lang w:val="bg-BG"/>
        </w:rPr>
        <w:t xml:space="preserve">от гласовете и </w:t>
      </w:r>
      <w:r w:rsidR="000F6193">
        <w:rPr>
          <w:lang w:val="bg-BG"/>
        </w:rPr>
        <w:t xml:space="preserve">двадесет и пет места в </w:t>
      </w:r>
      <w:r w:rsidR="00012C12">
        <w:rPr>
          <w:lang w:val="bg-BG"/>
        </w:rPr>
        <w:t>п</w:t>
      </w:r>
      <w:r w:rsidR="00A25B47">
        <w:rPr>
          <w:lang w:val="bg-BG"/>
        </w:rPr>
        <w:t>арламента</w:t>
      </w:r>
      <w:r w:rsidR="000F6193">
        <w:rPr>
          <w:lang w:val="bg-BG"/>
        </w:rPr>
        <w:t>.</w:t>
      </w:r>
    </w:p>
    <w:p w:rsidR="00F04C94" w:rsidRPr="00945ED6" w:rsidRDefault="001D5704" w:rsidP="00B8206D">
      <w:pPr>
        <w:pStyle w:val="JuHA"/>
        <w:rPr>
          <w:lang w:val="bg-BG"/>
        </w:rPr>
      </w:pPr>
      <w:r>
        <w:rPr>
          <w:lang w:val="bg-BG"/>
        </w:rPr>
        <w:t>Е</w:t>
      </w:r>
      <w:r w:rsidR="00F04C94" w:rsidRPr="00945ED6">
        <w:rPr>
          <w:lang w:val="bg-BG"/>
        </w:rPr>
        <w:t>.</w:t>
      </w:r>
      <w:r w:rsidR="00F04C94" w:rsidRPr="00E17978">
        <w:t>  </w:t>
      </w:r>
      <w:r w:rsidR="000F6193">
        <w:rPr>
          <w:lang w:val="bg-BG"/>
        </w:rPr>
        <w:t xml:space="preserve">Избори за Европейския парламент </w:t>
      </w:r>
    </w:p>
    <w:p w:rsidR="005A5ED0" w:rsidRPr="00945ED6" w:rsidRDefault="005D3E62" w:rsidP="00B8206D">
      <w:pPr>
        <w:pStyle w:val="JuPara"/>
        <w:rPr>
          <w:lang w:val="bg-BG"/>
        </w:rPr>
      </w:pPr>
      <w:r w:rsidRPr="00E17978">
        <w:fldChar w:fldCharType="begin"/>
      </w:r>
      <w:r w:rsidR="00F04C94" w:rsidRPr="00945ED6">
        <w:rPr>
          <w:lang w:val="bg-BG"/>
        </w:rPr>
        <w:instrText xml:space="preserve"> </w:instrText>
      </w:r>
      <w:r w:rsidR="00F04C94" w:rsidRPr="00BB4F95">
        <w:rPr>
          <w:lang w:val="en-GB"/>
        </w:rPr>
        <w:instrText>SEQ</w:instrText>
      </w:r>
      <w:r w:rsidR="00F04C94" w:rsidRPr="00945ED6">
        <w:rPr>
          <w:lang w:val="bg-BG"/>
        </w:rPr>
        <w:instrText xml:space="preserve"> </w:instrText>
      </w:r>
      <w:r w:rsidR="00F04C94" w:rsidRPr="00BB4F95">
        <w:rPr>
          <w:lang w:val="en-GB"/>
        </w:rPr>
        <w:instrText>level</w:instrText>
      </w:r>
      <w:r w:rsidR="00F04C94" w:rsidRPr="00945ED6">
        <w:rPr>
          <w:lang w:val="bg-BG"/>
        </w:rPr>
        <w:instrText>0 \*</w:instrText>
      </w:r>
      <w:r w:rsidR="00F04C94" w:rsidRPr="00BB4F95">
        <w:rPr>
          <w:lang w:val="en-GB"/>
        </w:rPr>
        <w:instrText>arabic</w:instrText>
      </w:r>
      <w:r w:rsidR="00F04C94" w:rsidRPr="00945ED6">
        <w:rPr>
          <w:lang w:val="bg-BG"/>
        </w:rPr>
        <w:instrText xml:space="preserve"> </w:instrText>
      </w:r>
      <w:r w:rsidRPr="00E17978">
        <w:fldChar w:fldCharType="separate"/>
      </w:r>
      <w:r w:rsidR="00955550" w:rsidRPr="00945ED6">
        <w:rPr>
          <w:noProof/>
          <w:lang w:val="bg-BG"/>
        </w:rPr>
        <w:t>51</w:t>
      </w:r>
      <w:r w:rsidRPr="00E17978">
        <w:fldChar w:fldCharType="end"/>
      </w:r>
      <w:r w:rsidR="00F04C94" w:rsidRPr="00945ED6">
        <w:rPr>
          <w:lang w:val="bg-BG"/>
        </w:rPr>
        <w:t>.</w:t>
      </w:r>
      <w:r w:rsidR="00F04C94" w:rsidRPr="00BB4F95">
        <w:rPr>
          <w:lang w:val="en-GB"/>
        </w:rPr>
        <w:t>  </w:t>
      </w:r>
      <w:r w:rsidR="000F6193">
        <w:rPr>
          <w:lang w:val="bg-BG"/>
        </w:rPr>
        <w:t xml:space="preserve">На 1 май 2004 г. Латвия става член на Европейския </w:t>
      </w:r>
      <w:r w:rsidR="00012C12">
        <w:rPr>
          <w:lang w:val="bg-BG"/>
        </w:rPr>
        <w:t>съюз. Преди тази дата, по силата</w:t>
      </w:r>
      <w:r w:rsidR="000F6193">
        <w:rPr>
          <w:lang w:val="bg-BG"/>
        </w:rPr>
        <w:t xml:space="preserve"> на</w:t>
      </w:r>
      <w:r w:rsidR="00B95AA6">
        <w:rPr>
          <w:lang w:val="bg-BG"/>
        </w:rPr>
        <w:t xml:space="preserve"> Закона за </w:t>
      </w:r>
      <w:r w:rsidR="00EE018D">
        <w:rPr>
          <w:lang w:val="bg-BG"/>
        </w:rPr>
        <w:t>изборите за Европейски парламент</w:t>
      </w:r>
      <w:r w:rsidR="00B95AA6">
        <w:rPr>
          <w:lang w:val="bg-BG"/>
        </w:rPr>
        <w:t xml:space="preserve"> </w:t>
      </w:r>
      <w:r w:rsidR="00B95AA6" w:rsidRPr="00126EB2">
        <w:rPr>
          <w:lang w:val="bg-BG"/>
        </w:rPr>
        <w:t>(</w:t>
      </w:r>
      <w:r w:rsidR="00B95AA6" w:rsidRPr="00BB4F95">
        <w:rPr>
          <w:i/>
          <w:iCs/>
          <w:lang w:val="en-GB"/>
        </w:rPr>
        <w:t>Eiropas</w:t>
      </w:r>
      <w:r w:rsidR="00B95AA6" w:rsidRPr="00126EB2">
        <w:rPr>
          <w:i/>
          <w:iCs/>
          <w:lang w:val="bg-BG"/>
        </w:rPr>
        <w:t xml:space="preserve"> </w:t>
      </w:r>
      <w:r w:rsidR="00B95AA6" w:rsidRPr="00BB4F95">
        <w:rPr>
          <w:i/>
          <w:iCs/>
          <w:lang w:val="en-GB"/>
        </w:rPr>
        <w:t>Parlamenta</w:t>
      </w:r>
      <w:r w:rsidR="00B95AA6" w:rsidRPr="00126EB2">
        <w:rPr>
          <w:i/>
          <w:iCs/>
          <w:lang w:val="bg-BG"/>
        </w:rPr>
        <w:t xml:space="preserve"> </w:t>
      </w:r>
      <w:r w:rsidR="00B95AA6" w:rsidRPr="00BB4F95">
        <w:rPr>
          <w:i/>
          <w:iCs/>
          <w:lang w:val="en-GB"/>
        </w:rPr>
        <w:t>v</w:t>
      </w:r>
      <w:r w:rsidR="00B95AA6" w:rsidRPr="00126EB2">
        <w:rPr>
          <w:i/>
          <w:iCs/>
          <w:lang w:val="bg-BG"/>
        </w:rPr>
        <w:t>ē</w:t>
      </w:r>
      <w:r w:rsidR="00B95AA6" w:rsidRPr="00BB4F95">
        <w:rPr>
          <w:i/>
          <w:iCs/>
          <w:lang w:val="en-GB"/>
        </w:rPr>
        <w:t>l</w:t>
      </w:r>
      <w:r w:rsidR="00B95AA6" w:rsidRPr="00126EB2">
        <w:rPr>
          <w:i/>
          <w:iCs/>
          <w:lang w:val="bg-BG"/>
        </w:rPr>
        <w:t>ēš</w:t>
      </w:r>
      <w:r w:rsidR="00B95AA6" w:rsidRPr="00BB4F95">
        <w:rPr>
          <w:i/>
          <w:iCs/>
          <w:lang w:val="en-GB"/>
        </w:rPr>
        <w:t>anu</w:t>
      </w:r>
      <w:r w:rsidR="00B95AA6" w:rsidRPr="00126EB2">
        <w:rPr>
          <w:i/>
          <w:iCs/>
          <w:lang w:val="bg-BG"/>
        </w:rPr>
        <w:t xml:space="preserve"> </w:t>
      </w:r>
      <w:r w:rsidR="00B95AA6" w:rsidRPr="00BB4F95">
        <w:rPr>
          <w:i/>
          <w:iCs/>
          <w:lang w:val="en-GB"/>
        </w:rPr>
        <w:t>likums</w:t>
      </w:r>
      <w:r w:rsidR="00B95AA6" w:rsidRPr="00126EB2">
        <w:rPr>
          <w:lang w:val="bg-BG"/>
        </w:rPr>
        <w:t>)</w:t>
      </w:r>
      <w:r w:rsidR="00B95AA6">
        <w:rPr>
          <w:lang w:val="bg-BG"/>
        </w:rPr>
        <w:t xml:space="preserve"> от 12 февруари 2004 г., </w:t>
      </w:r>
      <w:r w:rsidR="00354C6E">
        <w:rPr>
          <w:lang w:val="bg-BG"/>
        </w:rPr>
        <w:t>жалбоподателката</w:t>
      </w:r>
      <w:r w:rsidR="00B95AA6">
        <w:rPr>
          <w:lang w:val="bg-BG"/>
        </w:rPr>
        <w:t xml:space="preserve"> получава разрешение </w:t>
      </w:r>
      <w:r w:rsidR="00012C12">
        <w:rPr>
          <w:lang w:val="bg-BG"/>
        </w:rPr>
        <w:t>да участва в тези избори. Те се провеждат</w:t>
      </w:r>
      <w:r w:rsidR="00B95AA6">
        <w:rPr>
          <w:lang w:val="bg-BG"/>
        </w:rPr>
        <w:t xml:space="preserve"> на 12 юни 2004 г. и </w:t>
      </w:r>
      <w:r w:rsidR="00354C6E">
        <w:rPr>
          <w:lang w:val="bg-BG"/>
        </w:rPr>
        <w:t>жалбоподателката</w:t>
      </w:r>
      <w:r w:rsidR="00B95AA6">
        <w:rPr>
          <w:lang w:val="bg-BG"/>
        </w:rPr>
        <w:t xml:space="preserve"> е избран</w:t>
      </w:r>
      <w:r w:rsidR="00012C12">
        <w:rPr>
          <w:lang w:val="bg-BG"/>
        </w:rPr>
        <w:t>а</w:t>
      </w:r>
      <w:r w:rsidR="00B95AA6">
        <w:rPr>
          <w:lang w:val="bg-BG"/>
        </w:rPr>
        <w:t xml:space="preserve"> за член на Европейския парламент</w:t>
      </w:r>
      <w:r w:rsidR="00F04C94" w:rsidRPr="00945ED6">
        <w:rPr>
          <w:lang w:val="bg-BG"/>
        </w:rPr>
        <w:t>.</w:t>
      </w:r>
    </w:p>
    <w:p w:rsidR="005911E9" w:rsidRPr="00945ED6" w:rsidRDefault="005A5ED0" w:rsidP="005911E9">
      <w:pPr>
        <w:pStyle w:val="JuHIRoman"/>
        <w:rPr>
          <w:lang w:val="bg-BG"/>
        </w:rPr>
      </w:pPr>
      <w:r>
        <w:lastRenderedPageBreak/>
        <w:t>II</w:t>
      </w:r>
      <w:r w:rsidRPr="00945ED6">
        <w:rPr>
          <w:lang w:val="bg-BG"/>
        </w:rPr>
        <w:t>.</w:t>
      </w:r>
      <w:r>
        <w:t> </w:t>
      </w:r>
      <w:r w:rsidR="00D116BF">
        <w:rPr>
          <w:lang w:val="bg-BG"/>
        </w:rPr>
        <w:t xml:space="preserve">ПРИЛОЖИМО </w:t>
      </w:r>
      <w:r w:rsidR="003F7276">
        <w:rPr>
          <w:lang w:val="bg-BG"/>
        </w:rPr>
        <w:t>ВЪТРЕШНО</w:t>
      </w:r>
      <w:r w:rsidR="00B95AA6">
        <w:rPr>
          <w:lang w:val="bg-BG"/>
        </w:rPr>
        <w:t xml:space="preserve"> ПРАВО И ПРАКТИКА </w:t>
      </w:r>
    </w:p>
    <w:p w:rsidR="005911E9" w:rsidRPr="00945ED6" w:rsidRDefault="005911E9" w:rsidP="005911E9">
      <w:pPr>
        <w:pStyle w:val="JuHA"/>
        <w:rPr>
          <w:lang w:val="bg-BG"/>
        </w:rPr>
      </w:pPr>
      <w:r w:rsidRPr="00E17978">
        <w:t>A</w:t>
      </w:r>
      <w:r w:rsidRPr="00945ED6">
        <w:rPr>
          <w:lang w:val="bg-BG"/>
        </w:rPr>
        <w:t>.</w:t>
      </w:r>
      <w:r w:rsidRPr="00E17978">
        <w:t> </w:t>
      </w:r>
      <w:r w:rsidR="00B95AA6">
        <w:rPr>
          <w:lang w:val="bg-BG"/>
        </w:rPr>
        <w:t>Разпоредби, касаещи статута на Латвия</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52</w:t>
      </w:r>
      <w:r w:rsidRPr="00E17978">
        <w:fldChar w:fldCharType="end"/>
      </w:r>
      <w:r w:rsidR="005911E9" w:rsidRPr="00945ED6">
        <w:rPr>
          <w:lang w:val="bg-BG"/>
        </w:rPr>
        <w:t>.</w:t>
      </w:r>
      <w:r w:rsidR="005911E9" w:rsidRPr="00BB4F95">
        <w:rPr>
          <w:lang w:val="en-GB"/>
        </w:rPr>
        <w:t>  </w:t>
      </w:r>
      <w:r w:rsidR="0009665C">
        <w:rPr>
          <w:lang w:val="bg-BG"/>
        </w:rPr>
        <w:t xml:space="preserve">Оперативните разпоредби на Декларацията от 4 май 1990 г. за възстановяване на независимостта на </w:t>
      </w:r>
      <w:r w:rsidR="00013D7D">
        <w:rPr>
          <w:lang w:val="bg-BG"/>
        </w:rPr>
        <w:t>Република Латвия</w:t>
      </w:r>
      <w:r w:rsidR="0009665C">
        <w:rPr>
          <w:lang w:val="bg-BG"/>
        </w:rPr>
        <w:t xml:space="preserve"> гласят </w:t>
      </w:r>
      <w:r w:rsidR="009866CF">
        <w:rPr>
          <w:lang w:val="bg-BG"/>
        </w:rPr>
        <w:t>следното</w:t>
      </w:r>
      <w:r w:rsidR="0009665C">
        <w:rPr>
          <w:lang w:val="bg-BG"/>
        </w:rPr>
        <w:t xml:space="preserve">: </w:t>
      </w:r>
    </w:p>
    <w:p w:rsidR="005911E9" w:rsidRPr="00945ED6" w:rsidRDefault="009866CF" w:rsidP="005911E9">
      <w:pPr>
        <w:pStyle w:val="JuQuot"/>
        <w:rPr>
          <w:lang w:val="bg-BG"/>
        </w:rPr>
      </w:pPr>
      <w:r>
        <w:rPr>
          <w:lang w:val="bg-BG"/>
        </w:rPr>
        <w:t>„</w:t>
      </w:r>
      <w:r w:rsidR="0009665C">
        <w:rPr>
          <w:lang w:val="bg-BG"/>
        </w:rPr>
        <w:t xml:space="preserve">Върховният съвет на Латвийска ССР </w:t>
      </w:r>
      <w:r w:rsidR="0009665C" w:rsidRPr="0009665C">
        <w:rPr>
          <w:i/>
          <w:lang w:val="bg-BG"/>
        </w:rPr>
        <w:t>решава</w:t>
      </w:r>
      <w:r w:rsidR="0009665C">
        <w:rPr>
          <w:lang w:val="bg-BG"/>
        </w:rPr>
        <w:t xml:space="preserve">: </w:t>
      </w:r>
    </w:p>
    <w:p w:rsidR="005911E9" w:rsidRPr="00945ED6" w:rsidRDefault="007605FF" w:rsidP="005911E9">
      <w:pPr>
        <w:pStyle w:val="JuQuot"/>
        <w:rPr>
          <w:lang w:val="bg-BG"/>
        </w:rPr>
      </w:pPr>
      <w:r w:rsidRPr="00945ED6">
        <w:rPr>
          <w:lang w:val="bg-BG"/>
        </w:rPr>
        <w:t xml:space="preserve">(1) </w:t>
      </w:r>
      <w:r w:rsidR="00427349">
        <w:rPr>
          <w:lang w:val="bg-BG"/>
        </w:rPr>
        <w:t xml:space="preserve">като признание за върховенството на международното право пред разпоредбите на </w:t>
      </w:r>
      <w:r w:rsidR="00D35DF8">
        <w:rPr>
          <w:lang w:val="bg-BG"/>
        </w:rPr>
        <w:t>вътрешното право</w:t>
      </w:r>
      <w:r w:rsidR="001931CA">
        <w:rPr>
          <w:lang w:val="bg-BG"/>
        </w:rPr>
        <w:t>, да се счита за незаконен Пактът</w:t>
      </w:r>
      <w:r w:rsidR="00427349">
        <w:rPr>
          <w:lang w:val="bg-BG"/>
        </w:rPr>
        <w:t xml:space="preserve"> от 23 август 1939 г., сключен между СССР </w:t>
      </w:r>
      <w:r w:rsidR="001931CA">
        <w:rPr>
          <w:lang w:val="bg-BG"/>
        </w:rPr>
        <w:t xml:space="preserve">и Германия, както и </w:t>
      </w:r>
      <w:r w:rsidR="001931CA" w:rsidRPr="00AA0672">
        <w:rPr>
          <w:lang w:val="bg-BG"/>
        </w:rPr>
        <w:t>последвалото</w:t>
      </w:r>
      <w:r w:rsidR="00427349" w:rsidRPr="00AA0672">
        <w:rPr>
          <w:lang w:val="bg-BG"/>
        </w:rPr>
        <w:t xml:space="preserve"> </w:t>
      </w:r>
      <w:r w:rsidR="001931CA" w:rsidRPr="00AA0672">
        <w:rPr>
          <w:lang w:val="bg-BG"/>
        </w:rPr>
        <w:t>ликвидиране</w:t>
      </w:r>
      <w:r w:rsidR="001931CA">
        <w:rPr>
          <w:lang w:val="bg-BG"/>
        </w:rPr>
        <w:t xml:space="preserve"> </w:t>
      </w:r>
      <w:r w:rsidR="00427349">
        <w:rPr>
          <w:lang w:val="bg-BG"/>
        </w:rPr>
        <w:t xml:space="preserve">на суверенитета на </w:t>
      </w:r>
      <w:r w:rsidR="00013D7D">
        <w:rPr>
          <w:lang w:val="bg-BG"/>
        </w:rPr>
        <w:t>Република Латвия</w:t>
      </w:r>
      <w:r w:rsidR="0026776A">
        <w:rPr>
          <w:lang w:val="bg-BG"/>
        </w:rPr>
        <w:t xml:space="preserve"> посредством военна</w:t>
      </w:r>
      <w:r w:rsidR="00D35DF8">
        <w:rPr>
          <w:lang w:val="bg-BG"/>
        </w:rPr>
        <w:t>та</w:t>
      </w:r>
      <w:r w:rsidR="00427349">
        <w:rPr>
          <w:lang w:val="bg-BG"/>
        </w:rPr>
        <w:t xml:space="preserve"> агресия от страна на СССР на 17 юни 1940 г.;</w:t>
      </w:r>
      <w:r w:rsidR="005911E9" w:rsidRPr="00E17978">
        <w:t> </w:t>
      </w:r>
      <w:r w:rsidR="00427349">
        <w:rPr>
          <w:lang w:val="bg-BG"/>
        </w:rPr>
        <w:t xml:space="preserve"> </w:t>
      </w:r>
    </w:p>
    <w:p w:rsidR="005911E9" w:rsidRPr="00945ED6" w:rsidRDefault="007605FF" w:rsidP="005911E9">
      <w:pPr>
        <w:pStyle w:val="JuQuot"/>
        <w:rPr>
          <w:lang w:val="bg-BG"/>
        </w:rPr>
      </w:pPr>
      <w:r w:rsidRPr="00945ED6">
        <w:rPr>
          <w:lang w:val="bg-BG"/>
        </w:rPr>
        <w:t xml:space="preserve">(2) </w:t>
      </w:r>
      <w:r w:rsidR="00C30AB8">
        <w:rPr>
          <w:lang w:val="bg-BG"/>
        </w:rPr>
        <w:t xml:space="preserve">да обяви за недействителна Декларацията на </w:t>
      </w:r>
      <w:r w:rsidR="00CF6874">
        <w:rPr>
          <w:lang w:val="bg-BG"/>
        </w:rPr>
        <w:t>П</w:t>
      </w:r>
      <w:r w:rsidR="00A25B47">
        <w:rPr>
          <w:lang w:val="bg-BG"/>
        </w:rPr>
        <w:t>арламента</w:t>
      </w:r>
      <w:r w:rsidR="00C30AB8">
        <w:rPr>
          <w:lang w:val="bg-BG"/>
        </w:rPr>
        <w:t xml:space="preserve"> </w:t>
      </w:r>
      <w:r w:rsidR="00C30AB8" w:rsidRPr="00945ED6">
        <w:rPr>
          <w:lang w:val="bg-BG"/>
        </w:rPr>
        <w:t>[</w:t>
      </w:r>
      <w:r w:rsidR="00C30AB8" w:rsidRPr="00E17978">
        <w:rPr>
          <w:i/>
          <w:iCs/>
        </w:rPr>
        <w:t>Saeima</w:t>
      </w:r>
      <w:r w:rsidR="00C30AB8" w:rsidRPr="00945ED6">
        <w:rPr>
          <w:lang w:val="bg-BG"/>
        </w:rPr>
        <w:t>]</w:t>
      </w:r>
      <w:r w:rsidR="00C30AB8">
        <w:rPr>
          <w:lang w:val="bg-BG"/>
        </w:rPr>
        <w:t xml:space="preserve"> на Латвия, приета на 21 юли 1940 г., относно интеграцията на Латвия в Съюза на съветските социалистически републики; </w:t>
      </w:r>
    </w:p>
    <w:p w:rsidR="005911E9" w:rsidRPr="00945ED6" w:rsidRDefault="007605FF" w:rsidP="005911E9">
      <w:pPr>
        <w:pStyle w:val="JuQuot"/>
        <w:rPr>
          <w:lang w:val="bg-BG"/>
        </w:rPr>
      </w:pPr>
      <w:r w:rsidRPr="00945ED6">
        <w:rPr>
          <w:lang w:val="bg-BG"/>
        </w:rPr>
        <w:t xml:space="preserve">(3) </w:t>
      </w:r>
      <w:r w:rsidR="00C30AB8">
        <w:rPr>
          <w:lang w:val="bg-BG"/>
        </w:rPr>
        <w:t xml:space="preserve">да възстанови </w:t>
      </w:r>
      <w:r w:rsidR="0095006D">
        <w:rPr>
          <w:lang w:val="bg-BG"/>
        </w:rPr>
        <w:t xml:space="preserve">на територията на цяла Латвия </w:t>
      </w:r>
      <w:r w:rsidR="00C30AB8">
        <w:rPr>
          <w:lang w:val="bg-BG"/>
        </w:rPr>
        <w:t xml:space="preserve">правното действие на Конституцията </w:t>
      </w:r>
      <w:r w:rsidR="00C30AB8" w:rsidRPr="00945ED6">
        <w:rPr>
          <w:lang w:val="bg-BG"/>
        </w:rPr>
        <w:t>[</w:t>
      </w:r>
      <w:r w:rsidR="00C30AB8" w:rsidRPr="00E17978">
        <w:rPr>
          <w:i/>
          <w:iCs/>
        </w:rPr>
        <w:t>Satversme</w:t>
      </w:r>
      <w:r w:rsidR="00C30AB8" w:rsidRPr="00945ED6">
        <w:rPr>
          <w:lang w:val="bg-BG"/>
        </w:rPr>
        <w:t>]</w:t>
      </w:r>
      <w:r w:rsidR="00C30AB8">
        <w:rPr>
          <w:lang w:val="bg-BG"/>
        </w:rPr>
        <w:t xml:space="preserve"> на </w:t>
      </w:r>
      <w:r w:rsidR="00013D7D">
        <w:rPr>
          <w:lang w:val="bg-BG"/>
        </w:rPr>
        <w:t>Република Латвия</w:t>
      </w:r>
      <w:r w:rsidR="00C30AB8">
        <w:rPr>
          <w:lang w:val="bg-BG"/>
        </w:rPr>
        <w:t>, приета на 15 февруари 1922 г. от Учредителното събрание</w:t>
      </w:r>
      <w:r w:rsidR="00831002">
        <w:rPr>
          <w:lang w:val="bg-BG"/>
        </w:rPr>
        <w:t xml:space="preserve"> </w:t>
      </w:r>
      <w:r w:rsidR="00831002" w:rsidRPr="00945ED6">
        <w:rPr>
          <w:lang w:val="bg-BG"/>
        </w:rPr>
        <w:t>[</w:t>
      </w:r>
      <w:r w:rsidR="00831002" w:rsidRPr="00E17978">
        <w:rPr>
          <w:i/>
          <w:iCs/>
        </w:rPr>
        <w:t>Satversmes</w:t>
      </w:r>
      <w:r w:rsidR="00831002" w:rsidRPr="00945ED6">
        <w:rPr>
          <w:i/>
          <w:iCs/>
          <w:lang w:val="bg-BG"/>
        </w:rPr>
        <w:t xml:space="preserve"> </w:t>
      </w:r>
      <w:r w:rsidR="00831002" w:rsidRPr="00E17978">
        <w:rPr>
          <w:i/>
          <w:iCs/>
        </w:rPr>
        <w:t>sapulce</w:t>
      </w:r>
      <w:r w:rsidR="00831002" w:rsidRPr="00945ED6">
        <w:rPr>
          <w:lang w:val="bg-BG"/>
        </w:rPr>
        <w:t>]</w:t>
      </w:r>
      <w:r w:rsidR="00831002">
        <w:rPr>
          <w:lang w:val="bg-BG"/>
        </w:rPr>
        <w:t>. Официално</w:t>
      </w:r>
      <w:r w:rsidR="001931CA">
        <w:rPr>
          <w:lang w:val="bg-BG"/>
        </w:rPr>
        <w:t>то име на латвийската държава да</w:t>
      </w:r>
      <w:r w:rsidR="00831002">
        <w:rPr>
          <w:lang w:val="bg-BG"/>
        </w:rPr>
        <w:t xml:space="preserve"> бъде </w:t>
      </w:r>
      <w:r w:rsidR="00013D7D">
        <w:rPr>
          <w:lang w:val="bg-BG"/>
        </w:rPr>
        <w:t>РЕПУБЛИКА ЛАТВИЯ</w:t>
      </w:r>
      <w:r w:rsidR="00831002">
        <w:rPr>
          <w:lang w:val="bg-BG"/>
        </w:rPr>
        <w:t>, съкратено ЛАТВИЯ;</w:t>
      </w:r>
      <w:r w:rsidR="00C30AB8">
        <w:rPr>
          <w:lang w:val="bg-BG"/>
        </w:rPr>
        <w:t xml:space="preserve"> </w:t>
      </w:r>
    </w:p>
    <w:p w:rsidR="005911E9" w:rsidRPr="00945ED6" w:rsidRDefault="007605FF" w:rsidP="005911E9">
      <w:pPr>
        <w:pStyle w:val="JuQuot"/>
        <w:rPr>
          <w:lang w:val="bg-BG"/>
        </w:rPr>
      </w:pPr>
      <w:r w:rsidRPr="00945ED6">
        <w:rPr>
          <w:lang w:val="bg-BG"/>
        </w:rPr>
        <w:t xml:space="preserve">(4) </w:t>
      </w:r>
      <w:r w:rsidR="00831002" w:rsidRPr="00736E13">
        <w:rPr>
          <w:lang w:val="bg-BG"/>
        </w:rPr>
        <w:t xml:space="preserve">да преустанови действието на Конституцията на </w:t>
      </w:r>
      <w:r w:rsidR="00013D7D" w:rsidRPr="00736E13">
        <w:rPr>
          <w:lang w:val="bg-BG"/>
        </w:rPr>
        <w:t>Република Латвия</w:t>
      </w:r>
      <w:r w:rsidR="00831002" w:rsidRPr="00736E13">
        <w:rPr>
          <w:lang w:val="bg-BG"/>
        </w:rPr>
        <w:t xml:space="preserve"> в очакв</w:t>
      </w:r>
      <w:r w:rsidR="00AA0672">
        <w:rPr>
          <w:lang w:val="bg-BG"/>
        </w:rPr>
        <w:t xml:space="preserve">ане да се приеме </w:t>
      </w:r>
      <w:r w:rsidR="00AA0672" w:rsidRPr="00167AE8">
        <w:rPr>
          <w:lang w:val="bg-BG"/>
        </w:rPr>
        <w:t>нова Конституция</w:t>
      </w:r>
      <w:r w:rsidR="00831002" w:rsidRPr="00167AE8">
        <w:rPr>
          <w:lang w:val="bg-BG"/>
        </w:rPr>
        <w:t>,</w:t>
      </w:r>
      <w:r w:rsidR="00831002" w:rsidRPr="00736E13">
        <w:rPr>
          <w:lang w:val="bg-BG"/>
        </w:rPr>
        <w:t xml:space="preserve"> с изключение на онези членове, които определят конституционната и правна основа на латвийската държава и които, </w:t>
      </w:r>
      <w:r w:rsidR="00652202" w:rsidRPr="00736E13">
        <w:rPr>
          <w:lang w:val="bg-BG"/>
        </w:rPr>
        <w:t>съгласно</w:t>
      </w:r>
      <w:r w:rsidR="00831002" w:rsidRPr="00736E13">
        <w:rPr>
          <w:lang w:val="bg-BG"/>
        </w:rPr>
        <w:t xml:space="preserve"> чл. 77 от същата </w:t>
      </w:r>
      <w:r w:rsidR="00B53F83" w:rsidRPr="00736E13">
        <w:rPr>
          <w:lang w:val="bg-BG"/>
        </w:rPr>
        <w:t xml:space="preserve">Конституция, могат да се изменят само посредством референдум, а именно: </w:t>
      </w:r>
    </w:p>
    <w:p w:rsidR="005911E9" w:rsidRPr="00945ED6" w:rsidRDefault="00B53F83" w:rsidP="005911E9">
      <w:pPr>
        <w:pStyle w:val="JuQuot"/>
        <w:keepNext/>
        <w:keepLines/>
        <w:rPr>
          <w:rStyle w:val="Emphasis"/>
          <w:i w:val="0"/>
          <w:iCs/>
          <w:lang w:val="bg-BG"/>
        </w:rPr>
      </w:pPr>
      <w:r w:rsidRPr="00945ED6">
        <w:rPr>
          <w:rStyle w:val="Emphasis"/>
          <w:b/>
          <w:bCs/>
          <w:i w:val="0"/>
          <w:iCs/>
          <w:lang w:val="bg-BG"/>
        </w:rPr>
        <w:t>Чл</w:t>
      </w:r>
      <w:r w:rsidR="00DA40F6">
        <w:rPr>
          <w:rStyle w:val="Emphasis"/>
          <w:b/>
          <w:bCs/>
          <w:i w:val="0"/>
          <w:iCs/>
          <w:lang w:val="bg-BG"/>
        </w:rPr>
        <w:t>ен</w:t>
      </w:r>
      <w:r w:rsidR="007605FF" w:rsidRPr="00945ED6">
        <w:rPr>
          <w:rStyle w:val="Emphasis"/>
          <w:b/>
          <w:bCs/>
          <w:i w:val="0"/>
          <w:iCs/>
          <w:lang w:val="bg-BG"/>
        </w:rPr>
        <w:t xml:space="preserve"> </w:t>
      </w:r>
      <w:r w:rsidR="005911E9" w:rsidRPr="00945ED6">
        <w:rPr>
          <w:rStyle w:val="Emphasis"/>
          <w:b/>
          <w:bCs/>
          <w:i w:val="0"/>
          <w:iCs/>
          <w:lang w:val="bg-BG"/>
        </w:rPr>
        <w:t>1</w:t>
      </w:r>
      <w:r w:rsidR="006063C0" w:rsidRPr="00945ED6">
        <w:rPr>
          <w:rStyle w:val="Emphasis"/>
          <w:b/>
          <w:bCs/>
          <w:i w:val="0"/>
          <w:iCs/>
          <w:lang w:val="bg-BG"/>
        </w:rPr>
        <w:t xml:space="preserve"> </w:t>
      </w:r>
      <w:r w:rsidR="005911E9" w:rsidRPr="00945ED6">
        <w:rPr>
          <w:rStyle w:val="Emphasis"/>
          <w:i w:val="0"/>
          <w:iCs/>
          <w:lang w:val="bg-BG"/>
        </w:rPr>
        <w:t xml:space="preserve">– </w:t>
      </w:r>
      <w:r>
        <w:rPr>
          <w:rStyle w:val="Emphasis"/>
          <w:i w:val="0"/>
          <w:iCs/>
          <w:lang w:val="bg-BG"/>
        </w:rPr>
        <w:t>Латвия е независима и демократична република.</w:t>
      </w:r>
    </w:p>
    <w:p w:rsidR="005911E9" w:rsidRPr="00945ED6" w:rsidRDefault="00725C16" w:rsidP="005911E9">
      <w:pPr>
        <w:pStyle w:val="JuQuot"/>
        <w:keepNext/>
        <w:keepLines/>
        <w:rPr>
          <w:rStyle w:val="Emphasis"/>
          <w:i w:val="0"/>
          <w:iCs/>
          <w:lang w:val="bg-BG"/>
        </w:rPr>
      </w:pPr>
      <w:r w:rsidRPr="00945ED6">
        <w:rPr>
          <w:rStyle w:val="Emphasis"/>
          <w:b/>
          <w:bCs/>
          <w:i w:val="0"/>
          <w:iCs/>
          <w:lang w:val="bg-BG"/>
        </w:rPr>
        <w:t>Чл</w:t>
      </w:r>
      <w:r w:rsidR="00DA40F6">
        <w:rPr>
          <w:rStyle w:val="Emphasis"/>
          <w:b/>
          <w:bCs/>
          <w:i w:val="0"/>
          <w:iCs/>
          <w:lang w:val="bg-BG"/>
        </w:rPr>
        <w:t>ен</w:t>
      </w:r>
      <w:r w:rsidR="007605FF" w:rsidRPr="00945ED6">
        <w:rPr>
          <w:rStyle w:val="Emphasis"/>
          <w:b/>
          <w:bCs/>
          <w:i w:val="0"/>
          <w:iCs/>
          <w:lang w:val="bg-BG"/>
        </w:rPr>
        <w:t xml:space="preserve"> </w:t>
      </w:r>
      <w:r w:rsidR="005911E9" w:rsidRPr="00945ED6">
        <w:rPr>
          <w:rStyle w:val="Emphasis"/>
          <w:b/>
          <w:bCs/>
          <w:i w:val="0"/>
          <w:iCs/>
          <w:lang w:val="bg-BG"/>
        </w:rPr>
        <w:t xml:space="preserve">2 </w:t>
      </w:r>
      <w:r w:rsidR="005911E9" w:rsidRPr="00945ED6">
        <w:rPr>
          <w:rStyle w:val="Emphasis"/>
          <w:bCs/>
          <w:i w:val="0"/>
          <w:iCs/>
          <w:lang w:val="bg-BG"/>
        </w:rPr>
        <w:t>–</w:t>
      </w:r>
      <w:r w:rsidR="005911E9" w:rsidRPr="00945ED6">
        <w:rPr>
          <w:rStyle w:val="Emphasis"/>
          <w:i w:val="0"/>
          <w:iCs/>
          <w:lang w:val="bg-BG"/>
        </w:rPr>
        <w:t xml:space="preserve"> </w:t>
      </w:r>
      <w:r>
        <w:rPr>
          <w:rStyle w:val="Emphasis"/>
          <w:i w:val="0"/>
          <w:iCs/>
          <w:lang w:val="bg-BG"/>
        </w:rPr>
        <w:t xml:space="preserve">Суверенната власт на </w:t>
      </w:r>
      <w:r w:rsidRPr="00736E13">
        <w:rPr>
          <w:rStyle w:val="Emphasis"/>
          <w:i w:val="0"/>
          <w:iCs/>
          <w:lang w:val="bg-BG"/>
        </w:rPr>
        <w:t>латвийската държава</w:t>
      </w:r>
      <w:r>
        <w:rPr>
          <w:rStyle w:val="Emphasis"/>
          <w:i w:val="0"/>
          <w:iCs/>
          <w:lang w:val="bg-BG"/>
        </w:rPr>
        <w:t xml:space="preserve"> е </w:t>
      </w:r>
      <w:r w:rsidRPr="00167AE8">
        <w:rPr>
          <w:rStyle w:val="Emphasis"/>
          <w:i w:val="0"/>
          <w:iCs/>
          <w:lang w:val="bg-BG"/>
        </w:rPr>
        <w:t>съсредоточена в</w:t>
      </w:r>
      <w:r w:rsidR="00F720DF" w:rsidRPr="00167AE8">
        <w:rPr>
          <w:rStyle w:val="Emphasis"/>
          <w:i w:val="0"/>
          <w:iCs/>
          <w:lang w:val="bg-BG"/>
        </w:rPr>
        <w:t xml:space="preserve"> ръцете на</w:t>
      </w:r>
      <w:r w:rsidRPr="00167AE8">
        <w:rPr>
          <w:rStyle w:val="Emphasis"/>
          <w:i w:val="0"/>
          <w:iCs/>
          <w:lang w:val="bg-BG"/>
        </w:rPr>
        <w:t xml:space="preserve"> латвийския народ.</w:t>
      </w:r>
      <w:r>
        <w:rPr>
          <w:rStyle w:val="Emphasis"/>
          <w:i w:val="0"/>
          <w:iCs/>
          <w:lang w:val="bg-BG"/>
        </w:rPr>
        <w:t xml:space="preserve"> </w:t>
      </w:r>
    </w:p>
    <w:p w:rsidR="005911E9" w:rsidRPr="00945ED6" w:rsidRDefault="00ED726C" w:rsidP="005911E9">
      <w:pPr>
        <w:pStyle w:val="JuQuot"/>
        <w:keepNext/>
        <w:keepLines/>
        <w:rPr>
          <w:rStyle w:val="Emphasis"/>
          <w:i w:val="0"/>
          <w:iCs/>
          <w:lang w:val="bg-BG"/>
        </w:rPr>
      </w:pPr>
      <w:r w:rsidRPr="00945ED6">
        <w:rPr>
          <w:rStyle w:val="Emphasis"/>
          <w:b/>
          <w:bCs/>
          <w:i w:val="0"/>
          <w:iCs/>
          <w:lang w:val="bg-BG"/>
        </w:rPr>
        <w:t>Чл</w:t>
      </w:r>
      <w:r w:rsidR="00DA40F6">
        <w:rPr>
          <w:rStyle w:val="Emphasis"/>
          <w:b/>
          <w:bCs/>
          <w:i w:val="0"/>
          <w:iCs/>
          <w:lang w:val="bg-BG"/>
        </w:rPr>
        <w:t>ен</w:t>
      </w:r>
      <w:r w:rsidRPr="00945ED6">
        <w:rPr>
          <w:rStyle w:val="Emphasis"/>
          <w:b/>
          <w:bCs/>
          <w:i w:val="0"/>
          <w:iCs/>
          <w:lang w:val="bg-BG"/>
        </w:rPr>
        <w:t xml:space="preserve"> </w:t>
      </w:r>
      <w:r w:rsidR="005911E9" w:rsidRPr="00945ED6">
        <w:rPr>
          <w:rStyle w:val="Emphasis"/>
          <w:b/>
          <w:bCs/>
          <w:i w:val="0"/>
          <w:iCs/>
          <w:lang w:val="bg-BG"/>
        </w:rPr>
        <w:t xml:space="preserve">3 </w:t>
      </w:r>
      <w:r w:rsidR="007605FF" w:rsidRPr="00945ED6">
        <w:rPr>
          <w:rStyle w:val="Emphasis"/>
          <w:i w:val="0"/>
          <w:iCs/>
          <w:lang w:val="bg-BG"/>
        </w:rPr>
        <w:t xml:space="preserve">– </w:t>
      </w:r>
      <w:r w:rsidR="00725C16">
        <w:rPr>
          <w:rStyle w:val="Emphasis"/>
          <w:i w:val="0"/>
          <w:iCs/>
          <w:lang w:val="bg-BG"/>
        </w:rPr>
        <w:t>Територията на латвийската държава</w:t>
      </w:r>
      <w:r w:rsidRPr="00945ED6">
        <w:rPr>
          <w:rStyle w:val="Emphasis"/>
          <w:i w:val="0"/>
          <w:iCs/>
          <w:lang w:val="bg-BG"/>
        </w:rPr>
        <w:t xml:space="preserve">, </w:t>
      </w:r>
      <w:r>
        <w:rPr>
          <w:rStyle w:val="Emphasis"/>
          <w:i w:val="0"/>
          <w:iCs/>
          <w:lang w:val="bg-BG"/>
        </w:rPr>
        <w:t>установена по силата на международни споразумения, се състои от Видземе, Латгале, Курземе и Земгале.</w:t>
      </w:r>
      <w:r w:rsidR="00725C16">
        <w:rPr>
          <w:rStyle w:val="Emphasis"/>
          <w:i w:val="0"/>
          <w:iCs/>
          <w:lang w:val="bg-BG"/>
        </w:rPr>
        <w:t xml:space="preserve"> </w:t>
      </w:r>
    </w:p>
    <w:p w:rsidR="005911E9" w:rsidRPr="00945ED6" w:rsidRDefault="00ED726C" w:rsidP="005911E9">
      <w:pPr>
        <w:pStyle w:val="JuQuot"/>
        <w:rPr>
          <w:rStyle w:val="Emphasis"/>
          <w:i w:val="0"/>
          <w:iCs/>
          <w:lang w:val="bg-BG"/>
        </w:rPr>
      </w:pPr>
      <w:r w:rsidRPr="00945ED6">
        <w:rPr>
          <w:rStyle w:val="Emphasis"/>
          <w:b/>
          <w:bCs/>
          <w:i w:val="0"/>
          <w:iCs/>
          <w:lang w:val="bg-BG"/>
        </w:rPr>
        <w:t>Чл</w:t>
      </w:r>
      <w:r w:rsidR="00DA40F6">
        <w:rPr>
          <w:rStyle w:val="Emphasis"/>
          <w:b/>
          <w:bCs/>
          <w:i w:val="0"/>
          <w:iCs/>
          <w:lang w:val="bg-BG"/>
        </w:rPr>
        <w:t>ен</w:t>
      </w:r>
      <w:r w:rsidRPr="00945ED6">
        <w:rPr>
          <w:rStyle w:val="Emphasis"/>
          <w:b/>
          <w:bCs/>
          <w:i w:val="0"/>
          <w:iCs/>
          <w:lang w:val="bg-BG"/>
        </w:rPr>
        <w:t xml:space="preserve"> </w:t>
      </w:r>
      <w:r w:rsidR="005911E9" w:rsidRPr="00945ED6">
        <w:rPr>
          <w:rStyle w:val="Emphasis"/>
          <w:b/>
          <w:bCs/>
          <w:i w:val="0"/>
          <w:iCs/>
          <w:lang w:val="bg-BG"/>
        </w:rPr>
        <w:t>6</w:t>
      </w:r>
      <w:r w:rsidR="005911E9" w:rsidRPr="00945ED6">
        <w:rPr>
          <w:rStyle w:val="Emphasis"/>
          <w:i w:val="0"/>
          <w:iCs/>
          <w:lang w:val="bg-BG"/>
        </w:rPr>
        <w:t xml:space="preserve"> – </w:t>
      </w:r>
      <w:r w:rsidR="00A25B47">
        <w:rPr>
          <w:rStyle w:val="Emphasis"/>
          <w:i w:val="0"/>
          <w:iCs/>
          <w:lang w:val="bg-BG"/>
        </w:rPr>
        <w:t>Парламентът</w:t>
      </w:r>
      <w:r w:rsidR="006063C0" w:rsidRPr="00945ED6">
        <w:rPr>
          <w:rStyle w:val="Emphasis"/>
          <w:i w:val="0"/>
          <w:iCs/>
          <w:lang w:val="bg-BG"/>
        </w:rPr>
        <w:t xml:space="preserve"> [</w:t>
      </w:r>
      <w:r w:rsidR="005911E9" w:rsidRPr="00E17978">
        <w:rPr>
          <w:rStyle w:val="Emphasis"/>
        </w:rPr>
        <w:t>Saeima</w:t>
      </w:r>
      <w:r w:rsidR="006063C0" w:rsidRPr="00945ED6">
        <w:rPr>
          <w:rStyle w:val="Emphasis"/>
          <w:i w:val="0"/>
          <w:iCs/>
          <w:lang w:val="bg-BG"/>
        </w:rPr>
        <w:t>]</w:t>
      </w:r>
      <w:r w:rsidR="005911E9" w:rsidRPr="00945ED6">
        <w:rPr>
          <w:rStyle w:val="Emphasis"/>
          <w:i w:val="0"/>
          <w:iCs/>
          <w:lang w:val="bg-BG"/>
        </w:rPr>
        <w:t xml:space="preserve"> </w:t>
      </w:r>
      <w:r>
        <w:rPr>
          <w:rStyle w:val="Emphasis"/>
          <w:i w:val="0"/>
          <w:iCs/>
          <w:lang w:val="bg-BG"/>
        </w:rPr>
        <w:t>се</w:t>
      </w:r>
      <w:r w:rsidR="00736E13">
        <w:rPr>
          <w:rStyle w:val="Emphasis"/>
          <w:i w:val="0"/>
          <w:iCs/>
          <w:lang w:val="bg-BG"/>
        </w:rPr>
        <w:t xml:space="preserve"> избира чрез</w:t>
      </w:r>
      <w:r w:rsidR="00BE71F5">
        <w:rPr>
          <w:rStyle w:val="Emphasis"/>
          <w:i w:val="0"/>
          <w:iCs/>
          <w:lang w:val="bg-BG"/>
        </w:rPr>
        <w:t xml:space="preserve"> общи, равноправни</w:t>
      </w:r>
      <w:r>
        <w:rPr>
          <w:rStyle w:val="Emphasis"/>
          <w:i w:val="0"/>
          <w:iCs/>
          <w:lang w:val="bg-BG"/>
        </w:rPr>
        <w:t xml:space="preserve">, преки и тайни избори, </w:t>
      </w:r>
      <w:r w:rsidR="00BE71F5">
        <w:rPr>
          <w:rStyle w:val="Emphasis"/>
          <w:i w:val="0"/>
          <w:iCs/>
          <w:lang w:val="bg-BG"/>
        </w:rPr>
        <w:t xml:space="preserve">основани на пропорционално представителство. </w:t>
      </w:r>
    </w:p>
    <w:p w:rsidR="005911E9" w:rsidRPr="00945ED6" w:rsidRDefault="00F720DF" w:rsidP="005911E9">
      <w:pPr>
        <w:pStyle w:val="JuQuot"/>
        <w:rPr>
          <w:lang w:val="bg-BG"/>
        </w:rPr>
      </w:pPr>
      <w:r>
        <w:rPr>
          <w:lang w:val="bg-BG"/>
        </w:rPr>
        <w:t>Чл</w:t>
      </w:r>
      <w:r w:rsidR="00DA40F6">
        <w:rPr>
          <w:lang w:val="bg-BG"/>
        </w:rPr>
        <w:t>ен</w:t>
      </w:r>
      <w:r>
        <w:rPr>
          <w:lang w:val="bg-BG"/>
        </w:rPr>
        <w:t xml:space="preserve"> 6 от Конституцията </w:t>
      </w:r>
      <w:r w:rsidR="00736E13">
        <w:rPr>
          <w:lang w:val="bg-BG"/>
        </w:rPr>
        <w:t>се прилага след възстановяване</w:t>
      </w:r>
      <w:r w:rsidR="00BE71F5">
        <w:rPr>
          <w:lang w:val="bg-BG"/>
        </w:rPr>
        <w:t xml:space="preserve"> на държавните и административни</w:t>
      </w:r>
      <w:r>
        <w:rPr>
          <w:lang w:val="bg-BG"/>
        </w:rPr>
        <w:t>те</w:t>
      </w:r>
      <w:r w:rsidR="00BE71F5">
        <w:rPr>
          <w:lang w:val="bg-BG"/>
        </w:rPr>
        <w:t xml:space="preserve"> стр</w:t>
      </w:r>
      <w:r w:rsidR="00736E13">
        <w:rPr>
          <w:lang w:val="bg-BG"/>
        </w:rPr>
        <w:t>уктури на независима</w:t>
      </w:r>
      <w:r w:rsidR="00BE71F5">
        <w:rPr>
          <w:lang w:val="bg-BG"/>
        </w:rPr>
        <w:t xml:space="preserve"> </w:t>
      </w:r>
      <w:r w:rsidR="00013D7D">
        <w:rPr>
          <w:lang w:val="bg-BG"/>
        </w:rPr>
        <w:t>Република Латвия</w:t>
      </w:r>
      <w:r w:rsidR="009479FF">
        <w:rPr>
          <w:lang w:val="bg-BG"/>
        </w:rPr>
        <w:t>, което</w:t>
      </w:r>
      <w:r w:rsidR="00BE71F5">
        <w:rPr>
          <w:lang w:val="bg-BG"/>
        </w:rPr>
        <w:t xml:space="preserve"> ще гарантира свободни избори; </w:t>
      </w:r>
    </w:p>
    <w:p w:rsidR="005911E9" w:rsidRPr="00945ED6" w:rsidRDefault="005911E9" w:rsidP="005911E9">
      <w:pPr>
        <w:pStyle w:val="JuQuot"/>
        <w:rPr>
          <w:lang w:val="bg-BG"/>
        </w:rPr>
      </w:pPr>
      <w:r w:rsidRPr="00945ED6">
        <w:rPr>
          <w:lang w:val="bg-BG"/>
        </w:rPr>
        <w:t>(5)</w:t>
      </w:r>
      <w:r w:rsidR="007605FF" w:rsidRPr="00945ED6">
        <w:rPr>
          <w:lang w:val="bg-BG"/>
        </w:rPr>
        <w:t xml:space="preserve"> </w:t>
      </w:r>
      <w:r w:rsidR="00390B8E">
        <w:rPr>
          <w:lang w:val="bg-BG"/>
        </w:rPr>
        <w:t xml:space="preserve">за възстановяването на фактическия суверенитет на </w:t>
      </w:r>
      <w:r w:rsidR="00013D7D">
        <w:rPr>
          <w:lang w:val="bg-BG"/>
        </w:rPr>
        <w:t>Република Латвия</w:t>
      </w:r>
      <w:r w:rsidR="00390B8E">
        <w:rPr>
          <w:lang w:val="bg-BG"/>
        </w:rPr>
        <w:t xml:space="preserve"> да се въведе преходен период, който ще приключи със свикването на </w:t>
      </w:r>
      <w:r w:rsidR="00A25B47">
        <w:rPr>
          <w:lang w:val="bg-BG"/>
        </w:rPr>
        <w:t>Парламента</w:t>
      </w:r>
      <w:r w:rsidR="00390B8E">
        <w:rPr>
          <w:lang w:val="bg-BG"/>
        </w:rPr>
        <w:t xml:space="preserve"> на </w:t>
      </w:r>
      <w:r w:rsidR="00013D7D">
        <w:rPr>
          <w:lang w:val="bg-BG"/>
        </w:rPr>
        <w:t>Република Латвия</w:t>
      </w:r>
      <w:r w:rsidR="00390B8E">
        <w:rPr>
          <w:lang w:val="bg-BG"/>
        </w:rPr>
        <w:t>. По време на преходния период</w:t>
      </w:r>
      <w:r w:rsidR="001D1F95">
        <w:rPr>
          <w:lang w:val="bg-BG"/>
        </w:rPr>
        <w:t xml:space="preserve"> върховната власт ще се упражнява от Върховния съвет на </w:t>
      </w:r>
      <w:r w:rsidR="00013D7D">
        <w:rPr>
          <w:lang w:val="bg-BG"/>
        </w:rPr>
        <w:t>Република Латвия</w:t>
      </w:r>
      <w:r w:rsidR="001D1F95">
        <w:rPr>
          <w:lang w:val="bg-BG"/>
        </w:rPr>
        <w:t>;</w:t>
      </w:r>
      <w:r w:rsidR="00390B8E">
        <w:rPr>
          <w:lang w:val="bg-BG"/>
        </w:rPr>
        <w:t xml:space="preserve"> </w:t>
      </w:r>
    </w:p>
    <w:p w:rsidR="005911E9" w:rsidRPr="00945ED6" w:rsidRDefault="007605FF" w:rsidP="005911E9">
      <w:pPr>
        <w:pStyle w:val="JuQuot"/>
        <w:rPr>
          <w:lang w:val="bg-BG"/>
        </w:rPr>
      </w:pPr>
      <w:r w:rsidRPr="00945ED6">
        <w:rPr>
          <w:lang w:val="bg-BG"/>
        </w:rPr>
        <w:t xml:space="preserve">(6) </w:t>
      </w:r>
      <w:r w:rsidR="000F0393">
        <w:rPr>
          <w:lang w:val="bg-BG"/>
        </w:rPr>
        <w:t xml:space="preserve">да приеме </w:t>
      </w:r>
      <w:r w:rsidR="00654887">
        <w:rPr>
          <w:lang w:val="bg-BG"/>
        </w:rPr>
        <w:t xml:space="preserve">по време на преходния </w:t>
      </w:r>
      <w:r w:rsidR="000F0393">
        <w:rPr>
          <w:lang w:val="bg-BG"/>
        </w:rPr>
        <w:t>период да се прилагат</w:t>
      </w:r>
      <w:r w:rsidR="00654887">
        <w:rPr>
          <w:lang w:val="bg-BG"/>
        </w:rPr>
        <w:t xml:space="preserve"> онези конституционни и други правни разпоредби на Латвийска ССР, които са в сила на територията на Латвийска ССР по време на приемането на настоящата Декларация, доколкото тези разпоредби не противоречат на чл</w:t>
      </w:r>
      <w:r w:rsidR="007673B6">
        <w:rPr>
          <w:lang w:val="bg-BG"/>
        </w:rPr>
        <w:t>енове</w:t>
      </w:r>
      <w:r w:rsidR="00654887">
        <w:rPr>
          <w:lang w:val="bg-BG"/>
        </w:rPr>
        <w:t xml:space="preserve"> 1, 2, 3 и 6 от Конституцията на </w:t>
      </w:r>
      <w:r w:rsidR="00013D7D">
        <w:rPr>
          <w:lang w:val="bg-BG"/>
        </w:rPr>
        <w:t>Република Латвия</w:t>
      </w:r>
      <w:r w:rsidR="00654887">
        <w:rPr>
          <w:lang w:val="bg-BG"/>
        </w:rPr>
        <w:t xml:space="preserve">. </w:t>
      </w:r>
    </w:p>
    <w:p w:rsidR="005911E9" w:rsidRPr="00945ED6" w:rsidRDefault="00654887" w:rsidP="005911E9">
      <w:pPr>
        <w:pStyle w:val="JuQuot"/>
        <w:rPr>
          <w:lang w:val="bg-BG"/>
        </w:rPr>
      </w:pPr>
      <w:r>
        <w:rPr>
          <w:lang w:val="bg-BG"/>
        </w:rPr>
        <w:lastRenderedPageBreak/>
        <w:t xml:space="preserve">Споровете по въпроси, касаещи приложението на законодателни текстове, ще се отнасят до Конституционния съд на </w:t>
      </w:r>
      <w:r w:rsidR="00013D7D">
        <w:rPr>
          <w:lang w:val="bg-BG"/>
        </w:rPr>
        <w:t>Република Латвия</w:t>
      </w:r>
      <w:r>
        <w:rPr>
          <w:lang w:val="bg-BG"/>
        </w:rPr>
        <w:t xml:space="preserve">. </w:t>
      </w:r>
    </w:p>
    <w:p w:rsidR="005911E9" w:rsidRPr="00945ED6" w:rsidRDefault="00654887" w:rsidP="005911E9">
      <w:pPr>
        <w:pStyle w:val="JuQuot"/>
        <w:rPr>
          <w:lang w:val="bg-BG"/>
        </w:rPr>
      </w:pPr>
      <w:r>
        <w:rPr>
          <w:lang w:val="bg-BG"/>
        </w:rPr>
        <w:t>По време на преходния период единствено Върховни</w:t>
      </w:r>
      <w:r w:rsidR="000F0393">
        <w:rPr>
          <w:lang w:val="bg-BG"/>
        </w:rPr>
        <w:t>ят съвет на Република Латвия</w:t>
      </w:r>
      <w:r>
        <w:rPr>
          <w:lang w:val="bg-BG"/>
        </w:rPr>
        <w:t xml:space="preserve"> </w:t>
      </w:r>
      <w:r w:rsidR="00080D36">
        <w:rPr>
          <w:lang w:val="bg-BG"/>
        </w:rPr>
        <w:t xml:space="preserve">ще приема ново законодателство или ще изменя съществуващото законодателство; </w:t>
      </w:r>
    </w:p>
    <w:p w:rsidR="005911E9" w:rsidRPr="00945ED6" w:rsidRDefault="007605FF" w:rsidP="005911E9">
      <w:pPr>
        <w:pStyle w:val="JuQuot"/>
        <w:rPr>
          <w:lang w:val="bg-BG"/>
        </w:rPr>
      </w:pPr>
      <w:r w:rsidRPr="00945ED6">
        <w:rPr>
          <w:lang w:val="bg-BG"/>
        </w:rPr>
        <w:t xml:space="preserve">(7) </w:t>
      </w:r>
      <w:r w:rsidR="00080D36">
        <w:rPr>
          <w:lang w:val="bg-BG"/>
        </w:rPr>
        <w:t xml:space="preserve">да създаде комисия, която ще изготви </w:t>
      </w:r>
      <w:r w:rsidR="00080D36" w:rsidRPr="00167AE8">
        <w:rPr>
          <w:lang w:val="bg-BG"/>
        </w:rPr>
        <w:t>проект за нов вариант</w:t>
      </w:r>
      <w:r w:rsidR="00080D36">
        <w:rPr>
          <w:lang w:val="bg-BG"/>
        </w:rPr>
        <w:t xml:space="preserve"> на Конституция на </w:t>
      </w:r>
      <w:r w:rsidR="00013D7D">
        <w:rPr>
          <w:lang w:val="bg-BG"/>
        </w:rPr>
        <w:t>Република Латвия</w:t>
      </w:r>
      <w:r w:rsidR="00080D36">
        <w:rPr>
          <w:lang w:val="bg-BG"/>
        </w:rPr>
        <w:t xml:space="preserve">, който да съответства на настоящото политическо, икономическо и обществено положение в Латвия; </w:t>
      </w:r>
    </w:p>
    <w:p w:rsidR="005911E9" w:rsidRPr="00945ED6" w:rsidRDefault="007605FF" w:rsidP="005911E9">
      <w:pPr>
        <w:pStyle w:val="JuQuot"/>
        <w:rPr>
          <w:lang w:val="bg-BG"/>
        </w:rPr>
      </w:pPr>
      <w:r w:rsidRPr="00945ED6">
        <w:rPr>
          <w:lang w:val="bg-BG"/>
        </w:rPr>
        <w:t xml:space="preserve">(8) </w:t>
      </w:r>
      <w:r w:rsidR="00013D7D">
        <w:rPr>
          <w:lang w:val="bg-BG"/>
        </w:rPr>
        <w:t>да гарантира социални, икономически и културни права, както и общопризнатите политически свободи, съвместими с международните инструменти за правата на човека, на гражданите на Република Латвия и на гражданите на други държави, които пребивават постоянно в Латвия. Това се отнася и за граждани на СССР, които желаят да живеят в Латвия, без да придобиват латвийско гражданство</w:t>
      </w:r>
      <w:r w:rsidR="005911E9" w:rsidRPr="00945ED6">
        <w:rPr>
          <w:lang w:val="bg-BG"/>
        </w:rPr>
        <w:t>;</w:t>
      </w:r>
    </w:p>
    <w:p w:rsidR="005911E9" w:rsidRPr="00945ED6" w:rsidRDefault="005911E9" w:rsidP="005911E9">
      <w:pPr>
        <w:pStyle w:val="JuQuot"/>
        <w:rPr>
          <w:lang w:val="bg-BG"/>
        </w:rPr>
      </w:pPr>
      <w:r w:rsidRPr="00945ED6">
        <w:rPr>
          <w:lang w:val="bg-BG"/>
        </w:rPr>
        <w:t>(</w:t>
      </w:r>
      <w:r w:rsidR="007605FF" w:rsidRPr="00945ED6">
        <w:rPr>
          <w:lang w:val="bg-BG"/>
        </w:rPr>
        <w:t xml:space="preserve">9) </w:t>
      </w:r>
      <w:r w:rsidR="007605FF">
        <w:rPr>
          <w:lang w:val="bg-BG"/>
        </w:rPr>
        <w:t>отношенията между Република Латвия и СССР да се основават върху Мирния договор от 11 август 1920 г. между Латвия и Русия, който продължава да бъде в сила и който признава независимостта на латвийската държава за всички времена</w:t>
      </w:r>
      <w:r w:rsidR="003A6E77">
        <w:rPr>
          <w:lang w:val="bg-BG"/>
        </w:rPr>
        <w:t>. Ще бъде създадена правителствена комисия за провеждане на преговорите със СССР.</w:t>
      </w:r>
      <w:r w:rsidR="000B061A">
        <w:rPr>
          <w:lang w:val="bg-BG"/>
        </w:rPr>
        <w:t>“</w:t>
      </w:r>
      <w:r w:rsidR="007605FF">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53</w:t>
      </w:r>
      <w:r w:rsidRPr="00E17978">
        <w:fldChar w:fldCharType="end"/>
      </w:r>
      <w:r w:rsidR="005911E9" w:rsidRPr="00945ED6">
        <w:rPr>
          <w:lang w:val="bg-BG"/>
        </w:rPr>
        <w:t>.</w:t>
      </w:r>
      <w:r w:rsidR="005911E9" w:rsidRPr="00BB4F95">
        <w:rPr>
          <w:lang w:val="en-GB"/>
        </w:rPr>
        <w:t>  </w:t>
      </w:r>
      <w:r w:rsidR="00E11AD0">
        <w:rPr>
          <w:lang w:val="bg-BG"/>
        </w:rPr>
        <w:t>Оперативните раз</w:t>
      </w:r>
      <w:r w:rsidR="00A21E75">
        <w:rPr>
          <w:lang w:val="bg-BG"/>
        </w:rPr>
        <w:t xml:space="preserve">поредби на </w:t>
      </w:r>
      <w:r w:rsidR="00A21E75" w:rsidRPr="000F0393">
        <w:rPr>
          <w:lang w:val="bg-BG"/>
        </w:rPr>
        <w:t>Конституционния закон</w:t>
      </w:r>
      <w:r w:rsidR="00AC25BD" w:rsidRPr="000F0393">
        <w:rPr>
          <w:lang w:val="bg-BG"/>
        </w:rPr>
        <w:t xml:space="preserve"> за </w:t>
      </w:r>
      <w:r w:rsidR="00E11AD0" w:rsidRPr="000F0393">
        <w:rPr>
          <w:lang w:val="bg-BG"/>
        </w:rPr>
        <w:t>държавния статут на Република Латвия</w:t>
      </w:r>
      <w:r w:rsidR="00E11AD0">
        <w:rPr>
          <w:lang w:val="bg-BG"/>
        </w:rPr>
        <w:t xml:space="preserve"> </w:t>
      </w:r>
      <w:r w:rsidR="00E11AD0" w:rsidRPr="00945ED6">
        <w:rPr>
          <w:lang w:val="bg-BG"/>
        </w:rPr>
        <w:t>(</w:t>
      </w:r>
      <w:r w:rsidR="00E11AD0" w:rsidRPr="00BB4F95">
        <w:rPr>
          <w:i/>
          <w:iCs/>
          <w:lang w:val="en-GB"/>
        </w:rPr>
        <w:t>Konstitucion</w:t>
      </w:r>
      <w:r w:rsidR="00E11AD0" w:rsidRPr="00945ED6">
        <w:rPr>
          <w:i/>
          <w:iCs/>
          <w:lang w:val="bg-BG"/>
        </w:rPr>
        <w:t>ā</w:t>
      </w:r>
      <w:r w:rsidR="00E11AD0" w:rsidRPr="00BB4F95">
        <w:rPr>
          <w:i/>
          <w:iCs/>
          <w:lang w:val="en-GB"/>
        </w:rPr>
        <w:t>lais</w:t>
      </w:r>
      <w:r w:rsidR="00E11AD0" w:rsidRPr="00945ED6">
        <w:rPr>
          <w:i/>
          <w:iCs/>
          <w:lang w:val="bg-BG"/>
        </w:rPr>
        <w:t xml:space="preserve"> </w:t>
      </w:r>
      <w:r w:rsidR="00E11AD0" w:rsidRPr="00BB4F95">
        <w:rPr>
          <w:i/>
          <w:iCs/>
          <w:lang w:val="en-GB"/>
        </w:rPr>
        <w:t>likums</w:t>
      </w:r>
      <w:r w:rsidR="00E11AD0" w:rsidRPr="00945ED6">
        <w:rPr>
          <w:i/>
          <w:iCs/>
          <w:lang w:val="bg-BG"/>
        </w:rPr>
        <w:t xml:space="preserve"> </w:t>
      </w:r>
      <w:r w:rsidR="00F67CDC" w:rsidRPr="00945ED6">
        <w:rPr>
          <w:i/>
          <w:lang w:val="bg-BG"/>
        </w:rPr>
        <w:t>“</w:t>
      </w:r>
      <w:r w:rsidR="00E11AD0" w:rsidRPr="00BB4F95">
        <w:rPr>
          <w:i/>
          <w:iCs/>
          <w:lang w:val="en-GB"/>
        </w:rPr>
        <w:t>Par</w:t>
      </w:r>
      <w:r w:rsidR="00E11AD0" w:rsidRPr="00945ED6">
        <w:rPr>
          <w:i/>
          <w:iCs/>
          <w:lang w:val="bg-BG"/>
        </w:rPr>
        <w:t xml:space="preserve"> </w:t>
      </w:r>
      <w:r w:rsidR="00E11AD0" w:rsidRPr="00BB4F95">
        <w:rPr>
          <w:i/>
          <w:iCs/>
          <w:lang w:val="en-GB"/>
        </w:rPr>
        <w:t>Latvijas</w:t>
      </w:r>
      <w:r w:rsidR="00E11AD0" w:rsidRPr="00945ED6">
        <w:rPr>
          <w:i/>
          <w:iCs/>
          <w:lang w:val="bg-BG"/>
        </w:rPr>
        <w:t xml:space="preserve"> </w:t>
      </w:r>
      <w:r w:rsidR="00E11AD0" w:rsidRPr="00BB4F95">
        <w:rPr>
          <w:i/>
          <w:iCs/>
          <w:lang w:val="en-GB"/>
        </w:rPr>
        <w:t>Republikas</w:t>
      </w:r>
      <w:r w:rsidR="00E11AD0" w:rsidRPr="00945ED6">
        <w:rPr>
          <w:i/>
          <w:iCs/>
          <w:lang w:val="bg-BG"/>
        </w:rPr>
        <w:t xml:space="preserve"> </w:t>
      </w:r>
      <w:r w:rsidR="00E11AD0" w:rsidRPr="00BB4F95">
        <w:rPr>
          <w:i/>
          <w:iCs/>
          <w:lang w:val="en-GB"/>
        </w:rPr>
        <w:t>valstisko</w:t>
      </w:r>
      <w:r w:rsidR="00E11AD0" w:rsidRPr="00945ED6">
        <w:rPr>
          <w:i/>
          <w:iCs/>
          <w:lang w:val="bg-BG"/>
        </w:rPr>
        <w:t xml:space="preserve"> </w:t>
      </w:r>
      <w:r w:rsidR="00E11AD0" w:rsidRPr="00BB4F95">
        <w:rPr>
          <w:i/>
          <w:iCs/>
          <w:lang w:val="en-GB"/>
        </w:rPr>
        <w:t>statusu</w:t>
      </w:r>
      <w:r w:rsidR="00F67CDC" w:rsidRPr="00945ED6">
        <w:rPr>
          <w:i/>
          <w:lang w:val="bg-BG"/>
        </w:rPr>
        <w:t>”</w:t>
      </w:r>
      <w:r w:rsidR="00E11AD0" w:rsidRPr="00945ED6">
        <w:rPr>
          <w:lang w:val="bg-BG"/>
        </w:rPr>
        <w:t>)</w:t>
      </w:r>
      <w:r w:rsidR="00E11AD0">
        <w:rPr>
          <w:lang w:val="bg-BG"/>
        </w:rPr>
        <w:t xml:space="preserve"> от 21 август 1991 г. гласят след</w:t>
      </w:r>
      <w:r w:rsidR="00F90FCC">
        <w:rPr>
          <w:lang w:val="bg-BG"/>
        </w:rPr>
        <w:t>ното</w:t>
      </w:r>
      <w:r w:rsidR="00E11AD0">
        <w:rPr>
          <w:lang w:val="bg-BG"/>
        </w:rPr>
        <w:t xml:space="preserve">: </w:t>
      </w:r>
    </w:p>
    <w:p w:rsidR="005911E9" w:rsidRPr="00945ED6" w:rsidRDefault="00F90FCC" w:rsidP="005911E9">
      <w:pPr>
        <w:pStyle w:val="JuQuot"/>
        <w:rPr>
          <w:lang w:val="bg-BG"/>
        </w:rPr>
      </w:pPr>
      <w:r>
        <w:rPr>
          <w:lang w:val="bg-BG"/>
        </w:rPr>
        <w:t>„</w:t>
      </w:r>
      <w:r w:rsidR="00E11AD0">
        <w:rPr>
          <w:lang w:val="bg-BG"/>
        </w:rPr>
        <w:t xml:space="preserve">Върховният съвет на Република Латвия </w:t>
      </w:r>
      <w:r w:rsidR="00E11AD0" w:rsidRPr="00E11AD0">
        <w:rPr>
          <w:i/>
          <w:lang w:val="bg-BG"/>
        </w:rPr>
        <w:t>решава</w:t>
      </w:r>
      <w:r w:rsidR="00E11AD0">
        <w:rPr>
          <w:lang w:val="bg-BG"/>
        </w:rPr>
        <w:t xml:space="preserve">: </w:t>
      </w:r>
    </w:p>
    <w:p w:rsidR="005911E9" w:rsidRPr="00167AE8" w:rsidRDefault="000E0CBF" w:rsidP="005911E9">
      <w:pPr>
        <w:pStyle w:val="JuQuot"/>
        <w:rPr>
          <w:lang w:val="bg-BG"/>
        </w:rPr>
      </w:pPr>
      <w:r w:rsidRPr="00945ED6">
        <w:rPr>
          <w:lang w:val="bg-BG"/>
        </w:rPr>
        <w:t xml:space="preserve">(1) </w:t>
      </w:r>
      <w:r w:rsidR="00E11AD0">
        <w:rPr>
          <w:lang w:val="bg-BG"/>
        </w:rPr>
        <w:t xml:space="preserve">да обяви Латвия за независима и демократична република, чиято суверенна </w:t>
      </w:r>
      <w:r w:rsidR="00E11AD0" w:rsidRPr="00167AE8">
        <w:rPr>
          <w:lang w:val="bg-BG"/>
        </w:rPr>
        <w:t>вл</w:t>
      </w:r>
      <w:r w:rsidR="00F720DF" w:rsidRPr="00167AE8">
        <w:rPr>
          <w:lang w:val="bg-BG"/>
        </w:rPr>
        <w:t xml:space="preserve">аст принадлежи на </w:t>
      </w:r>
      <w:r w:rsidR="00E11AD0" w:rsidRPr="00167AE8">
        <w:rPr>
          <w:lang w:val="bg-BG"/>
        </w:rPr>
        <w:t>латвийския народ и</w:t>
      </w:r>
      <w:r w:rsidR="000F0393" w:rsidRPr="00167AE8">
        <w:rPr>
          <w:lang w:val="bg-BG"/>
        </w:rPr>
        <w:t xml:space="preserve"> чийто държавен статут</w:t>
      </w:r>
      <w:r w:rsidR="00F720DF" w:rsidRPr="00167AE8">
        <w:rPr>
          <w:lang w:val="bg-BG"/>
        </w:rPr>
        <w:t xml:space="preserve"> се определя</w:t>
      </w:r>
      <w:r w:rsidRPr="00167AE8">
        <w:rPr>
          <w:lang w:val="bg-BG"/>
        </w:rPr>
        <w:t xml:space="preserve"> от Конституцията от 15 февруари 1922 г</w:t>
      </w:r>
      <w:r w:rsidR="00F720DF" w:rsidRPr="00167AE8">
        <w:rPr>
          <w:lang w:val="bg-BG"/>
        </w:rPr>
        <w:t>;</w:t>
      </w:r>
    </w:p>
    <w:p w:rsidR="005911E9" w:rsidRPr="00167AE8" w:rsidRDefault="000E0CBF" w:rsidP="005911E9">
      <w:pPr>
        <w:pStyle w:val="JuQuot"/>
        <w:rPr>
          <w:lang w:val="bg-BG"/>
        </w:rPr>
      </w:pPr>
      <w:r w:rsidRPr="00167AE8">
        <w:rPr>
          <w:lang w:val="bg-BG"/>
        </w:rPr>
        <w:t xml:space="preserve">(2) да отмени </w:t>
      </w:r>
      <w:r w:rsidR="00527BC4" w:rsidRPr="00167AE8">
        <w:rPr>
          <w:lang w:val="bg-BG"/>
        </w:rPr>
        <w:t>точка 5</w:t>
      </w:r>
      <w:r w:rsidRPr="00167AE8">
        <w:rPr>
          <w:lang w:val="bg-BG"/>
        </w:rPr>
        <w:t xml:space="preserve"> от Декларацията за възстановяването на независимостта на Републ</w:t>
      </w:r>
      <w:r w:rsidR="00F720DF" w:rsidRPr="00167AE8">
        <w:rPr>
          <w:lang w:val="bg-BG"/>
        </w:rPr>
        <w:t>ика Латвия от 4 май 1990 г., коя</w:t>
      </w:r>
      <w:r w:rsidRPr="00167AE8">
        <w:rPr>
          <w:lang w:val="bg-BG"/>
        </w:rPr>
        <w:t xml:space="preserve">то въвежда преходен период за фактическото възстановяване на държавния суверенитет на Република Латвия; </w:t>
      </w:r>
    </w:p>
    <w:p w:rsidR="005911E9" w:rsidRPr="00945ED6" w:rsidRDefault="000E0CBF" w:rsidP="005911E9">
      <w:pPr>
        <w:pStyle w:val="JuQuot"/>
        <w:rPr>
          <w:lang w:val="bg-BG"/>
        </w:rPr>
      </w:pPr>
      <w:r w:rsidRPr="00167AE8">
        <w:rPr>
          <w:lang w:val="bg-BG"/>
        </w:rPr>
        <w:t>(3) до момента на приключване на окупацията и анексирането и докато се състави</w:t>
      </w:r>
      <w:r w:rsidR="00A21E75" w:rsidRPr="00167AE8">
        <w:rPr>
          <w:lang w:val="bg-BG"/>
        </w:rPr>
        <w:t xml:space="preserve"> парламент</w:t>
      </w:r>
      <w:r w:rsidRPr="00167AE8">
        <w:rPr>
          <w:lang w:val="bg-BG"/>
        </w:rPr>
        <w:t>, върховната държа</w:t>
      </w:r>
      <w:r w:rsidR="00F720DF" w:rsidRPr="00167AE8">
        <w:rPr>
          <w:lang w:val="bg-BG"/>
        </w:rPr>
        <w:t>вна власт на Република Латвия да</w:t>
      </w:r>
      <w:r w:rsidRPr="00167AE8">
        <w:rPr>
          <w:lang w:val="bg-BG"/>
        </w:rPr>
        <w:t xml:space="preserve"> се упражнява изцяло от Върхов</w:t>
      </w:r>
      <w:r w:rsidR="000E293E" w:rsidRPr="00167AE8">
        <w:rPr>
          <w:lang w:val="bg-BG"/>
        </w:rPr>
        <w:t>ния съвет на Република Латвия. На територия</w:t>
      </w:r>
      <w:r w:rsidR="00F720DF" w:rsidRPr="00167AE8">
        <w:rPr>
          <w:lang w:val="bg-BG"/>
        </w:rPr>
        <w:t>та на страната да</w:t>
      </w:r>
      <w:r w:rsidR="00975B03" w:rsidRPr="00167AE8">
        <w:rPr>
          <w:lang w:val="bg-BG"/>
        </w:rPr>
        <w:t xml:space="preserve"> бъдат</w:t>
      </w:r>
      <w:r w:rsidR="00975B03">
        <w:rPr>
          <w:lang w:val="bg-BG"/>
        </w:rPr>
        <w:t xml:space="preserve"> в сила само</w:t>
      </w:r>
      <w:r>
        <w:rPr>
          <w:lang w:val="bg-BG"/>
        </w:rPr>
        <w:t xml:space="preserve"> онези закони и наредби, </w:t>
      </w:r>
      <w:r w:rsidR="00975B03">
        <w:rPr>
          <w:lang w:val="bg-BG"/>
        </w:rPr>
        <w:t xml:space="preserve">които са </w:t>
      </w:r>
      <w:r>
        <w:rPr>
          <w:lang w:val="bg-BG"/>
        </w:rPr>
        <w:t xml:space="preserve">приети от </w:t>
      </w:r>
      <w:r w:rsidR="000E293E">
        <w:rPr>
          <w:lang w:val="bg-BG"/>
        </w:rPr>
        <w:t xml:space="preserve">върховните управляващи и административни органи на Република Латвия; </w:t>
      </w:r>
    </w:p>
    <w:p w:rsidR="005911E9" w:rsidRPr="00945ED6" w:rsidRDefault="005911E9" w:rsidP="005911E9">
      <w:pPr>
        <w:pStyle w:val="JuQuot"/>
        <w:rPr>
          <w:lang w:val="bg-BG"/>
        </w:rPr>
      </w:pPr>
      <w:r w:rsidRPr="00945ED6">
        <w:rPr>
          <w:lang w:val="bg-BG"/>
        </w:rPr>
        <w:t>(4)</w:t>
      </w:r>
      <w:r w:rsidRPr="00E17978">
        <w:t>  </w:t>
      </w:r>
      <w:r w:rsidR="00A21E75">
        <w:rPr>
          <w:lang w:val="bg-BG"/>
        </w:rPr>
        <w:t>този конституционен закон ще влезе в сила от деня на приемането му.</w:t>
      </w:r>
      <w:r w:rsidR="000B061A">
        <w:rPr>
          <w:lang w:val="bg-BG"/>
        </w:rPr>
        <w:t>“</w:t>
      </w:r>
    </w:p>
    <w:p w:rsidR="005911E9" w:rsidRPr="00945ED6" w:rsidRDefault="007445D0" w:rsidP="005911E9">
      <w:pPr>
        <w:pStyle w:val="JuHA"/>
        <w:rPr>
          <w:lang w:val="bg-BG"/>
        </w:rPr>
      </w:pPr>
      <w:r>
        <w:rPr>
          <w:lang w:val="bg-BG"/>
        </w:rPr>
        <w:t>Б</w:t>
      </w:r>
      <w:r w:rsidR="005911E9" w:rsidRPr="00945ED6">
        <w:rPr>
          <w:lang w:val="bg-BG"/>
        </w:rPr>
        <w:t>.</w:t>
      </w:r>
      <w:r w:rsidR="005911E9" w:rsidRPr="00E17978">
        <w:t>  </w:t>
      </w:r>
      <w:r w:rsidR="00A21E75">
        <w:rPr>
          <w:lang w:val="bg-BG"/>
        </w:rPr>
        <w:t xml:space="preserve">Статутът на КПСС и ЛКП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54</w:t>
      </w:r>
      <w:r w:rsidRPr="00E17978">
        <w:fldChar w:fldCharType="end"/>
      </w:r>
      <w:r w:rsidR="005911E9" w:rsidRPr="00945ED6">
        <w:rPr>
          <w:lang w:val="bg-BG"/>
        </w:rPr>
        <w:t>.</w:t>
      </w:r>
      <w:r w:rsidR="005911E9" w:rsidRPr="00BB4F95">
        <w:rPr>
          <w:lang w:val="en-GB"/>
        </w:rPr>
        <w:t>  </w:t>
      </w:r>
      <w:r w:rsidR="00A21E75">
        <w:rPr>
          <w:lang w:val="bg-BG"/>
        </w:rPr>
        <w:t>Ролята на КПСС в бившия СССР е определена от чл</w:t>
      </w:r>
      <w:r w:rsidR="000B061A">
        <w:rPr>
          <w:lang w:val="bg-BG"/>
        </w:rPr>
        <w:t>ен</w:t>
      </w:r>
      <w:r w:rsidR="00A21E75">
        <w:rPr>
          <w:lang w:val="bg-BG"/>
        </w:rPr>
        <w:t xml:space="preserve"> 6 от Конституцията на СССР (1977 г.) </w:t>
      </w:r>
      <w:r w:rsidR="007938E9">
        <w:rPr>
          <w:lang w:val="bg-BG"/>
        </w:rPr>
        <w:t>и чл</w:t>
      </w:r>
      <w:r w:rsidR="000B061A">
        <w:rPr>
          <w:lang w:val="bg-BG"/>
        </w:rPr>
        <w:t>ен</w:t>
      </w:r>
      <w:r w:rsidR="007938E9">
        <w:rPr>
          <w:lang w:val="bg-BG"/>
        </w:rPr>
        <w:t xml:space="preserve"> 6 от Конституцията на Латвийска ССР (1978 г.), които са формулирани по идентичен начин. Въпросните разпоредби гласят: </w:t>
      </w:r>
    </w:p>
    <w:p w:rsidR="005911E9" w:rsidRPr="00945ED6" w:rsidRDefault="000B061A" w:rsidP="005911E9">
      <w:pPr>
        <w:pStyle w:val="JuQuot"/>
        <w:rPr>
          <w:lang w:val="bg-BG"/>
        </w:rPr>
      </w:pPr>
      <w:r>
        <w:rPr>
          <w:lang w:val="bg-BG"/>
        </w:rPr>
        <w:t>„</w:t>
      </w:r>
      <w:r w:rsidR="007938E9">
        <w:rPr>
          <w:lang w:val="bg-BG"/>
        </w:rPr>
        <w:t>Главната и ръководеща сила в съветското общество, ядрото на неговата политическа система и на всички държавни и обществени организации</w:t>
      </w:r>
      <w:r w:rsidR="000F0393">
        <w:rPr>
          <w:lang w:val="bg-BG"/>
        </w:rPr>
        <w:t>,</w:t>
      </w:r>
      <w:r w:rsidR="007938E9">
        <w:rPr>
          <w:lang w:val="bg-BG"/>
        </w:rPr>
        <w:t xml:space="preserve"> е </w:t>
      </w:r>
      <w:r w:rsidR="007938E9">
        <w:rPr>
          <w:lang w:val="bg-BG"/>
        </w:rPr>
        <w:lastRenderedPageBreak/>
        <w:t>Комунист</w:t>
      </w:r>
      <w:r w:rsidR="00827A92">
        <w:rPr>
          <w:lang w:val="bg-BG"/>
        </w:rPr>
        <w:t>и</w:t>
      </w:r>
      <w:r w:rsidR="007938E9">
        <w:rPr>
          <w:lang w:val="bg-BG"/>
        </w:rPr>
        <w:t xml:space="preserve">ческата партия на Съветския съюз. КПСС съществува за народа и служи на народа. </w:t>
      </w:r>
    </w:p>
    <w:p w:rsidR="005911E9" w:rsidRPr="00945ED6" w:rsidRDefault="007938E9" w:rsidP="005911E9">
      <w:pPr>
        <w:pStyle w:val="JuQuot"/>
        <w:rPr>
          <w:lang w:val="bg-BG"/>
        </w:rPr>
      </w:pPr>
      <w:r>
        <w:rPr>
          <w:lang w:val="bg-BG"/>
        </w:rPr>
        <w:t xml:space="preserve">Комунистическата партия, </w:t>
      </w:r>
      <w:r w:rsidR="00306A30">
        <w:rPr>
          <w:lang w:val="bg-BG"/>
        </w:rPr>
        <w:t xml:space="preserve">въоръжена с </w:t>
      </w:r>
      <w:r w:rsidR="007445D0">
        <w:rPr>
          <w:lang w:val="bg-BG"/>
        </w:rPr>
        <w:t xml:space="preserve">принципите на </w:t>
      </w:r>
      <w:r w:rsidR="00306A30" w:rsidRPr="007445D0">
        <w:rPr>
          <w:lang w:val="bg-BG"/>
        </w:rPr>
        <w:t>марксизма-ленинизма,</w:t>
      </w:r>
      <w:r w:rsidR="00306A30">
        <w:rPr>
          <w:lang w:val="bg-BG"/>
        </w:rPr>
        <w:t xml:space="preserve"> определя общите перспективи в развитието на обществото и курса на вътрешната и външната политика на СССР, ръководи великото дело на съветския народ и придава планиран, последователен и теоретично обоснован характер на неговата борба за победа на комунизма</w:t>
      </w:r>
      <w:r w:rsidR="005911E9" w:rsidRPr="00945ED6">
        <w:rPr>
          <w:lang w:val="bg-BG"/>
        </w:rPr>
        <w:t>.</w:t>
      </w:r>
    </w:p>
    <w:p w:rsidR="005911E9" w:rsidRPr="00945ED6" w:rsidRDefault="00306A30" w:rsidP="005911E9">
      <w:pPr>
        <w:pStyle w:val="JuQuot"/>
        <w:rPr>
          <w:lang w:val="bg-BG"/>
        </w:rPr>
      </w:pPr>
      <w:r>
        <w:rPr>
          <w:lang w:val="bg-BG"/>
        </w:rPr>
        <w:t>Всички партийни организации действат в рамките на Конституцията на СССР.</w:t>
      </w:r>
      <w:r w:rsidR="000B061A">
        <w:rPr>
          <w:lang w:val="bg-BG"/>
        </w:rPr>
        <w:t>“</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55</w:t>
      </w:r>
      <w:r w:rsidRPr="00E17978">
        <w:fldChar w:fldCharType="end"/>
      </w:r>
      <w:r w:rsidR="00306A30" w:rsidRPr="00945ED6">
        <w:rPr>
          <w:lang w:val="bg-BG"/>
        </w:rPr>
        <w:t xml:space="preserve">. </w:t>
      </w:r>
      <w:r w:rsidR="00306A30">
        <w:rPr>
          <w:lang w:val="bg-BG"/>
        </w:rPr>
        <w:t xml:space="preserve">Решението на Върховния съвет от 24 август 1991 г. за прекратяване на дейността на определени неправителствени и политически организации е формулирано по следния начин: </w:t>
      </w:r>
    </w:p>
    <w:p w:rsidR="005911E9" w:rsidRPr="00945ED6" w:rsidRDefault="00A73CFA" w:rsidP="005911E9">
      <w:pPr>
        <w:pStyle w:val="JuQuot"/>
        <w:rPr>
          <w:lang w:val="bg-BG"/>
        </w:rPr>
      </w:pPr>
      <w:r>
        <w:rPr>
          <w:lang w:val="bg-BG"/>
        </w:rPr>
        <w:t>„</w:t>
      </w:r>
      <w:r w:rsidR="00C952F1">
        <w:rPr>
          <w:lang w:val="bg-BG"/>
        </w:rPr>
        <w:t>На 20 август 1991 г. Международният фронт на работниците в Латвийска ССР, Обединеният съвет на трудовите колективи, Републиканският съвет на военните ветерани и ветераните на труда, Централн</w:t>
      </w:r>
      <w:r w:rsidR="004D139B">
        <w:rPr>
          <w:lang w:val="bg-BG"/>
        </w:rPr>
        <w:t>ият комитет на Латвийската комунистическа партия и Централният комитет на Съюза на комунистическата младеж на Латвия разпространяват обръщение</w:t>
      </w:r>
      <w:r w:rsidR="000F236A" w:rsidRPr="00945ED6">
        <w:rPr>
          <w:lang w:val="bg-BG"/>
        </w:rPr>
        <w:t xml:space="preserve"> към народа, с което уведомяват </w:t>
      </w:r>
      <w:r w:rsidR="000F236A">
        <w:rPr>
          <w:lang w:val="bg-BG"/>
        </w:rPr>
        <w:t>населени</w:t>
      </w:r>
      <w:r w:rsidR="00F32118">
        <w:rPr>
          <w:lang w:val="bg-BG"/>
        </w:rPr>
        <w:t>ето на републиката за обявяването на</w:t>
      </w:r>
      <w:r w:rsidR="000F236A">
        <w:rPr>
          <w:lang w:val="bg-BG"/>
        </w:rPr>
        <w:t xml:space="preserve"> извънредно положение в Л</w:t>
      </w:r>
      <w:r w:rsidR="00882A34">
        <w:rPr>
          <w:lang w:val="bg-BG"/>
        </w:rPr>
        <w:t>атвия и насърчават всички физически</w:t>
      </w:r>
      <w:r w:rsidR="000F236A">
        <w:rPr>
          <w:lang w:val="bg-BG"/>
        </w:rPr>
        <w:t xml:space="preserve"> лица да се противопоставят на онези, които не се подчиняват на заповедите на Държавния комитет за извънредно положение. По този начин гореспоменатите организации ... декларират подкрепата си към организаторите на преврата и насърчават други лица да оказват такава подкрепа. </w:t>
      </w:r>
    </w:p>
    <w:p w:rsidR="005911E9" w:rsidRPr="00945ED6" w:rsidRDefault="000F236A" w:rsidP="005911E9">
      <w:pPr>
        <w:pStyle w:val="JuQuot"/>
        <w:rPr>
          <w:lang w:val="bg-BG"/>
        </w:rPr>
      </w:pPr>
      <w:r>
        <w:rPr>
          <w:lang w:val="bg-BG"/>
        </w:rPr>
        <w:t>Действията на тези организации са в противоречие с чл</w:t>
      </w:r>
      <w:r w:rsidR="00A73CFA">
        <w:rPr>
          <w:lang w:val="bg-BG"/>
        </w:rPr>
        <w:t>енове</w:t>
      </w:r>
      <w:r>
        <w:rPr>
          <w:lang w:val="bg-BG"/>
        </w:rPr>
        <w:t xml:space="preserve"> 4, 6 и 49 от Конституция</w:t>
      </w:r>
      <w:r w:rsidR="00F32118">
        <w:rPr>
          <w:lang w:val="bg-BG"/>
        </w:rPr>
        <w:t>та на Латвия, в ко</w:t>
      </w:r>
      <w:r w:rsidR="00A73CFA">
        <w:rPr>
          <w:lang w:val="bg-BG"/>
        </w:rPr>
        <w:t>и</w:t>
      </w:r>
      <w:r w:rsidR="00F32118">
        <w:rPr>
          <w:lang w:val="bg-BG"/>
        </w:rPr>
        <w:t>то е уточнено</w:t>
      </w:r>
      <w:r>
        <w:rPr>
          <w:lang w:val="bg-BG"/>
        </w:rPr>
        <w:t xml:space="preserve">, че латвийските граждани </w:t>
      </w:r>
      <w:r w:rsidR="000D7843">
        <w:rPr>
          <w:lang w:val="bg-BG"/>
        </w:rPr>
        <w:t xml:space="preserve">имат право да </w:t>
      </w:r>
      <w:r w:rsidR="00A73CFA">
        <w:rPr>
          <w:lang w:val="bg-BG"/>
        </w:rPr>
        <w:t xml:space="preserve">учредяват </w:t>
      </w:r>
      <w:r w:rsidR="000D7843">
        <w:rPr>
          <w:lang w:val="bg-BG"/>
        </w:rPr>
        <w:t>партии и други сдружения</w:t>
      </w:r>
      <w:r w:rsidR="007445D0">
        <w:rPr>
          <w:lang w:val="bg-BG"/>
        </w:rPr>
        <w:t>,</w:t>
      </w:r>
      <w:r w:rsidR="000D7843">
        <w:rPr>
          <w:lang w:val="bg-BG"/>
        </w:rPr>
        <w:t xml:space="preserve"> само ако техните цели и </w:t>
      </w:r>
      <w:r w:rsidR="006816B8">
        <w:rPr>
          <w:lang w:val="bg-BG"/>
        </w:rPr>
        <w:t>практически дейности</w:t>
      </w:r>
      <w:r w:rsidR="000D7843">
        <w:rPr>
          <w:lang w:val="bg-BG"/>
        </w:rPr>
        <w:t xml:space="preserve"> не са насочени към насилствена промяна или премахване на съществуващия конституционен ред ... и тези сдружения са длъжни да спазват Конституцията и законодателството и да осъществяв</w:t>
      </w:r>
      <w:r w:rsidR="00652202">
        <w:rPr>
          <w:lang w:val="bg-BG"/>
        </w:rPr>
        <w:t>ат дейността си съгласно</w:t>
      </w:r>
      <w:r w:rsidR="000D7843">
        <w:rPr>
          <w:lang w:val="bg-BG"/>
        </w:rPr>
        <w:t xml:space="preserve"> техните разпоредби.</w:t>
      </w:r>
      <w:r w:rsidR="00A73CFA">
        <w:rPr>
          <w:lang w:val="bg-BG"/>
        </w:rPr>
        <w:t>“</w:t>
      </w:r>
      <w:r>
        <w:rPr>
          <w:lang w:val="bg-BG"/>
        </w:rPr>
        <w:t xml:space="preserve"> </w:t>
      </w:r>
    </w:p>
    <w:p w:rsidR="005911E9" w:rsidRPr="00945ED6" w:rsidRDefault="000D7843" w:rsidP="005911E9">
      <w:pPr>
        <w:pStyle w:val="JuQuot"/>
        <w:rPr>
          <w:lang w:val="bg-BG"/>
        </w:rPr>
      </w:pPr>
      <w:r>
        <w:rPr>
          <w:lang w:val="bg-BG"/>
        </w:rPr>
        <w:t xml:space="preserve">Върховният съвет на Република Латвия постановява: </w:t>
      </w:r>
    </w:p>
    <w:p w:rsidR="005911E9" w:rsidRPr="00945ED6" w:rsidRDefault="006063C0" w:rsidP="005911E9">
      <w:pPr>
        <w:pStyle w:val="JuQuot"/>
        <w:rPr>
          <w:lang w:val="bg-BG"/>
        </w:rPr>
      </w:pPr>
      <w:r w:rsidRPr="00945ED6">
        <w:rPr>
          <w:lang w:val="bg-BG"/>
        </w:rPr>
        <w:t>1.</w:t>
      </w:r>
      <w:r>
        <w:t>  </w:t>
      </w:r>
      <w:r w:rsidR="00684BD8">
        <w:rPr>
          <w:lang w:val="bg-BG"/>
        </w:rPr>
        <w:t>С настоящото</w:t>
      </w:r>
      <w:r w:rsidR="000D7843">
        <w:rPr>
          <w:lang w:val="bg-BG"/>
        </w:rPr>
        <w:t xml:space="preserve"> </w:t>
      </w:r>
      <w:r w:rsidR="00684BD8">
        <w:rPr>
          <w:lang w:val="bg-BG"/>
        </w:rPr>
        <w:t xml:space="preserve">преустановява </w:t>
      </w:r>
      <w:r w:rsidR="000D7843">
        <w:rPr>
          <w:lang w:val="bg-BG"/>
        </w:rPr>
        <w:t xml:space="preserve">дейността на Латвийската комунистическа партия </w:t>
      </w:r>
      <w:r w:rsidR="000D7843" w:rsidRPr="00945ED6">
        <w:rPr>
          <w:lang w:val="bg-BG"/>
        </w:rPr>
        <w:t>[</w:t>
      </w:r>
      <w:r w:rsidR="000D7843">
        <w:rPr>
          <w:lang w:val="bg-BG"/>
        </w:rPr>
        <w:t xml:space="preserve">и на останалите гореспоменати </w:t>
      </w:r>
      <w:r w:rsidR="00963205">
        <w:rPr>
          <w:lang w:val="bg-BG"/>
        </w:rPr>
        <w:t>организации</w:t>
      </w:r>
      <w:r w:rsidR="00963205" w:rsidRPr="00945ED6">
        <w:rPr>
          <w:lang w:val="bg-BG"/>
        </w:rPr>
        <w:t>]</w:t>
      </w:r>
      <w:r w:rsidR="00963205">
        <w:rPr>
          <w:lang w:val="bg-BG"/>
        </w:rPr>
        <w:t xml:space="preserve"> ...</w:t>
      </w:r>
      <w:r w:rsidR="00684BD8">
        <w:rPr>
          <w:lang w:val="bg-BG"/>
        </w:rPr>
        <w:t>“</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56</w:t>
      </w:r>
      <w:r w:rsidRPr="00E17978">
        <w:fldChar w:fldCharType="end"/>
      </w:r>
      <w:r w:rsidR="005911E9" w:rsidRPr="00945ED6">
        <w:rPr>
          <w:lang w:val="bg-BG"/>
        </w:rPr>
        <w:t>.</w:t>
      </w:r>
      <w:r w:rsidR="005911E9" w:rsidRPr="00BB4F95">
        <w:rPr>
          <w:lang w:val="en-GB"/>
        </w:rPr>
        <w:t>  </w:t>
      </w:r>
      <w:r w:rsidR="00FA220F">
        <w:rPr>
          <w:lang w:val="bg-BG"/>
        </w:rPr>
        <w:t>Приложимите части</w:t>
      </w:r>
      <w:r w:rsidR="00963205">
        <w:rPr>
          <w:lang w:val="bg-BG"/>
        </w:rPr>
        <w:t xml:space="preserve"> от решението на Върховния съвет от 10 септември 1991 г., касаещи разпускането на гореспоменатите организации, гласят </w:t>
      </w:r>
      <w:r w:rsidR="00684BD8">
        <w:rPr>
          <w:lang w:val="bg-BG"/>
        </w:rPr>
        <w:t>следното</w:t>
      </w:r>
      <w:r w:rsidR="00963205">
        <w:rPr>
          <w:lang w:val="bg-BG"/>
        </w:rPr>
        <w:t xml:space="preserve">: </w:t>
      </w:r>
    </w:p>
    <w:p w:rsidR="005911E9" w:rsidRPr="00945ED6" w:rsidRDefault="00684BD8" w:rsidP="005911E9">
      <w:pPr>
        <w:pStyle w:val="JuQuot"/>
        <w:rPr>
          <w:lang w:val="bg-BG"/>
        </w:rPr>
      </w:pPr>
      <w:r>
        <w:rPr>
          <w:lang w:val="bg-BG"/>
        </w:rPr>
        <w:t>„</w:t>
      </w:r>
      <w:r w:rsidR="005911E9" w:rsidRPr="00945ED6">
        <w:rPr>
          <w:lang w:val="bg-BG"/>
        </w:rPr>
        <w:t xml:space="preserve">... </w:t>
      </w:r>
      <w:r w:rsidR="00963205">
        <w:rPr>
          <w:lang w:val="bg-BG"/>
        </w:rPr>
        <w:t xml:space="preserve">През май 1990 г. Латвийската комунистическа партия, Международният фронт на работниците в Латвийска ССР, Обединеният съвет на трудовите колективи и Републиканският съвет на военните ветерани и ветераните на труда основават Комитет за защита на Конституцията на СССР и Латвийска ССР и на гражданските права, който на 25 ноември 1990 г. е преименуван на Латвийски комитет за обществено спасение </w:t>
      </w:r>
      <w:r w:rsidR="005911E9" w:rsidRPr="00945ED6">
        <w:rPr>
          <w:lang w:val="bg-BG"/>
        </w:rPr>
        <w:t>...</w:t>
      </w:r>
    </w:p>
    <w:p w:rsidR="005911E9" w:rsidRPr="00945ED6" w:rsidRDefault="009D0257" w:rsidP="005911E9">
      <w:pPr>
        <w:pStyle w:val="JuQuot"/>
        <w:keepNext/>
        <w:keepLines/>
        <w:rPr>
          <w:lang w:val="bg-BG"/>
        </w:rPr>
      </w:pPr>
      <w:r>
        <w:rPr>
          <w:lang w:val="bg-BG"/>
        </w:rPr>
        <w:lastRenderedPageBreak/>
        <w:t xml:space="preserve">На 15 януари 1991 г. Латвийският комитет за обществено спасение обявява, че поема властта и разпуска Върховния съвет и </w:t>
      </w:r>
      <w:r w:rsidR="00A25B47">
        <w:rPr>
          <w:lang w:val="bg-BG"/>
        </w:rPr>
        <w:t>Правителството</w:t>
      </w:r>
      <w:r>
        <w:rPr>
          <w:lang w:val="bg-BG"/>
        </w:rPr>
        <w:t xml:space="preserve"> на Република Латвия</w:t>
      </w:r>
      <w:r w:rsidR="005911E9" w:rsidRPr="00945ED6">
        <w:rPr>
          <w:lang w:val="bg-BG"/>
        </w:rPr>
        <w:t>.</w:t>
      </w:r>
    </w:p>
    <w:p w:rsidR="005911E9" w:rsidRPr="00945ED6" w:rsidRDefault="009D0257" w:rsidP="005911E9">
      <w:pPr>
        <w:pStyle w:val="JuQuot"/>
        <w:keepNext/>
        <w:keepLines/>
        <w:rPr>
          <w:lang w:val="bg-BG"/>
        </w:rPr>
      </w:pPr>
      <w:r>
        <w:rPr>
          <w:lang w:val="bg-BG"/>
        </w:rPr>
        <w:t xml:space="preserve">През август 1991 г. Централният комитет на Латвийската комунистическа партия </w:t>
      </w:r>
      <w:r w:rsidRPr="00945ED6">
        <w:rPr>
          <w:lang w:val="bg-BG"/>
        </w:rPr>
        <w:t>[</w:t>
      </w:r>
      <w:r>
        <w:rPr>
          <w:lang w:val="bg-BG"/>
        </w:rPr>
        <w:t>и останалите гореспоменати организации</w:t>
      </w:r>
      <w:r w:rsidRPr="00945ED6">
        <w:rPr>
          <w:lang w:val="bg-BG"/>
        </w:rPr>
        <w:t>]</w:t>
      </w:r>
      <w:r>
        <w:rPr>
          <w:lang w:val="bg-BG"/>
        </w:rPr>
        <w:t xml:space="preserve"> подкрепя</w:t>
      </w:r>
      <w:r w:rsidR="00684BD8">
        <w:rPr>
          <w:lang w:val="bg-BG"/>
        </w:rPr>
        <w:t>т</w:t>
      </w:r>
      <w:r>
        <w:rPr>
          <w:lang w:val="bg-BG"/>
        </w:rPr>
        <w:t xml:space="preserve"> преврата ...</w:t>
      </w:r>
    </w:p>
    <w:p w:rsidR="005911E9" w:rsidRPr="00945ED6" w:rsidRDefault="00F32118" w:rsidP="005911E9">
      <w:pPr>
        <w:pStyle w:val="JuQuot"/>
        <w:rPr>
          <w:lang w:val="bg-BG"/>
        </w:rPr>
      </w:pPr>
      <w:r>
        <w:rPr>
          <w:lang w:val="bg-BG"/>
        </w:rPr>
        <w:t>С оглед на</w:t>
      </w:r>
      <w:r w:rsidR="009D0257">
        <w:rPr>
          <w:lang w:val="bg-BG"/>
        </w:rPr>
        <w:t xml:space="preserve"> изброените факти, Върховният съд на Република Латвия постановява: </w:t>
      </w:r>
    </w:p>
    <w:p w:rsidR="005911E9" w:rsidRPr="00945ED6" w:rsidRDefault="00736DEB" w:rsidP="005911E9">
      <w:pPr>
        <w:pStyle w:val="JuQuot"/>
        <w:rPr>
          <w:lang w:val="bg-BG"/>
        </w:rPr>
      </w:pPr>
      <w:r w:rsidRPr="00945ED6">
        <w:rPr>
          <w:lang w:val="bg-BG"/>
        </w:rPr>
        <w:t>1.</w:t>
      </w:r>
      <w:r>
        <w:t>  </w:t>
      </w:r>
      <w:r w:rsidR="00752C07">
        <w:rPr>
          <w:lang w:val="bg-BG"/>
        </w:rPr>
        <w:t xml:space="preserve">Латвийската комунистическа партия </w:t>
      </w:r>
      <w:r w:rsidR="00752C07" w:rsidRPr="00945ED6">
        <w:rPr>
          <w:lang w:val="bg-BG"/>
        </w:rPr>
        <w:t>[</w:t>
      </w:r>
      <w:r w:rsidR="00752C07">
        <w:rPr>
          <w:lang w:val="bg-BG"/>
        </w:rPr>
        <w:t>и останалите гореспоменати организации</w:t>
      </w:r>
      <w:r w:rsidR="00752C07" w:rsidRPr="00945ED6">
        <w:rPr>
          <w:lang w:val="bg-BG"/>
        </w:rPr>
        <w:t>]</w:t>
      </w:r>
      <w:r w:rsidR="00752C07">
        <w:rPr>
          <w:lang w:val="bg-BG"/>
        </w:rPr>
        <w:t>, заедно с</w:t>
      </w:r>
      <w:r w:rsidR="00F32118">
        <w:rPr>
          <w:lang w:val="bg-BG"/>
        </w:rPr>
        <w:t xml:space="preserve"> коалицията на тези организации </w:t>
      </w:r>
      <w:r w:rsidR="00DA40F6">
        <w:rPr>
          <w:lang w:val="bg-BG"/>
        </w:rPr>
        <w:t>–</w:t>
      </w:r>
      <w:r w:rsidR="00752C07">
        <w:rPr>
          <w:lang w:val="bg-BG"/>
        </w:rPr>
        <w:t xml:space="preserve"> Латвийският</w:t>
      </w:r>
      <w:r w:rsidR="00F32118">
        <w:rPr>
          <w:lang w:val="bg-BG"/>
        </w:rPr>
        <w:t xml:space="preserve"> комитет за обществено спасение </w:t>
      </w:r>
      <w:r w:rsidR="00DA40F6">
        <w:rPr>
          <w:lang w:val="bg-BG"/>
        </w:rPr>
        <w:t>–</w:t>
      </w:r>
      <w:r w:rsidR="00752C07">
        <w:rPr>
          <w:lang w:val="bg-BG"/>
        </w:rPr>
        <w:t xml:space="preserve"> следва да бъдат разпуснати с мотива, че са действали срещу Конституцията ...</w:t>
      </w:r>
      <w:r w:rsidR="00752C07" w:rsidRPr="00945ED6">
        <w:rPr>
          <w:lang w:val="bg-BG"/>
        </w:rPr>
        <w:t xml:space="preserve"> </w:t>
      </w:r>
    </w:p>
    <w:p w:rsidR="005911E9" w:rsidRPr="00945ED6" w:rsidRDefault="00736DEB" w:rsidP="005911E9">
      <w:pPr>
        <w:pStyle w:val="JuQuot"/>
        <w:rPr>
          <w:lang w:val="bg-BG"/>
        </w:rPr>
      </w:pPr>
      <w:r w:rsidRPr="00945ED6">
        <w:rPr>
          <w:lang w:val="bg-BG"/>
        </w:rPr>
        <w:t>2.</w:t>
      </w:r>
      <w:r>
        <w:t>  </w:t>
      </w:r>
      <w:r w:rsidR="006816B8">
        <w:rPr>
          <w:lang w:val="bg-BG"/>
        </w:rPr>
        <w:t xml:space="preserve">Бившите членове на Латвийската комунистическа партия </w:t>
      </w:r>
      <w:r w:rsidR="006816B8" w:rsidRPr="00945ED6">
        <w:rPr>
          <w:lang w:val="bg-BG"/>
        </w:rPr>
        <w:t>[</w:t>
      </w:r>
      <w:r w:rsidR="006816B8">
        <w:rPr>
          <w:lang w:val="bg-BG"/>
        </w:rPr>
        <w:t>и на останалите гореспоменати организации</w:t>
      </w:r>
      <w:r w:rsidR="006816B8" w:rsidRPr="00945ED6">
        <w:rPr>
          <w:lang w:val="bg-BG"/>
        </w:rPr>
        <w:t xml:space="preserve">] </w:t>
      </w:r>
      <w:r w:rsidR="006816B8">
        <w:rPr>
          <w:lang w:val="bg-BG"/>
        </w:rPr>
        <w:t>са информирани, че имат право да участват в партии и други сдружения, чиито цели и практически дейности не са насочени към насилствена промяна или премахване на съществуващия конституционен ред и които не противоречат по друг начин на Конституцията и на законите на Република Латвия ...</w:t>
      </w:r>
      <w:r w:rsidR="00DA40F6">
        <w:rPr>
          <w:lang w:val="bg-BG"/>
        </w:rPr>
        <w:t>“</w:t>
      </w:r>
    </w:p>
    <w:p w:rsidR="005911E9" w:rsidRPr="00945ED6" w:rsidRDefault="007445D0" w:rsidP="005911E9">
      <w:pPr>
        <w:pStyle w:val="JuHA"/>
        <w:rPr>
          <w:lang w:val="bg-BG"/>
        </w:rPr>
      </w:pPr>
      <w:r>
        <w:rPr>
          <w:lang w:val="bg-BG"/>
        </w:rPr>
        <w:t>В</w:t>
      </w:r>
      <w:r w:rsidR="005911E9" w:rsidRPr="00945ED6">
        <w:rPr>
          <w:lang w:val="bg-BG"/>
        </w:rPr>
        <w:t>.</w:t>
      </w:r>
      <w:r w:rsidR="005911E9" w:rsidRPr="00E17978">
        <w:t>  </w:t>
      </w:r>
      <w:r w:rsidR="006816B8">
        <w:rPr>
          <w:lang w:val="bg-BG"/>
        </w:rPr>
        <w:t>Изборното законодателство</w:t>
      </w:r>
    </w:p>
    <w:p w:rsidR="005911E9" w:rsidRPr="00945ED6" w:rsidRDefault="005911E9" w:rsidP="005911E9">
      <w:pPr>
        <w:pStyle w:val="JuH1"/>
        <w:rPr>
          <w:lang w:val="bg-BG"/>
        </w:rPr>
      </w:pPr>
      <w:r w:rsidRPr="008E13B8">
        <w:rPr>
          <w:lang w:val="bg-BG"/>
        </w:rPr>
        <w:t>1.</w:t>
      </w:r>
      <w:r w:rsidRPr="008E13B8">
        <w:t>  </w:t>
      </w:r>
      <w:r w:rsidR="007445D0" w:rsidRPr="008E13B8">
        <w:rPr>
          <w:lang w:val="bg-BG"/>
        </w:rPr>
        <w:t>Р</w:t>
      </w:r>
      <w:r w:rsidR="006816B8" w:rsidRPr="008E13B8">
        <w:rPr>
          <w:lang w:val="bg-BG"/>
        </w:rPr>
        <w:t>азпоредби</w:t>
      </w:r>
      <w:r w:rsidR="007445D0" w:rsidRPr="008E13B8">
        <w:rPr>
          <w:lang w:val="bg-BG"/>
        </w:rPr>
        <w:t xml:space="preserve"> по същество</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57</w:t>
      </w:r>
      <w:r w:rsidRPr="00E17978">
        <w:fldChar w:fldCharType="end"/>
      </w:r>
      <w:r w:rsidR="005911E9" w:rsidRPr="00945ED6">
        <w:rPr>
          <w:lang w:val="bg-BG"/>
        </w:rPr>
        <w:t>.</w:t>
      </w:r>
      <w:r w:rsidR="005911E9" w:rsidRPr="00BB4F95">
        <w:rPr>
          <w:lang w:val="en-GB"/>
        </w:rPr>
        <w:t>  </w:t>
      </w:r>
      <w:r w:rsidR="00FA220F">
        <w:rPr>
          <w:lang w:val="bg-BG"/>
        </w:rPr>
        <w:t xml:space="preserve">Приложимите </w:t>
      </w:r>
      <w:r w:rsidR="004346C8">
        <w:rPr>
          <w:lang w:val="bg-BG"/>
        </w:rPr>
        <w:t xml:space="preserve">разпоредби на Конституцията </w:t>
      </w:r>
      <w:r w:rsidR="004346C8" w:rsidRPr="00945ED6">
        <w:rPr>
          <w:lang w:val="bg-BG"/>
        </w:rPr>
        <w:t>(</w:t>
      </w:r>
      <w:r w:rsidR="004346C8" w:rsidRPr="00BB4F95">
        <w:rPr>
          <w:i/>
          <w:iCs/>
          <w:lang w:val="en-GB"/>
        </w:rPr>
        <w:t>Satversme</w:t>
      </w:r>
      <w:r w:rsidR="004346C8" w:rsidRPr="00945ED6">
        <w:rPr>
          <w:lang w:val="bg-BG"/>
        </w:rPr>
        <w:t>)</w:t>
      </w:r>
      <w:r w:rsidR="004346C8">
        <w:rPr>
          <w:lang w:val="bg-BG"/>
        </w:rPr>
        <w:t xml:space="preserve"> на Република Латвия, приета през 1922 г. и изменена </w:t>
      </w:r>
      <w:r w:rsidR="00DA40F6">
        <w:rPr>
          <w:lang w:val="bg-BG"/>
        </w:rPr>
        <w:t xml:space="preserve">със </w:t>
      </w:r>
      <w:r w:rsidR="004346C8">
        <w:rPr>
          <w:lang w:val="bg-BG"/>
        </w:rPr>
        <w:t>Закона от 15 о</w:t>
      </w:r>
      <w:r w:rsidR="000220A4">
        <w:rPr>
          <w:lang w:val="bg-BG"/>
        </w:rPr>
        <w:t>ктомври 1998 г., гласят</w:t>
      </w:r>
      <w:r w:rsidR="005911E9" w:rsidRPr="00945ED6">
        <w:rPr>
          <w:lang w:val="bg-BG"/>
        </w:rPr>
        <w:t>:</w:t>
      </w:r>
    </w:p>
    <w:p w:rsidR="005911E9" w:rsidRPr="00945ED6" w:rsidRDefault="004346C8" w:rsidP="00B8206D">
      <w:pPr>
        <w:pStyle w:val="JuHArticle"/>
        <w:rPr>
          <w:lang w:val="bg-BG"/>
        </w:rPr>
      </w:pPr>
      <w:r w:rsidRPr="00945ED6">
        <w:rPr>
          <w:lang w:val="bg-BG"/>
        </w:rPr>
        <w:t>Чл</w:t>
      </w:r>
      <w:r w:rsidR="00DA40F6">
        <w:rPr>
          <w:lang w:val="bg-BG"/>
        </w:rPr>
        <w:t>ен</w:t>
      </w:r>
      <w:r w:rsidR="005911E9" w:rsidRPr="00945ED6">
        <w:rPr>
          <w:lang w:val="bg-BG"/>
        </w:rPr>
        <w:t xml:space="preserve"> 9</w:t>
      </w:r>
    </w:p>
    <w:p w:rsidR="005911E9" w:rsidRPr="00945ED6" w:rsidRDefault="00DA40F6" w:rsidP="005911E9">
      <w:pPr>
        <w:pStyle w:val="JuQuot"/>
        <w:rPr>
          <w:lang w:val="bg-BG"/>
        </w:rPr>
      </w:pPr>
      <w:r>
        <w:rPr>
          <w:lang w:val="bg-BG"/>
        </w:rPr>
        <w:t>„</w:t>
      </w:r>
      <w:r w:rsidR="004346C8">
        <w:rPr>
          <w:lang w:val="bg-BG"/>
        </w:rPr>
        <w:t>Всички граждани на Латвия, които се ползват с</w:t>
      </w:r>
      <w:r w:rsidR="00F32118">
        <w:rPr>
          <w:lang w:val="bg-BG"/>
        </w:rPr>
        <w:t xml:space="preserve"> пълни граждански права и </w:t>
      </w:r>
      <w:r w:rsidR="004346C8">
        <w:rPr>
          <w:lang w:val="bg-BG"/>
        </w:rPr>
        <w:t>в деня на изборите имат навършени 21 години, могат да бъдат избирани за</w:t>
      </w:r>
      <w:r w:rsidR="00F32118">
        <w:rPr>
          <w:lang w:val="bg-BG"/>
        </w:rPr>
        <w:t xml:space="preserve"> членове на</w:t>
      </w:r>
      <w:r w:rsidR="004346C8">
        <w:rPr>
          <w:lang w:val="bg-BG"/>
        </w:rPr>
        <w:t xml:space="preserve"> </w:t>
      </w:r>
      <w:r w:rsidR="00A25B47">
        <w:rPr>
          <w:lang w:val="bg-BG"/>
        </w:rPr>
        <w:t>Парламента</w:t>
      </w:r>
      <w:r w:rsidR="004346C8">
        <w:rPr>
          <w:lang w:val="bg-BG"/>
        </w:rPr>
        <w:t>.</w:t>
      </w:r>
      <w:r>
        <w:rPr>
          <w:lang w:val="bg-BG"/>
        </w:rPr>
        <w:t>“</w:t>
      </w:r>
    </w:p>
    <w:p w:rsidR="005911E9" w:rsidRPr="00945ED6" w:rsidRDefault="004346C8" w:rsidP="00B8206D">
      <w:pPr>
        <w:pStyle w:val="JuHArticle"/>
        <w:rPr>
          <w:lang w:val="bg-BG"/>
        </w:rPr>
      </w:pPr>
      <w:r w:rsidRPr="00945ED6">
        <w:rPr>
          <w:lang w:val="bg-BG"/>
        </w:rPr>
        <w:t>Чл</w:t>
      </w:r>
      <w:r w:rsidR="00DA40F6">
        <w:rPr>
          <w:lang w:val="bg-BG"/>
        </w:rPr>
        <w:t>ен</w:t>
      </w:r>
      <w:r w:rsidR="005911E9" w:rsidRPr="00945ED6">
        <w:rPr>
          <w:lang w:val="bg-BG"/>
        </w:rPr>
        <w:t xml:space="preserve"> 64</w:t>
      </w:r>
    </w:p>
    <w:p w:rsidR="005911E9" w:rsidRPr="00945ED6" w:rsidRDefault="00DA40F6" w:rsidP="00CC364A">
      <w:pPr>
        <w:pStyle w:val="JuQuot"/>
        <w:rPr>
          <w:lang w:val="bg-BG"/>
        </w:rPr>
      </w:pPr>
      <w:r>
        <w:rPr>
          <w:lang w:val="bg-BG"/>
        </w:rPr>
        <w:t>„</w:t>
      </w:r>
      <w:r w:rsidR="004346C8">
        <w:rPr>
          <w:lang w:val="bg-BG"/>
        </w:rPr>
        <w:t xml:space="preserve">Законодателната власт принадлежи на </w:t>
      </w:r>
      <w:r w:rsidR="00A25B47">
        <w:rPr>
          <w:lang w:val="bg-BG"/>
        </w:rPr>
        <w:t>Парламента</w:t>
      </w:r>
      <w:r w:rsidR="004346C8">
        <w:rPr>
          <w:lang w:val="bg-BG"/>
        </w:rPr>
        <w:t xml:space="preserve"> и на народа, в условията и до степента, предвидени от </w:t>
      </w:r>
      <w:r w:rsidR="00E022A8">
        <w:rPr>
          <w:lang w:val="bg-BG"/>
        </w:rPr>
        <w:t>настоящата Конституция.</w:t>
      </w:r>
      <w:r>
        <w:rPr>
          <w:lang w:val="bg-BG"/>
        </w:rPr>
        <w:t>“</w:t>
      </w:r>
    </w:p>
    <w:p w:rsidR="005911E9" w:rsidRPr="00FA4A8D" w:rsidRDefault="00E022A8" w:rsidP="00B8206D">
      <w:pPr>
        <w:pStyle w:val="JuHArticle"/>
        <w:rPr>
          <w:lang w:val="bg-BG"/>
        </w:rPr>
      </w:pPr>
      <w:r w:rsidRPr="00FA4A8D">
        <w:rPr>
          <w:lang w:val="bg-BG"/>
        </w:rPr>
        <w:t>Чл</w:t>
      </w:r>
      <w:r w:rsidR="00DA40F6">
        <w:rPr>
          <w:lang w:val="bg-BG"/>
        </w:rPr>
        <w:t>ен</w:t>
      </w:r>
      <w:r w:rsidR="005911E9" w:rsidRPr="00FA4A8D">
        <w:rPr>
          <w:lang w:val="bg-BG"/>
        </w:rPr>
        <w:t xml:space="preserve"> 91</w:t>
      </w:r>
    </w:p>
    <w:p w:rsidR="005911E9" w:rsidRPr="00945ED6" w:rsidRDefault="00DA40F6" w:rsidP="00CC364A">
      <w:pPr>
        <w:pStyle w:val="JuQuot"/>
        <w:rPr>
          <w:lang w:val="bg-BG"/>
        </w:rPr>
      </w:pPr>
      <w:r>
        <w:rPr>
          <w:lang w:val="bg-BG"/>
        </w:rPr>
        <w:t>„</w:t>
      </w:r>
      <w:r w:rsidR="000220A4" w:rsidRPr="00FA4A8D">
        <w:rPr>
          <w:lang w:val="bg-BG"/>
        </w:rPr>
        <w:t>Всички лица в Латвия са</w:t>
      </w:r>
      <w:r w:rsidR="00E022A8" w:rsidRPr="00FA4A8D">
        <w:rPr>
          <w:lang w:val="bg-BG"/>
        </w:rPr>
        <w:t xml:space="preserve"> равни пред закона и съда. Човешките п</w:t>
      </w:r>
      <w:r w:rsidR="000220A4" w:rsidRPr="00FA4A8D">
        <w:rPr>
          <w:lang w:val="bg-BG"/>
        </w:rPr>
        <w:t xml:space="preserve">рава </w:t>
      </w:r>
      <w:r w:rsidR="00CF6874" w:rsidRPr="00FA4A8D">
        <w:rPr>
          <w:lang w:val="bg-BG"/>
        </w:rPr>
        <w:t>се</w:t>
      </w:r>
      <w:r w:rsidR="00CF6874">
        <w:rPr>
          <w:lang w:val="bg-BG"/>
        </w:rPr>
        <w:t xml:space="preserve"> упражняват </w:t>
      </w:r>
      <w:r w:rsidR="00E022A8">
        <w:rPr>
          <w:lang w:val="bg-BG"/>
        </w:rPr>
        <w:t>б</w:t>
      </w:r>
      <w:r w:rsidR="00CF6874">
        <w:rPr>
          <w:lang w:val="bg-BG"/>
        </w:rPr>
        <w:t>ез каквато и да било дискриминация</w:t>
      </w:r>
      <w:r w:rsidR="00E022A8">
        <w:rPr>
          <w:lang w:val="bg-BG"/>
        </w:rPr>
        <w:t>.</w:t>
      </w:r>
      <w:r>
        <w:rPr>
          <w:lang w:val="bg-BG"/>
        </w:rPr>
        <w:t>“</w:t>
      </w:r>
    </w:p>
    <w:p w:rsidR="005911E9" w:rsidRPr="00945ED6" w:rsidRDefault="00E022A8" w:rsidP="00B8206D">
      <w:pPr>
        <w:pStyle w:val="JuHArticle"/>
        <w:rPr>
          <w:lang w:val="bg-BG"/>
        </w:rPr>
      </w:pPr>
      <w:r w:rsidRPr="00945ED6">
        <w:rPr>
          <w:lang w:val="bg-BG"/>
        </w:rPr>
        <w:t>Чл</w:t>
      </w:r>
      <w:r w:rsidR="00DA40F6">
        <w:rPr>
          <w:lang w:val="bg-BG"/>
        </w:rPr>
        <w:t>ен</w:t>
      </w:r>
      <w:r w:rsidR="005911E9" w:rsidRPr="00945ED6">
        <w:rPr>
          <w:lang w:val="bg-BG"/>
        </w:rPr>
        <w:t xml:space="preserve"> 101</w:t>
      </w:r>
    </w:p>
    <w:p w:rsidR="005911E9" w:rsidRPr="00945ED6" w:rsidRDefault="00DA40F6" w:rsidP="005911E9">
      <w:pPr>
        <w:pStyle w:val="JuQuot"/>
        <w:rPr>
          <w:lang w:val="bg-BG"/>
        </w:rPr>
      </w:pPr>
      <w:r>
        <w:rPr>
          <w:lang w:val="bg-BG"/>
        </w:rPr>
        <w:t>„</w:t>
      </w:r>
      <w:r w:rsidR="00E022A8">
        <w:rPr>
          <w:lang w:val="bg-BG"/>
        </w:rPr>
        <w:t xml:space="preserve">Всички граждани на Латвия имат право да участват, </w:t>
      </w:r>
      <w:r w:rsidR="00652202">
        <w:rPr>
          <w:lang w:val="bg-BG"/>
        </w:rPr>
        <w:t>съгласно</w:t>
      </w:r>
      <w:r w:rsidR="00E022A8">
        <w:rPr>
          <w:lang w:val="bg-BG"/>
        </w:rPr>
        <w:t xml:space="preserve"> закона, в делата на държавата и на местната власт ...</w:t>
      </w:r>
      <w:r>
        <w:rPr>
          <w:lang w:val="bg-BG"/>
        </w:rPr>
        <w:t>“</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58</w:t>
      </w:r>
      <w:r w:rsidRPr="00E17978">
        <w:fldChar w:fldCharType="end"/>
      </w:r>
      <w:r w:rsidR="005911E9" w:rsidRPr="00945ED6">
        <w:rPr>
          <w:lang w:val="bg-BG"/>
        </w:rPr>
        <w:t>.</w:t>
      </w:r>
      <w:r w:rsidR="005911E9" w:rsidRPr="00BB4F95">
        <w:rPr>
          <w:lang w:val="en-GB"/>
        </w:rPr>
        <w:t>  </w:t>
      </w:r>
      <w:r w:rsidR="00FA220F">
        <w:rPr>
          <w:lang w:val="bg-BG"/>
        </w:rPr>
        <w:t>Приложимите</w:t>
      </w:r>
      <w:r w:rsidR="00E022A8">
        <w:rPr>
          <w:lang w:val="bg-BG"/>
        </w:rPr>
        <w:t xml:space="preserve"> разпоредби на Закона за </w:t>
      </w:r>
      <w:r w:rsidR="00FA220F">
        <w:rPr>
          <w:lang w:val="bg-BG"/>
        </w:rPr>
        <w:t>п</w:t>
      </w:r>
      <w:r w:rsidR="00A25B47">
        <w:rPr>
          <w:lang w:val="bg-BG"/>
        </w:rPr>
        <w:t>арламентарните</w:t>
      </w:r>
      <w:r w:rsidR="00E022A8">
        <w:rPr>
          <w:lang w:val="bg-BG"/>
        </w:rPr>
        <w:t xml:space="preserve"> избори </w:t>
      </w:r>
      <w:r w:rsidR="00E022A8" w:rsidRPr="00945ED6">
        <w:rPr>
          <w:lang w:val="bg-BG"/>
        </w:rPr>
        <w:t>(</w:t>
      </w:r>
      <w:r w:rsidR="00E022A8" w:rsidRPr="00BB4F95">
        <w:rPr>
          <w:i/>
          <w:iCs/>
          <w:lang w:val="en-GB"/>
        </w:rPr>
        <w:t>Saeimas</w:t>
      </w:r>
      <w:r w:rsidR="00E022A8" w:rsidRPr="00945ED6">
        <w:rPr>
          <w:i/>
          <w:iCs/>
          <w:lang w:val="bg-BG"/>
        </w:rPr>
        <w:t xml:space="preserve"> </w:t>
      </w:r>
      <w:r w:rsidR="00E022A8" w:rsidRPr="00BB4F95">
        <w:rPr>
          <w:i/>
          <w:iCs/>
          <w:lang w:val="en-GB"/>
        </w:rPr>
        <w:t>v</w:t>
      </w:r>
      <w:r w:rsidR="00E022A8" w:rsidRPr="00945ED6">
        <w:rPr>
          <w:i/>
          <w:iCs/>
          <w:lang w:val="bg-BG"/>
        </w:rPr>
        <w:t>ē</w:t>
      </w:r>
      <w:r w:rsidR="00E022A8" w:rsidRPr="00BB4F95">
        <w:rPr>
          <w:i/>
          <w:iCs/>
          <w:lang w:val="en-GB"/>
        </w:rPr>
        <w:t>l</w:t>
      </w:r>
      <w:r w:rsidR="00E022A8" w:rsidRPr="00945ED6">
        <w:rPr>
          <w:i/>
          <w:iCs/>
          <w:lang w:val="bg-BG"/>
        </w:rPr>
        <w:t>ēš</w:t>
      </w:r>
      <w:r w:rsidR="00E022A8" w:rsidRPr="00BB4F95">
        <w:rPr>
          <w:i/>
          <w:iCs/>
          <w:lang w:val="en-GB"/>
        </w:rPr>
        <w:t>anu</w:t>
      </w:r>
      <w:r w:rsidR="00E022A8" w:rsidRPr="00945ED6">
        <w:rPr>
          <w:i/>
          <w:iCs/>
          <w:lang w:val="bg-BG"/>
        </w:rPr>
        <w:t xml:space="preserve"> </w:t>
      </w:r>
      <w:r w:rsidR="00E022A8" w:rsidRPr="00BB4F95">
        <w:rPr>
          <w:i/>
          <w:iCs/>
          <w:lang w:val="en-GB"/>
        </w:rPr>
        <w:t>likums</w:t>
      </w:r>
      <w:r w:rsidR="00E022A8" w:rsidRPr="00945ED6">
        <w:rPr>
          <w:lang w:val="bg-BG"/>
        </w:rPr>
        <w:t>)</w:t>
      </w:r>
      <w:r w:rsidR="00E022A8">
        <w:rPr>
          <w:lang w:val="bg-BG"/>
        </w:rPr>
        <w:t xml:space="preserve"> от 25 май 1995 г. предвиждат: </w:t>
      </w:r>
    </w:p>
    <w:p w:rsidR="005911E9" w:rsidRPr="00945ED6" w:rsidRDefault="00430F4B" w:rsidP="00B8206D">
      <w:pPr>
        <w:pStyle w:val="JuHArticle"/>
        <w:rPr>
          <w:lang w:val="bg-BG"/>
        </w:rPr>
      </w:pPr>
      <w:r>
        <w:rPr>
          <w:lang w:val="bg-BG"/>
        </w:rPr>
        <w:lastRenderedPageBreak/>
        <w:t>Раздел</w:t>
      </w:r>
      <w:r w:rsidR="005911E9" w:rsidRPr="00945ED6">
        <w:rPr>
          <w:lang w:val="bg-BG"/>
        </w:rPr>
        <w:t xml:space="preserve"> 4</w:t>
      </w:r>
    </w:p>
    <w:p w:rsidR="005911E9" w:rsidRPr="00945ED6" w:rsidRDefault="00430F4B" w:rsidP="005911E9">
      <w:pPr>
        <w:pStyle w:val="JuQuot"/>
        <w:rPr>
          <w:lang w:val="bg-BG"/>
        </w:rPr>
      </w:pPr>
      <w:r>
        <w:rPr>
          <w:lang w:val="bg-BG"/>
        </w:rPr>
        <w:t>„</w:t>
      </w:r>
      <w:r w:rsidR="009124DC">
        <w:rPr>
          <w:lang w:val="bg-BG"/>
        </w:rPr>
        <w:t xml:space="preserve">Всички латвийски граждани, които имат навършени 21 години в деня на изборите, могат да бъдат избирани за </w:t>
      </w:r>
      <w:r w:rsidR="00611C43">
        <w:rPr>
          <w:lang w:val="bg-BG"/>
        </w:rPr>
        <w:t xml:space="preserve">членове на </w:t>
      </w:r>
      <w:r w:rsidR="00A25B47">
        <w:rPr>
          <w:lang w:val="bg-BG"/>
        </w:rPr>
        <w:t>Парламента</w:t>
      </w:r>
      <w:r w:rsidR="00611C43">
        <w:rPr>
          <w:lang w:val="bg-BG"/>
        </w:rPr>
        <w:t>,</w:t>
      </w:r>
      <w:r w:rsidR="009124DC">
        <w:rPr>
          <w:lang w:val="bg-BG"/>
        </w:rPr>
        <w:t xml:space="preserve"> при у</w:t>
      </w:r>
      <w:r w:rsidR="00CF6874">
        <w:rPr>
          <w:lang w:val="bg-BG"/>
        </w:rPr>
        <w:t>словие че не са засегнати от ни</w:t>
      </w:r>
      <w:r w:rsidR="009124DC">
        <w:rPr>
          <w:lang w:val="bg-BG"/>
        </w:rPr>
        <w:t>кое от ограниченията,</w:t>
      </w:r>
      <w:r w:rsidR="00611C43">
        <w:rPr>
          <w:lang w:val="bg-BG"/>
        </w:rPr>
        <w:t xml:space="preserve"> предвидени в раздел 5 от настоящия закон.</w:t>
      </w:r>
      <w:r>
        <w:rPr>
          <w:lang w:val="bg-BG"/>
        </w:rPr>
        <w:t>“</w:t>
      </w:r>
    </w:p>
    <w:p w:rsidR="005911E9" w:rsidRPr="00945ED6" w:rsidRDefault="00430F4B" w:rsidP="00B8206D">
      <w:pPr>
        <w:pStyle w:val="JuHArticle"/>
        <w:rPr>
          <w:lang w:val="bg-BG"/>
        </w:rPr>
      </w:pPr>
      <w:r>
        <w:rPr>
          <w:lang w:val="bg-BG"/>
        </w:rPr>
        <w:t>Раздел</w:t>
      </w:r>
      <w:r w:rsidR="005911E9" w:rsidRPr="00945ED6">
        <w:rPr>
          <w:lang w:val="bg-BG"/>
        </w:rPr>
        <w:t xml:space="preserve"> 5</w:t>
      </w:r>
    </w:p>
    <w:p w:rsidR="003C78D6" w:rsidRPr="00945ED6" w:rsidRDefault="00430F4B" w:rsidP="006063C0">
      <w:pPr>
        <w:pStyle w:val="JuQuot"/>
        <w:ind w:left="600" w:hanging="33"/>
        <w:rPr>
          <w:lang w:val="bg-BG"/>
        </w:rPr>
      </w:pPr>
      <w:r>
        <w:rPr>
          <w:lang w:val="bg-BG"/>
        </w:rPr>
        <w:t>„</w:t>
      </w:r>
      <w:r w:rsidR="00611C43">
        <w:rPr>
          <w:lang w:val="bg-BG"/>
        </w:rPr>
        <w:t xml:space="preserve">Да се кандидатират на избори или да се избират за членове на </w:t>
      </w:r>
      <w:r w:rsidR="00A25B47">
        <w:rPr>
          <w:lang w:val="bg-BG"/>
        </w:rPr>
        <w:t>Парламента</w:t>
      </w:r>
      <w:r w:rsidR="00611C43">
        <w:rPr>
          <w:lang w:val="bg-BG"/>
        </w:rPr>
        <w:t xml:space="preserve"> нямат право: </w:t>
      </w:r>
    </w:p>
    <w:p w:rsidR="005911E9" w:rsidRPr="00945ED6" w:rsidRDefault="005911E9" w:rsidP="006063C0">
      <w:pPr>
        <w:pStyle w:val="JuQuot"/>
        <w:ind w:left="600" w:hanging="33"/>
        <w:rPr>
          <w:lang w:val="bg-BG"/>
        </w:rPr>
      </w:pPr>
      <w:r w:rsidRPr="00945ED6">
        <w:rPr>
          <w:lang w:val="bg-BG"/>
        </w:rPr>
        <w:t>...</w:t>
      </w:r>
    </w:p>
    <w:p w:rsidR="005911E9" w:rsidRPr="00945ED6" w:rsidRDefault="006063C0" w:rsidP="005911E9">
      <w:pPr>
        <w:pStyle w:val="JuQuot"/>
        <w:rPr>
          <w:lang w:val="bg-BG"/>
        </w:rPr>
      </w:pPr>
      <w:r w:rsidRPr="00945ED6">
        <w:rPr>
          <w:lang w:val="bg-BG"/>
        </w:rPr>
        <w:t>(6)</w:t>
      </w:r>
      <w:r>
        <w:t>  </w:t>
      </w:r>
      <w:r w:rsidR="00611C43">
        <w:rPr>
          <w:lang w:val="bg-BG"/>
        </w:rPr>
        <w:t xml:space="preserve">лица, които след 13 януари 1991 г. са участвали активно </w:t>
      </w:r>
      <w:r w:rsidR="00611C43" w:rsidRPr="00945ED6">
        <w:rPr>
          <w:lang w:val="bg-BG"/>
        </w:rPr>
        <w:t>[</w:t>
      </w:r>
      <w:r w:rsidR="00611C43" w:rsidRPr="00E17978">
        <w:rPr>
          <w:i/>
          <w:iCs/>
        </w:rPr>
        <w:t>darboju</w:t>
      </w:r>
      <w:r w:rsidR="00611C43" w:rsidRPr="00945ED6">
        <w:rPr>
          <w:i/>
          <w:iCs/>
          <w:lang w:val="bg-BG"/>
        </w:rPr>
        <w:t>šā</w:t>
      </w:r>
      <w:r w:rsidR="00611C43" w:rsidRPr="00E17978">
        <w:rPr>
          <w:i/>
          <w:iCs/>
        </w:rPr>
        <w:t>s</w:t>
      </w:r>
      <w:r w:rsidR="00611C43" w:rsidRPr="00945ED6">
        <w:rPr>
          <w:lang w:val="bg-BG"/>
        </w:rPr>
        <w:t>]</w:t>
      </w:r>
      <w:r w:rsidR="00611C43">
        <w:rPr>
          <w:lang w:val="bg-BG"/>
        </w:rPr>
        <w:t xml:space="preserve"> в КПСС (ЛКП), Международния фронт на работниците в Латвийска ССР, Обединения съвет на трудовите колективи, Организацията на военните ветерани и ветераните на труда или</w:t>
      </w:r>
      <w:r w:rsidR="0081651A">
        <w:rPr>
          <w:lang w:val="bg-BG"/>
        </w:rPr>
        <w:t xml:space="preserve"> Латвийския комитет за обществено спасение, или в техните регионални комитети; ...</w:t>
      </w:r>
      <w:r w:rsidR="00430F4B">
        <w:rPr>
          <w:lang w:val="bg-BG"/>
        </w:rPr>
        <w:t>“</w:t>
      </w:r>
    </w:p>
    <w:p w:rsidR="005911E9" w:rsidRPr="00945ED6" w:rsidRDefault="00430F4B" w:rsidP="00B8206D">
      <w:pPr>
        <w:pStyle w:val="JuHArticle"/>
        <w:rPr>
          <w:lang w:val="bg-BG"/>
        </w:rPr>
      </w:pPr>
      <w:r>
        <w:rPr>
          <w:lang w:val="bg-BG"/>
        </w:rPr>
        <w:t>Раздел</w:t>
      </w:r>
      <w:r w:rsidR="005911E9" w:rsidRPr="00945ED6">
        <w:rPr>
          <w:lang w:val="bg-BG"/>
        </w:rPr>
        <w:t xml:space="preserve"> 11</w:t>
      </w:r>
    </w:p>
    <w:p w:rsidR="00656927" w:rsidRPr="00945ED6" w:rsidRDefault="00430F4B" w:rsidP="005911E9">
      <w:pPr>
        <w:pStyle w:val="JuQuot"/>
        <w:rPr>
          <w:lang w:val="bg-BG"/>
        </w:rPr>
      </w:pPr>
      <w:r>
        <w:rPr>
          <w:lang w:val="bg-BG"/>
        </w:rPr>
        <w:t>„</w:t>
      </w:r>
      <w:r w:rsidR="0081651A">
        <w:rPr>
          <w:lang w:val="bg-BG"/>
        </w:rPr>
        <w:t xml:space="preserve">Към листата с кандидати трябва да се приложат следните документи: </w:t>
      </w:r>
    </w:p>
    <w:p w:rsidR="005911E9" w:rsidRPr="00126EB2" w:rsidRDefault="005911E9" w:rsidP="005911E9">
      <w:pPr>
        <w:pStyle w:val="JuQuot"/>
        <w:rPr>
          <w:lang w:val="bg-BG"/>
        </w:rPr>
      </w:pPr>
      <w:r w:rsidRPr="00126EB2">
        <w:rPr>
          <w:lang w:val="bg-BG"/>
        </w:rPr>
        <w:t>...</w:t>
      </w:r>
    </w:p>
    <w:p w:rsidR="005911E9" w:rsidRPr="00945ED6" w:rsidRDefault="005911E9" w:rsidP="005911E9">
      <w:pPr>
        <w:pStyle w:val="JuQuot"/>
        <w:rPr>
          <w:lang w:val="bg-BG"/>
        </w:rPr>
      </w:pPr>
      <w:r w:rsidRPr="00126EB2">
        <w:rPr>
          <w:lang w:val="bg-BG"/>
        </w:rPr>
        <w:t>(3)</w:t>
      </w:r>
      <w:r w:rsidRPr="00E17978">
        <w:t> </w:t>
      </w:r>
      <w:r w:rsidR="0081651A">
        <w:rPr>
          <w:lang w:val="bg-BG"/>
        </w:rPr>
        <w:t>декларация, подписана от</w:t>
      </w:r>
      <w:r w:rsidR="00B4607E">
        <w:rPr>
          <w:lang w:val="bg-BG"/>
        </w:rPr>
        <w:t xml:space="preserve"> всеки кандидат в листата, с коя</w:t>
      </w:r>
      <w:r w:rsidR="0081651A">
        <w:rPr>
          <w:lang w:val="bg-BG"/>
        </w:rPr>
        <w:t xml:space="preserve">то </w:t>
      </w:r>
      <w:r w:rsidR="00B4607E">
        <w:rPr>
          <w:lang w:val="bg-BG"/>
        </w:rPr>
        <w:t xml:space="preserve">се </w:t>
      </w:r>
      <w:r w:rsidR="0081651A">
        <w:rPr>
          <w:lang w:val="bg-BG"/>
        </w:rPr>
        <w:t>потвърждава,</w:t>
      </w:r>
      <w:r w:rsidR="00B4607E">
        <w:rPr>
          <w:lang w:val="bg-BG"/>
        </w:rPr>
        <w:t xml:space="preserve"> че той или тя отговаря на изискванията по </w:t>
      </w:r>
      <w:r w:rsidR="00B4607E" w:rsidRPr="00126EB2">
        <w:rPr>
          <w:lang w:val="bg-BG"/>
        </w:rPr>
        <w:t>чл. 5(1)-(6)</w:t>
      </w:r>
      <w:r w:rsidR="00B4607E">
        <w:rPr>
          <w:lang w:val="bg-BG"/>
        </w:rPr>
        <w:t xml:space="preserve"> от настоящия закон; ... </w:t>
      </w:r>
      <w:r w:rsidR="00F67CDC" w:rsidRPr="00945ED6">
        <w:rPr>
          <w:lang w:val="bg-BG"/>
        </w:rPr>
        <w:t>“</w:t>
      </w:r>
    </w:p>
    <w:p w:rsidR="005911E9" w:rsidRPr="00945ED6" w:rsidRDefault="007E3F73" w:rsidP="00B8206D">
      <w:pPr>
        <w:pStyle w:val="JuHArticle"/>
        <w:rPr>
          <w:lang w:val="bg-BG"/>
        </w:rPr>
      </w:pPr>
      <w:r>
        <w:rPr>
          <w:lang w:val="bg-BG"/>
        </w:rPr>
        <w:t>Раздел</w:t>
      </w:r>
      <w:r w:rsidR="005911E9" w:rsidRPr="00945ED6">
        <w:rPr>
          <w:lang w:val="bg-BG"/>
        </w:rPr>
        <w:t xml:space="preserve"> 13</w:t>
      </w:r>
    </w:p>
    <w:p w:rsidR="00414E81" w:rsidRPr="00945ED6" w:rsidRDefault="007E3F73" w:rsidP="005911E9">
      <w:pPr>
        <w:pStyle w:val="JuQuot"/>
        <w:rPr>
          <w:lang w:val="bg-BG"/>
        </w:rPr>
      </w:pPr>
      <w:r>
        <w:rPr>
          <w:lang w:val="bg-BG"/>
        </w:rPr>
        <w:t>„</w:t>
      </w:r>
      <w:r w:rsidR="00921C52" w:rsidRPr="00945ED6">
        <w:rPr>
          <w:lang w:val="bg-BG"/>
        </w:rPr>
        <w:t>...</w:t>
      </w:r>
    </w:p>
    <w:p w:rsidR="005911E9" w:rsidRPr="00945ED6" w:rsidRDefault="006063C0" w:rsidP="005911E9">
      <w:pPr>
        <w:pStyle w:val="JuQuot"/>
        <w:rPr>
          <w:lang w:val="bg-BG"/>
        </w:rPr>
      </w:pPr>
      <w:r w:rsidRPr="00945ED6">
        <w:rPr>
          <w:lang w:val="bg-BG"/>
        </w:rPr>
        <w:t>(2)</w:t>
      </w:r>
      <w:r>
        <w:t>  </w:t>
      </w:r>
      <w:r w:rsidR="007E3F73">
        <w:rPr>
          <w:lang w:val="bg-BG"/>
        </w:rPr>
        <w:t xml:space="preserve">След </w:t>
      </w:r>
      <w:r w:rsidR="00B4607E">
        <w:rPr>
          <w:lang w:val="bg-BG"/>
        </w:rPr>
        <w:t>регистриран</w:t>
      </w:r>
      <w:r w:rsidR="007E3F73">
        <w:rPr>
          <w:lang w:val="bg-BG"/>
        </w:rPr>
        <w:t>ето им</w:t>
      </w:r>
      <w:r w:rsidR="00B4607E">
        <w:rPr>
          <w:lang w:val="bg-BG"/>
        </w:rPr>
        <w:t xml:space="preserve"> кандидатските листи </w:t>
      </w:r>
      <w:r w:rsidR="00652202">
        <w:rPr>
          <w:lang w:val="bg-BG"/>
        </w:rPr>
        <w:t>са окончателни, като Централна</w:t>
      </w:r>
      <w:r w:rsidR="007E3F73">
        <w:rPr>
          <w:lang w:val="bg-BG"/>
        </w:rPr>
        <w:t>та</w:t>
      </w:r>
      <w:r w:rsidR="00B4607E">
        <w:rPr>
          <w:lang w:val="bg-BG"/>
        </w:rPr>
        <w:t xml:space="preserve"> избирателна комисия</w:t>
      </w:r>
      <w:r w:rsidR="00B4607E" w:rsidRPr="00945ED6">
        <w:rPr>
          <w:lang w:val="bg-BG"/>
        </w:rPr>
        <w:t xml:space="preserve"> </w:t>
      </w:r>
      <w:r w:rsidR="00975B03">
        <w:rPr>
          <w:lang w:val="bg-BG"/>
        </w:rPr>
        <w:t xml:space="preserve">може да нанася </w:t>
      </w:r>
      <w:r w:rsidR="007E3F73">
        <w:rPr>
          <w:lang w:val="bg-BG"/>
        </w:rPr>
        <w:t>единствено</w:t>
      </w:r>
      <w:r w:rsidR="00B4607E">
        <w:rPr>
          <w:lang w:val="bg-BG"/>
        </w:rPr>
        <w:t xml:space="preserve"> следните промени: </w:t>
      </w:r>
    </w:p>
    <w:p w:rsidR="005911E9" w:rsidRPr="00945ED6" w:rsidRDefault="006063C0" w:rsidP="005911E9">
      <w:pPr>
        <w:pStyle w:val="JuQuot"/>
        <w:rPr>
          <w:lang w:val="bg-BG"/>
        </w:rPr>
      </w:pPr>
      <w:r w:rsidRPr="00945ED6">
        <w:rPr>
          <w:lang w:val="bg-BG"/>
        </w:rPr>
        <w:t>1.</w:t>
      </w:r>
      <w:r>
        <w:t>  </w:t>
      </w:r>
      <w:r w:rsidR="005B5C35">
        <w:rPr>
          <w:lang w:val="bg-BG"/>
        </w:rPr>
        <w:t>изваждане</w:t>
      </w:r>
      <w:r w:rsidR="00B4607E">
        <w:rPr>
          <w:lang w:val="bg-BG"/>
        </w:rPr>
        <w:t xml:space="preserve"> на кандидат от листата, при условие че: ... </w:t>
      </w:r>
    </w:p>
    <w:p w:rsidR="00736DEB" w:rsidRPr="00945ED6" w:rsidRDefault="006063C0" w:rsidP="006063C0">
      <w:pPr>
        <w:pStyle w:val="JuQuot"/>
        <w:ind w:left="600" w:hanging="33"/>
        <w:rPr>
          <w:lang w:val="bg-BG"/>
        </w:rPr>
      </w:pPr>
      <w:r w:rsidRPr="00945ED6">
        <w:rPr>
          <w:lang w:val="bg-BG"/>
        </w:rPr>
        <w:t>(</w:t>
      </w:r>
      <w:r>
        <w:t>a</w:t>
      </w:r>
      <w:r w:rsidRPr="00945ED6">
        <w:rPr>
          <w:lang w:val="bg-BG"/>
        </w:rPr>
        <w:t>)</w:t>
      </w:r>
      <w:r>
        <w:t>  </w:t>
      </w:r>
      <w:r w:rsidR="00B4607E">
        <w:rPr>
          <w:lang w:val="bg-BG"/>
        </w:rPr>
        <w:t xml:space="preserve">кандидатът не е гражданин, който се ползва с пълни граждански права </w:t>
      </w:r>
      <w:r w:rsidR="005911E9" w:rsidRPr="00945ED6">
        <w:rPr>
          <w:lang w:val="bg-BG"/>
        </w:rPr>
        <w:t>(</w:t>
      </w:r>
      <w:r w:rsidR="00B4607E">
        <w:rPr>
          <w:lang w:val="bg-BG"/>
        </w:rPr>
        <w:t>вж</w:t>
      </w:r>
      <w:r w:rsidR="007E3F73">
        <w:rPr>
          <w:lang w:val="bg-BG"/>
        </w:rPr>
        <w:t>.</w:t>
      </w:r>
      <w:r w:rsidR="00B4607E">
        <w:rPr>
          <w:lang w:val="bg-BG"/>
        </w:rPr>
        <w:t xml:space="preserve"> </w:t>
      </w:r>
      <w:r w:rsidR="007E3F73">
        <w:rPr>
          <w:lang w:val="bg-BG"/>
        </w:rPr>
        <w:t>раздели</w:t>
      </w:r>
      <w:r w:rsidR="00B4607E" w:rsidRPr="00945ED6">
        <w:rPr>
          <w:lang w:val="bg-BG"/>
        </w:rPr>
        <w:t xml:space="preserve"> 4 и 5 по-горе</w:t>
      </w:r>
      <w:r w:rsidR="005911E9" w:rsidRPr="00945ED6">
        <w:rPr>
          <w:lang w:val="bg-BG"/>
        </w:rPr>
        <w:t>);</w:t>
      </w:r>
    </w:p>
    <w:p w:rsidR="005911E9" w:rsidRPr="00945ED6" w:rsidRDefault="005911E9" w:rsidP="006063C0">
      <w:pPr>
        <w:pStyle w:val="JuQuot"/>
        <w:ind w:left="600" w:hanging="33"/>
        <w:rPr>
          <w:lang w:val="bg-BG"/>
        </w:rPr>
      </w:pPr>
      <w:r w:rsidRPr="00945ED6">
        <w:rPr>
          <w:lang w:val="bg-BG"/>
        </w:rPr>
        <w:t>...</w:t>
      </w:r>
    </w:p>
    <w:p w:rsidR="006063C0" w:rsidRPr="00945ED6" w:rsidRDefault="006063C0" w:rsidP="005911E9">
      <w:pPr>
        <w:pStyle w:val="JuQuot"/>
        <w:rPr>
          <w:lang w:val="bg-BG"/>
        </w:rPr>
      </w:pPr>
      <w:r w:rsidRPr="00945ED6">
        <w:rPr>
          <w:lang w:val="bg-BG"/>
        </w:rPr>
        <w:t>(3)</w:t>
      </w:r>
      <w:r w:rsidR="005911E9" w:rsidRPr="00E17978">
        <w:t> </w:t>
      </w:r>
      <w:r>
        <w:t> </w:t>
      </w:r>
      <w:r w:rsidR="005B5C35" w:rsidRPr="00945ED6">
        <w:rPr>
          <w:lang w:val="bg-BG"/>
        </w:rPr>
        <w:t>... кандидат се и</w:t>
      </w:r>
      <w:r w:rsidR="00563384" w:rsidRPr="00945ED6">
        <w:rPr>
          <w:lang w:val="bg-BG"/>
        </w:rPr>
        <w:t>зважда от</w:t>
      </w:r>
      <w:r w:rsidR="00F64D3D" w:rsidRPr="00945ED6">
        <w:rPr>
          <w:lang w:val="bg-BG"/>
        </w:rPr>
        <w:t xml:space="preserve"> </w:t>
      </w:r>
      <w:r w:rsidR="00323A9D" w:rsidRPr="00945ED6">
        <w:rPr>
          <w:lang w:val="bg-BG"/>
        </w:rPr>
        <w:t>листата въз основа на удостоверение</w:t>
      </w:r>
      <w:r w:rsidR="009D3886" w:rsidRPr="00945ED6">
        <w:rPr>
          <w:lang w:val="bg-BG"/>
        </w:rPr>
        <w:t xml:space="preserve"> от компетентния</w:t>
      </w:r>
      <w:r w:rsidR="00F64D3D" w:rsidRPr="00945ED6">
        <w:rPr>
          <w:lang w:val="bg-BG"/>
        </w:rPr>
        <w:t xml:space="preserve"> орган или съдебно решение</w:t>
      </w:r>
      <w:r w:rsidR="00563384" w:rsidRPr="00945ED6">
        <w:rPr>
          <w:lang w:val="bg-BG"/>
        </w:rPr>
        <w:t>. Фактът, че кандидатът:</w:t>
      </w:r>
      <w:r w:rsidR="005911E9" w:rsidRPr="00945ED6">
        <w:rPr>
          <w:lang w:val="bg-BG"/>
        </w:rPr>
        <w:t xml:space="preserve"> </w:t>
      </w:r>
    </w:p>
    <w:p w:rsidR="005911E9" w:rsidRPr="00945ED6" w:rsidRDefault="005911E9" w:rsidP="005911E9">
      <w:pPr>
        <w:pStyle w:val="JuQuot"/>
        <w:rPr>
          <w:lang w:val="bg-BG"/>
        </w:rPr>
      </w:pPr>
      <w:r w:rsidRPr="00945ED6">
        <w:rPr>
          <w:lang w:val="bg-BG"/>
        </w:rPr>
        <w:t>...</w:t>
      </w:r>
    </w:p>
    <w:p w:rsidR="005911E9" w:rsidRPr="00945ED6" w:rsidRDefault="00563384" w:rsidP="005911E9">
      <w:pPr>
        <w:pStyle w:val="JuQuot"/>
        <w:rPr>
          <w:lang w:val="bg-BG"/>
        </w:rPr>
      </w:pPr>
      <w:r w:rsidRPr="00945ED6">
        <w:rPr>
          <w:lang w:val="bg-BG"/>
        </w:rPr>
        <w:t xml:space="preserve">6. </w:t>
      </w:r>
      <w:r>
        <w:rPr>
          <w:lang w:val="bg-BG"/>
        </w:rPr>
        <w:t>участва активно след 13 януари 1991 г. в КПСС (ЛКП), Международния фронт на работниците в Латвийска ССР, Обединения съвет на трудовите колективи, Организацията на военните ветерани и ветераните на труда или Латвийския комитет за обществено спасение, или в техните регионални комитети,</w:t>
      </w:r>
      <w:r w:rsidR="006563FC">
        <w:rPr>
          <w:lang w:val="bg-BG"/>
        </w:rPr>
        <w:t xml:space="preserve"> ще се удос</w:t>
      </w:r>
      <w:r w:rsidR="00CF6874">
        <w:rPr>
          <w:lang w:val="bg-BG"/>
        </w:rPr>
        <w:t>товерява с решение на компетентния</w:t>
      </w:r>
      <w:r w:rsidR="006563FC">
        <w:rPr>
          <w:lang w:val="bg-BG"/>
        </w:rPr>
        <w:t xml:space="preserve"> съд; </w:t>
      </w:r>
      <w:r w:rsidR="005911E9" w:rsidRPr="00945ED6">
        <w:rPr>
          <w:lang w:val="bg-BG"/>
        </w:rPr>
        <w:t>...</w:t>
      </w:r>
      <w:r w:rsidR="00430F4B">
        <w:rPr>
          <w:lang w:val="bg-BG"/>
        </w:rPr>
        <w:t>“</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59</w:t>
      </w:r>
      <w:r w:rsidRPr="00E17978">
        <w:fldChar w:fldCharType="end"/>
      </w:r>
      <w:r w:rsidR="005911E9" w:rsidRPr="00945ED6">
        <w:rPr>
          <w:lang w:val="bg-BG"/>
        </w:rPr>
        <w:t>.</w:t>
      </w:r>
      <w:r w:rsidR="005911E9" w:rsidRPr="00BB4F95">
        <w:rPr>
          <w:lang w:val="en-GB"/>
        </w:rPr>
        <w:t>  </w:t>
      </w:r>
      <w:r w:rsidR="006563FC">
        <w:rPr>
          <w:lang w:val="bg-BG"/>
        </w:rPr>
        <w:t xml:space="preserve">Законът за изборите за общински съветници и общински съвети от 13 януари 1994 г. </w:t>
      </w:r>
      <w:r w:rsidR="006563FC" w:rsidRPr="00945ED6">
        <w:rPr>
          <w:lang w:val="bg-BG"/>
        </w:rPr>
        <w:t>(</w:t>
      </w:r>
      <w:r w:rsidR="006563FC" w:rsidRPr="00BB4F95">
        <w:rPr>
          <w:i/>
          <w:iCs/>
          <w:lang w:val="en-GB"/>
        </w:rPr>
        <w:t>Pils</w:t>
      </w:r>
      <w:r w:rsidR="006563FC" w:rsidRPr="00945ED6">
        <w:rPr>
          <w:i/>
          <w:iCs/>
          <w:lang w:val="bg-BG"/>
        </w:rPr>
        <w:t>ē</w:t>
      </w:r>
      <w:r w:rsidR="006563FC" w:rsidRPr="00BB4F95">
        <w:rPr>
          <w:i/>
          <w:iCs/>
          <w:lang w:val="en-GB"/>
        </w:rPr>
        <w:t>tas</w:t>
      </w:r>
      <w:r w:rsidR="006563FC" w:rsidRPr="00945ED6">
        <w:rPr>
          <w:i/>
          <w:iCs/>
          <w:lang w:val="bg-BG"/>
        </w:rPr>
        <w:t xml:space="preserve"> </w:t>
      </w:r>
      <w:r w:rsidR="006563FC" w:rsidRPr="00BB4F95">
        <w:rPr>
          <w:i/>
          <w:iCs/>
          <w:lang w:val="en-GB"/>
        </w:rPr>
        <w:t>domes</w:t>
      </w:r>
      <w:r w:rsidR="006563FC" w:rsidRPr="00945ED6">
        <w:rPr>
          <w:i/>
          <w:iCs/>
          <w:lang w:val="bg-BG"/>
        </w:rPr>
        <w:t xml:space="preserve"> </w:t>
      </w:r>
      <w:r w:rsidR="006563FC" w:rsidRPr="00BB4F95">
        <w:rPr>
          <w:i/>
          <w:iCs/>
          <w:lang w:val="en-GB"/>
        </w:rPr>
        <w:t>un</w:t>
      </w:r>
      <w:r w:rsidR="006563FC" w:rsidRPr="00945ED6">
        <w:rPr>
          <w:i/>
          <w:iCs/>
          <w:lang w:val="bg-BG"/>
        </w:rPr>
        <w:t xml:space="preserve"> </w:t>
      </w:r>
      <w:r w:rsidR="006563FC" w:rsidRPr="00BB4F95">
        <w:rPr>
          <w:i/>
          <w:iCs/>
          <w:lang w:val="en-GB"/>
        </w:rPr>
        <w:t>pagasta</w:t>
      </w:r>
      <w:r w:rsidR="006563FC" w:rsidRPr="00945ED6">
        <w:rPr>
          <w:i/>
          <w:iCs/>
          <w:lang w:val="bg-BG"/>
        </w:rPr>
        <w:t xml:space="preserve"> </w:t>
      </w:r>
      <w:r w:rsidR="006563FC" w:rsidRPr="00BB4F95">
        <w:rPr>
          <w:i/>
          <w:iCs/>
          <w:lang w:val="en-GB"/>
        </w:rPr>
        <w:t>padomes</w:t>
      </w:r>
      <w:r w:rsidR="006563FC" w:rsidRPr="00945ED6">
        <w:rPr>
          <w:i/>
          <w:iCs/>
          <w:lang w:val="bg-BG"/>
        </w:rPr>
        <w:t xml:space="preserve"> </w:t>
      </w:r>
      <w:r w:rsidR="006563FC" w:rsidRPr="00BB4F95">
        <w:rPr>
          <w:i/>
          <w:iCs/>
          <w:lang w:val="en-GB"/>
        </w:rPr>
        <w:t>v</w:t>
      </w:r>
      <w:r w:rsidR="006563FC" w:rsidRPr="00945ED6">
        <w:rPr>
          <w:i/>
          <w:iCs/>
          <w:lang w:val="bg-BG"/>
        </w:rPr>
        <w:t>ē</w:t>
      </w:r>
      <w:r w:rsidR="006563FC" w:rsidRPr="00BB4F95">
        <w:rPr>
          <w:i/>
          <w:iCs/>
          <w:lang w:val="en-GB"/>
        </w:rPr>
        <w:t>l</w:t>
      </w:r>
      <w:r w:rsidR="006563FC" w:rsidRPr="00945ED6">
        <w:rPr>
          <w:i/>
          <w:iCs/>
          <w:lang w:val="bg-BG"/>
        </w:rPr>
        <w:t>ēš</w:t>
      </w:r>
      <w:r w:rsidR="006563FC" w:rsidRPr="00BB4F95">
        <w:rPr>
          <w:i/>
          <w:iCs/>
          <w:lang w:val="en-GB"/>
        </w:rPr>
        <w:t>anu</w:t>
      </w:r>
      <w:r w:rsidR="006563FC" w:rsidRPr="00945ED6">
        <w:rPr>
          <w:i/>
          <w:iCs/>
          <w:lang w:val="bg-BG"/>
        </w:rPr>
        <w:t xml:space="preserve"> </w:t>
      </w:r>
      <w:r w:rsidR="006563FC" w:rsidRPr="00BB4F95">
        <w:rPr>
          <w:i/>
          <w:iCs/>
          <w:lang w:val="en-GB"/>
        </w:rPr>
        <w:t>likums</w:t>
      </w:r>
      <w:r w:rsidR="006563FC" w:rsidRPr="00945ED6">
        <w:rPr>
          <w:lang w:val="bg-BG"/>
        </w:rPr>
        <w:t>)</w:t>
      </w:r>
      <w:r w:rsidR="006563FC">
        <w:rPr>
          <w:lang w:val="bg-BG"/>
        </w:rPr>
        <w:t xml:space="preserve"> съдържа разпоредби, подобни на разпоредбите в цитирания по-горе Закон за </w:t>
      </w:r>
      <w:r w:rsidR="009D3886">
        <w:rPr>
          <w:lang w:val="bg-BG"/>
        </w:rPr>
        <w:t>п</w:t>
      </w:r>
      <w:r w:rsidR="00A25B47">
        <w:rPr>
          <w:lang w:val="bg-BG"/>
        </w:rPr>
        <w:t>арламентарните</w:t>
      </w:r>
      <w:r w:rsidR="006563FC">
        <w:rPr>
          <w:lang w:val="bg-BG"/>
        </w:rPr>
        <w:t xml:space="preserve"> избори. </w:t>
      </w:r>
      <w:r w:rsidR="00F64D3D">
        <w:rPr>
          <w:lang w:val="bg-BG"/>
        </w:rPr>
        <w:t xml:space="preserve">Конкретно </w:t>
      </w:r>
      <w:r w:rsidR="002B2BE9">
        <w:rPr>
          <w:lang w:val="bg-BG"/>
        </w:rPr>
        <w:t>раздел</w:t>
      </w:r>
      <w:r w:rsidR="00F64D3D">
        <w:rPr>
          <w:lang w:val="bg-BG"/>
        </w:rPr>
        <w:t xml:space="preserve"> </w:t>
      </w:r>
      <w:r w:rsidR="00F64D3D" w:rsidRPr="00945ED6">
        <w:rPr>
          <w:lang w:val="bg-BG"/>
        </w:rPr>
        <w:t xml:space="preserve">9(5) </w:t>
      </w:r>
      <w:r w:rsidR="00F64D3D">
        <w:rPr>
          <w:lang w:val="bg-BG"/>
        </w:rPr>
        <w:t xml:space="preserve">е идентичен с </w:t>
      </w:r>
      <w:r w:rsidR="002B2BE9">
        <w:rPr>
          <w:lang w:val="bg-BG"/>
        </w:rPr>
        <w:t>раздел</w:t>
      </w:r>
      <w:r w:rsidR="00F64D3D">
        <w:rPr>
          <w:lang w:val="bg-BG"/>
        </w:rPr>
        <w:t xml:space="preserve"> </w:t>
      </w:r>
      <w:r w:rsidR="00F64D3D" w:rsidRPr="00945ED6">
        <w:rPr>
          <w:lang w:val="bg-BG"/>
        </w:rPr>
        <w:t>5(6)</w:t>
      </w:r>
      <w:r w:rsidR="00F64D3D">
        <w:rPr>
          <w:lang w:val="bg-BG"/>
        </w:rPr>
        <w:t xml:space="preserve"> от този закон.  </w:t>
      </w:r>
      <w:r w:rsidR="006563FC">
        <w:rPr>
          <w:lang w:val="bg-BG"/>
        </w:rPr>
        <w:t xml:space="preserve"> </w:t>
      </w:r>
    </w:p>
    <w:p w:rsidR="005911E9" w:rsidRPr="00945ED6" w:rsidRDefault="005911E9" w:rsidP="005911E9">
      <w:pPr>
        <w:pStyle w:val="JuH1"/>
        <w:rPr>
          <w:lang w:val="bg-BG"/>
        </w:rPr>
      </w:pPr>
      <w:r w:rsidRPr="00945ED6">
        <w:rPr>
          <w:lang w:val="bg-BG"/>
        </w:rPr>
        <w:lastRenderedPageBreak/>
        <w:t>2.</w:t>
      </w:r>
      <w:r w:rsidRPr="00E17978">
        <w:t>  </w:t>
      </w:r>
      <w:r w:rsidR="002B2BE9">
        <w:rPr>
          <w:lang w:val="bg-BG"/>
        </w:rPr>
        <w:t>Процедурни р</w:t>
      </w:r>
      <w:r w:rsidR="00F64D3D">
        <w:rPr>
          <w:lang w:val="bg-BG"/>
        </w:rPr>
        <w:t>азпоредби</w:t>
      </w:r>
      <w:r w:rsidR="008253FF">
        <w:rPr>
          <w:lang w:val="bg-BG"/>
        </w:rPr>
        <w:t xml:space="preserve">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60</w:t>
      </w:r>
      <w:r w:rsidRPr="00E17978">
        <w:fldChar w:fldCharType="end"/>
      </w:r>
      <w:r w:rsidR="005911E9" w:rsidRPr="00945ED6">
        <w:rPr>
          <w:lang w:val="bg-BG"/>
        </w:rPr>
        <w:t>.</w:t>
      </w:r>
      <w:r w:rsidR="005911E9" w:rsidRPr="00BB4F95">
        <w:rPr>
          <w:lang w:val="en-GB"/>
        </w:rPr>
        <w:t>  </w:t>
      </w:r>
      <w:r w:rsidR="00F64D3D">
        <w:rPr>
          <w:lang w:val="bg-BG"/>
        </w:rPr>
        <w:t>Процедурата по получаване на съ</w:t>
      </w:r>
      <w:r w:rsidR="00323A9D">
        <w:rPr>
          <w:lang w:val="bg-BG"/>
        </w:rPr>
        <w:t>дебн</w:t>
      </w:r>
      <w:r w:rsidR="00317DDA">
        <w:rPr>
          <w:lang w:val="bg-BG"/>
        </w:rPr>
        <w:t>а</w:t>
      </w:r>
      <w:r w:rsidR="00323A9D">
        <w:rPr>
          <w:lang w:val="bg-BG"/>
        </w:rPr>
        <w:t xml:space="preserve"> </w:t>
      </w:r>
      <w:r w:rsidR="00317DDA">
        <w:rPr>
          <w:lang w:val="bg-BG"/>
        </w:rPr>
        <w:t>декларация</w:t>
      </w:r>
      <w:r w:rsidR="009D3886">
        <w:rPr>
          <w:lang w:val="bg-BG"/>
        </w:rPr>
        <w:t>, ко</w:t>
      </w:r>
      <w:r w:rsidR="00317DDA">
        <w:rPr>
          <w:lang w:val="bg-BG"/>
        </w:rPr>
        <w:t>я</w:t>
      </w:r>
      <w:r w:rsidR="00F64D3D">
        <w:rPr>
          <w:lang w:val="bg-BG"/>
        </w:rPr>
        <w:t>то удостоверява участието или неучастието на лицето в горесп</w:t>
      </w:r>
      <w:r w:rsidR="009D3886">
        <w:rPr>
          <w:lang w:val="bg-BG"/>
        </w:rPr>
        <w:t>оменатите организации, е уредена</w:t>
      </w:r>
      <w:r w:rsidR="00F64D3D">
        <w:rPr>
          <w:lang w:val="bg-BG"/>
        </w:rPr>
        <w:t xml:space="preserve"> в глава </w:t>
      </w:r>
      <w:r w:rsidR="00F64D3D" w:rsidRPr="00945ED6">
        <w:rPr>
          <w:lang w:val="bg-BG"/>
        </w:rPr>
        <w:t>23-</w:t>
      </w:r>
      <w:r w:rsidR="00F64D3D" w:rsidRPr="00BB4F95">
        <w:rPr>
          <w:lang w:val="en-GB"/>
        </w:rPr>
        <w:t>A</w:t>
      </w:r>
      <w:r w:rsidR="00F64D3D">
        <w:rPr>
          <w:lang w:val="bg-BG"/>
        </w:rPr>
        <w:t xml:space="preserve"> от Гражданския процесуален кодекс </w:t>
      </w:r>
      <w:r w:rsidR="00F64D3D" w:rsidRPr="00945ED6">
        <w:rPr>
          <w:lang w:val="bg-BG"/>
        </w:rPr>
        <w:t>(</w:t>
      </w:r>
      <w:r w:rsidR="00F64D3D" w:rsidRPr="00BB4F95">
        <w:rPr>
          <w:i/>
          <w:iCs/>
          <w:lang w:val="en-GB"/>
        </w:rPr>
        <w:t>Civilprocesa</w:t>
      </w:r>
      <w:r w:rsidR="00F64D3D" w:rsidRPr="00945ED6">
        <w:rPr>
          <w:i/>
          <w:iCs/>
          <w:lang w:val="bg-BG"/>
        </w:rPr>
        <w:t xml:space="preserve"> </w:t>
      </w:r>
      <w:r w:rsidR="00F64D3D" w:rsidRPr="00BB4F95">
        <w:rPr>
          <w:i/>
          <w:iCs/>
          <w:lang w:val="en-GB"/>
        </w:rPr>
        <w:t>kodekss</w:t>
      </w:r>
      <w:r w:rsidR="00F64D3D" w:rsidRPr="00945ED6">
        <w:rPr>
          <w:lang w:val="bg-BG"/>
        </w:rPr>
        <w:t>)</w:t>
      </w:r>
      <w:r w:rsidR="00F64D3D">
        <w:rPr>
          <w:lang w:val="bg-BG"/>
        </w:rPr>
        <w:t xml:space="preserve">, въведена чрез закон от 3 септември 1998 г. и озаглавена „Разглеждане на дела, </w:t>
      </w:r>
      <w:r w:rsidR="00A408F1">
        <w:rPr>
          <w:lang w:val="bg-BG"/>
        </w:rPr>
        <w:t>касаещи удостоверяването на о</w:t>
      </w:r>
      <w:r w:rsidR="000220A4">
        <w:rPr>
          <w:lang w:val="bg-BG"/>
        </w:rPr>
        <w:t>граничаване на</w:t>
      </w:r>
      <w:r w:rsidR="00A408F1">
        <w:rPr>
          <w:lang w:val="bg-BG"/>
        </w:rPr>
        <w:t xml:space="preserve"> избирателните права</w:t>
      </w:r>
      <w:r w:rsidR="00317DDA">
        <w:rPr>
          <w:lang w:val="bg-BG"/>
        </w:rPr>
        <w:t>“</w:t>
      </w:r>
      <w:r w:rsidR="00A408F1">
        <w:rPr>
          <w:lang w:val="bg-BG"/>
        </w:rPr>
        <w:t>. Разпоредбите на тази глава гласят</w:t>
      </w:r>
      <w:r w:rsidR="00317DDA">
        <w:rPr>
          <w:lang w:val="bg-BG"/>
        </w:rPr>
        <w:t xml:space="preserve"> следното</w:t>
      </w:r>
      <w:r w:rsidR="00A408F1">
        <w:rPr>
          <w:lang w:val="bg-BG"/>
        </w:rPr>
        <w:t xml:space="preserve">:  </w:t>
      </w:r>
    </w:p>
    <w:p w:rsidR="005911E9" w:rsidRPr="00945ED6" w:rsidRDefault="00A408F1" w:rsidP="00B8206D">
      <w:pPr>
        <w:pStyle w:val="JuHArticle"/>
        <w:rPr>
          <w:lang w:val="bg-BG"/>
        </w:rPr>
      </w:pPr>
      <w:r w:rsidRPr="00945ED6">
        <w:rPr>
          <w:lang w:val="bg-BG"/>
        </w:rPr>
        <w:t>Чл</w:t>
      </w:r>
      <w:r w:rsidR="00317DDA">
        <w:rPr>
          <w:lang w:val="bg-BG"/>
        </w:rPr>
        <w:t>ен</w:t>
      </w:r>
      <w:r w:rsidR="005911E9" w:rsidRPr="00945ED6">
        <w:rPr>
          <w:lang w:val="bg-BG"/>
        </w:rPr>
        <w:t xml:space="preserve"> 233-1</w:t>
      </w:r>
    </w:p>
    <w:p w:rsidR="005911E9" w:rsidRPr="00945ED6" w:rsidRDefault="00317DDA" w:rsidP="005911E9">
      <w:pPr>
        <w:pStyle w:val="JuQuot"/>
        <w:rPr>
          <w:lang w:val="bg-BG"/>
        </w:rPr>
      </w:pPr>
      <w:r>
        <w:rPr>
          <w:lang w:val="bg-BG"/>
        </w:rPr>
        <w:t>„</w:t>
      </w:r>
      <w:r w:rsidR="009522EA">
        <w:rPr>
          <w:lang w:val="bg-BG"/>
        </w:rPr>
        <w:t>Иск</w:t>
      </w:r>
      <w:r w:rsidR="009D3886">
        <w:rPr>
          <w:lang w:val="bg-BG"/>
        </w:rPr>
        <w:t>ане</w:t>
      </w:r>
      <w:r w:rsidR="00A57129">
        <w:rPr>
          <w:lang w:val="bg-BG"/>
        </w:rPr>
        <w:t xml:space="preserve"> за изготвяне на удостоверение за</w:t>
      </w:r>
      <w:r w:rsidR="00A408F1">
        <w:rPr>
          <w:lang w:val="bg-BG"/>
        </w:rPr>
        <w:t xml:space="preserve"> ограничаване на избирателни</w:t>
      </w:r>
      <w:r w:rsidR="009D3886">
        <w:rPr>
          <w:lang w:val="bg-BG"/>
        </w:rPr>
        <w:t>те</w:t>
      </w:r>
      <w:r w:rsidR="00A408F1">
        <w:rPr>
          <w:lang w:val="bg-BG"/>
        </w:rPr>
        <w:t xml:space="preserve"> права може да се внесе от прокурора ... </w:t>
      </w:r>
    </w:p>
    <w:p w:rsidR="005911E9" w:rsidRPr="00945ED6" w:rsidRDefault="009D3886" w:rsidP="005911E9">
      <w:pPr>
        <w:pStyle w:val="JuQuot"/>
        <w:rPr>
          <w:lang w:val="bg-BG"/>
        </w:rPr>
      </w:pPr>
      <w:r>
        <w:rPr>
          <w:lang w:val="bg-BG"/>
        </w:rPr>
        <w:t>Искането</w:t>
      </w:r>
      <w:r w:rsidR="00A57129">
        <w:rPr>
          <w:lang w:val="bg-BG"/>
        </w:rPr>
        <w:t xml:space="preserve"> трябва да бъде внесен</w:t>
      </w:r>
      <w:r>
        <w:rPr>
          <w:lang w:val="bg-BG"/>
        </w:rPr>
        <w:t>о</w:t>
      </w:r>
      <w:r w:rsidR="00A408F1">
        <w:rPr>
          <w:lang w:val="bg-BG"/>
        </w:rPr>
        <w:t xml:space="preserve"> в съда, в чият</w:t>
      </w:r>
      <w:r w:rsidR="00323A9D">
        <w:rPr>
          <w:lang w:val="bg-BG"/>
        </w:rPr>
        <w:t>о териториална юрисдикция се намира домът на лицето, по отношение на което се иска удостоверение за ограничаване на избирателните права</w:t>
      </w:r>
      <w:r w:rsidR="005911E9" w:rsidRPr="00945ED6">
        <w:rPr>
          <w:lang w:val="bg-BG"/>
        </w:rPr>
        <w:t>.</w:t>
      </w:r>
    </w:p>
    <w:p w:rsidR="005911E9" w:rsidRPr="00945ED6" w:rsidRDefault="009D3886" w:rsidP="005911E9">
      <w:pPr>
        <w:pStyle w:val="JuQuot"/>
        <w:rPr>
          <w:lang w:val="bg-BG"/>
        </w:rPr>
      </w:pPr>
      <w:r>
        <w:rPr>
          <w:lang w:val="bg-BG"/>
        </w:rPr>
        <w:t>Искането</w:t>
      </w:r>
      <w:r w:rsidR="00A57129">
        <w:rPr>
          <w:lang w:val="bg-BG"/>
        </w:rPr>
        <w:t xml:space="preserve"> може да бъде внесен</w:t>
      </w:r>
      <w:r>
        <w:rPr>
          <w:lang w:val="bg-BG"/>
        </w:rPr>
        <w:t>о</w:t>
      </w:r>
      <w:r w:rsidR="00323A9D">
        <w:rPr>
          <w:lang w:val="bg-BG"/>
        </w:rPr>
        <w:t>, след като избирателната комисия е регистрирала кандидатска листа, включваща ... гражданин, за когото има доказателства, че след 13 януари 1991 г. е участвал акт</w:t>
      </w:r>
      <w:r w:rsidR="00A57129">
        <w:rPr>
          <w:lang w:val="bg-BG"/>
        </w:rPr>
        <w:t>ивно в КПСС (или ЛКП) ... Иск</w:t>
      </w:r>
      <w:r>
        <w:rPr>
          <w:lang w:val="bg-BG"/>
        </w:rPr>
        <w:t>ане</w:t>
      </w:r>
      <w:r w:rsidR="00323A9D">
        <w:rPr>
          <w:lang w:val="bg-BG"/>
        </w:rPr>
        <w:t>, кас</w:t>
      </w:r>
      <w:r w:rsidR="00A57129">
        <w:rPr>
          <w:lang w:val="bg-BG"/>
        </w:rPr>
        <w:t>аещ</w:t>
      </w:r>
      <w:r>
        <w:rPr>
          <w:lang w:val="bg-BG"/>
        </w:rPr>
        <w:t>о включено в кандидатска</w:t>
      </w:r>
      <w:r w:rsidR="00323A9D">
        <w:rPr>
          <w:lang w:val="bg-BG"/>
        </w:rPr>
        <w:t xml:space="preserve"> </w:t>
      </w:r>
      <w:r w:rsidR="00A57129">
        <w:rPr>
          <w:lang w:val="bg-BG"/>
        </w:rPr>
        <w:t>листа лице, може да бъде внесен</w:t>
      </w:r>
      <w:r>
        <w:rPr>
          <w:lang w:val="bg-BG"/>
        </w:rPr>
        <w:t>о</w:t>
      </w:r>
      <w:r w:rsidR="00323A9D">
        <w:rPr>
          <w:lang w:val="bg-BG"/>
        </w:rPr>
        <w:t xml:space="preserve"> и след провеждане на изборите. </w:t>
      </w:r>
    </w:p>
    <w:p w:rsidR="005911E9" w:rsidRPr="00945ED6" w:rsidRDefault="009D3886" w:rsidP="005911E9">
      <w:pPr>
        <w:pStyle w:val="JuQuot"/>
        <w:rPr>
          <w:lang w:val="bg-BG"/>
        </w:rPr>
      </w:pPr>
      <w:r>
        <w:rPr>
          <w:lang w:val="bg-BG"/>
        </w:rPr>
        <w:t>Искането</w:t>
      </w:r>
      <w:r w:rsidR="00A57129">
        <w:rPr>
          <w:lang w:val="bg-BG"/>
        </w:rPr>
        <w:t xml:space="preserve"> трябва да бъде придружен</w:t>
      </w:r>
      <w:r>
        <w:rPr>
          <w:lang w:val="bg-BG"/>
        </w:rPr>
        <w:t>о</w:t>
      </w:r>
      <w:r w:rsidR="00323A9D">
        <w:rPr>
          <w:lang w:val="bg-BG"/>
        </w:rPr>
        <w:t xml:space="preserve"> от декларация от изби</w:t>
      </w:r>
      <w:r w:rsidR="00A57129">
        <w:rPr>
          <w:lang w:val="bg-BG"/>
        </w:rPr>
        <w:t>рателната комисия, потвърждаваща</w:t>
      </w:r>
      <w:r w:rsidR="00323A9D">
        <w:rPr>
          <w:lang w:val="bg-BG"/>
        </w:rPr>
        <w:t xml:space="preserve">, че </w:t>
      </w:r>
      <w:r w:rsidR="00B37EC9">
        <w:rPr>
          <w:lang w:val="bg-BG"/>
        </w:rPr>
        <w:t>въпросното лице се е кандидатирало на изборите и че въпросната листа е регистрирана, както и от доказателства, потв</w:t>
      </w:r>
      <w:r w:rsidR="00A57129">
        <w:rPr>
          <w:lang w:val="bg-BG"/>
        </w:rPr>
        <w:t>ърждаващи твърденията в иска</w:t>
      </w:r>
      <w:r>
        <w:rPr>
          <w:lang w:val="bg-BG"/>
        </w:rPr>
        <w:t>нето</w:t>
      </w:r>
      <w:r w:rsidR="00B37EC9">
        <w:rPr>
          <w:lang w:val="bg-BG"/>
        </w:rPr>
        <w:t>.</w:t>
      </w:r>
      <w:r w:rsidR="00317DDA">
        <w:rPr>
          <w:lang w:val="bg-BG"/>
        </w:rPr>
        <w:t>“</w:t>
      </w:r>
      <w:r w:rsidR="00B37EC9">
        <w:rPr>
          <w:lang w:val="bg-BG"/>
        </w:rPr>
        <w:t xml:space="preserve"> </w:t>
      </w:r>
    </w:p>
    <w:p w:rsidR="005911E9" w:rsidRPr="00945ED6" w:rsidRDefault="00B37EC9" w:rsidP="00B8206D">
      <w:pPr>
        <w:pStyle w:val="JuHArticle"/>
        <w:rPr>
          <w:lang w:val="bg-BG"/>
        </w:rPr>
      </w:pPr>
      <w:r w:rsidRPr="00945ED6">
        <w:rPr>
          <w:lang w:val="bg-BG"/>
        </w:rPr>
        <w:t>Чл</w:t>
      </w:r>
      <w:r w:rsidR="00317DDA">
        <w:rPr>
          <w:lang w:val="bg-BG"/>
        </w:rPr>
        <w:t>ен</w:t>
      </w:r>
      <w:r w:rsidR="005911E9" w:rsidRPr="00945ED6">
        <w:rPr>
          <w:lang w:val="bg-BG"/>
        </w:rPr>
        <w:t xml:space="preserve"> 233-3</w:t>
      </w:r>
    </w:p>
    <w:p w:rsidR="005911E9" w:rsidRPr="00945ED6" w:rsidRDefault="00111EE4" w:rsidP="005911E9">
      <w:pPr>
        <w:pStyle w:val="JuQuot"/>
        <w:rPr>
          <w:lang w:val="bg-BG"/>
        </w:rPr>
      </w:pPr>
      <w:r>
        <w:rPr>
          <w:lang w:val="bg-BG"/>
        </w:rPr>
        <w:t>„</w:t>
      </w:r>
      <w:r w:rsidR="00A57129">
        <w:rPr>
          <w:lang w:val="bg-BG"/>
        </w:rPr>
        <w:t>След като разгледа иска</w:t>
      </w:r>
      <w:r w:rsidR="009D3886">
        <w:rPr>
          <w:lang w:val="bg-BG"/>
        </w:rPr>
        <w:t>нето</w:t>
      </w:r>
      <w:r w:rsidR="00385E4F">
        <w:rPr>
          <w:lang w:val="bg-BG"/>
        </w:rPr>
        <w:t>, съдът произнася</w:t>
      </w:r>
      <w:r w:rsidR="00B37EC9">
        <w:rPr>
          <w:lang w:val="bg-BG"/>
        </w:rPr>
        <w:t xml:space="preserve"> решение: </w:t>
      </w:r>
    </w:p>
    <w:p w:rsidR="005911E9" w:rsidRPr="00945ED6" w:rsidRDefault="00414E81" w:rsidP="005911E9">
      <w:pPr>
        <w:pStyle w:val="JuQuot"/>
        <w:rPr>
          <w:lang w:val="bg-BG"/>
        </w:rPr>
      </w:pPr>
      <w:r w:rsidRPr="00945ED6">
        <w:rPr>
          <w:lang w:val="bg-BG"/>
        </w:rPr>
        <w:t>(1)</w:t>
      </w:r>
      <w:r>
        <w:t>  </w:t>
      </w:r>
      <w:r w:rsidR="00385E4F">
        <w:rPr>
          <w:lang w:val="bg-BG"/>
        </w:rPr>
        <w:t>в което се заключава</w:t>
      </w:r>
      <w:r w:rsidR="00B37EC9">
        <w:rPr>
          <w:lang w:val="bg-BG"/>
        </w:rPr>
        <w:t>, че след 13 януари 1991 г. въпросното лице е участвало активно в КПСС (</w:t>
      </w:r>
      <w:r w:rsidR="00111EE4">
        <w:rPr>
          <w:lang w:val="bg-BG"/>
        </w:rPr>
        <w:t>в</w:t>
      </w:r>
      <w:r w:rsidR="00B37EC9">
        <w:rPr>
          <w:lang w:val="bg-BG"/>
        </w:rPr>
        <w:t xml:space="preserve"> ЛКП) </w:t>
      </w:r>
      <w:r w:rsidR="005911E9" w:rsidRPr="00945ED6">
        <w:rPr>
          <w:lang w:val="bg-BG"/>
        </w:rPr>
        <w:t>...;</w:t>
      </w:r>
    </w:p>
    <w:p w:rsidR="005911E9" w:rsidRPr="00945ED6" w:rsidRDefault="00414E81" w:rsidP="005911E9">
      <w:pPr>
        <w:pStyle w:val="JuQuot"/>
        <w:rPr>
          <w:lang w:val="bg-BG"/>
        </w:rPr>
      </w:pPr>
      <w:r w:rsidRPr="00945ED6">
        <w:rPr>
          <w:lang w:val="bg-BG"/>
        </w:rPr>
        <w:t>(2)</w:t>
      </w:r>
      <w:r>
        <w:t>  </w:t>
      </w:r>
      <w:r w:rsidR="00A57129">
        <w:rPr>
          <w:lang w:val="bg-BG"/>
        </w:rPr>
        <w:t>което обявява иска</w:t>
      </w:r>
      <w:r w:rsidR="009D3886">
        <w:rPr>
          <w:lang w:val="bg-BG"/>
        </w:rPr>
        <w:t>нето за неоснователно</w:t>
      </w:r>
      <w:r w:rsidR="00B37EC9">
        <w:rPr>
          <w:lang w:val="bg-BG"/>
        </w:rPr>
        <w:t xml:space="preserve"> и го отхвърля </w:t>
      </w:r>
      <w:r w:rsidR="005911E9" w:rsidRPr="00945ED6">
        <w:rPr>
          <w:lang w:val="bg-BG"/>
        </w:rPr>
        <w:t>...</w:t>
      </w:r>
      <w:r w:rsidR="00111EE4">
        <w:rPr>
          <w:lang w:val="bg-BG"/>
        </w:rPr>
        <w:t>“</w:t>
      </w:r>
    </w:p>
    <w:p w:rsidR="005911E9" w:rsidRPr="00945ED6" w:rsidRDefault="00385E4F" w:rsidP="005911E9">
      <w:pPr>
        <w:pStyle w:val="JuHA"/>
        <w:rPr>
          <w:lang w:val="bg-BG"/>
        </w:rPr>
      </w:pPr>
      <w:r>
        <w:rPr>
          <w:lang w:val="bg-BG"/>
        </w:rPr>
        <w:t>Г</w:t>
      </w:r>
      <w:r w:rsidR="005911E9" w:rsidRPr="00945ED6">
        <w:rPr>
          <w:lang w:val="bg-BG"/>
        </w:rPr>
        <w:t>.</w:t>
      </w:r>
      <w:r w:rsidR="005911E9" w:rsidRPr="00E17978">
        <w:t>  </w:t>
      </w:r>
      <w:r w:rsidR="001A2CC7">
        <w:rPr>
          <w:lang w:val="bg-BG"/>
        </w:rPr>
        <w:t xml:space="preserve">Предложения за отмяна на спорните ограничения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61</w:t>
      </w:r>
      <w:r w:rsidRPr="00E17978">
        <w:fldChar w:fldCharType="end"/>
      </w:r>
      <w:r w:rsidR="005911E9" w:rsidRPr="00945ED6">
        <w:rPr>
          <w:lang w:val="bg-BG"/>
        </w:rPr>
        <w:t>.</w:t>
      </w:r>
      <w:r w:rsidR="005911E9" w:rsidRPr="00BB4F95">
        <w:rPr>
          <w:lang w:val="en-GB"/>
        </w:rPr>
        <w:t>  </w:t>
      </w:r>
      <w:r w:rsidR="001A2CC7" w:rsidRPr="00FA4A8D">
        <w:rPr>
          <w:lang w:val="bg-BG"/>
        </w:rPr>
        <w:t xml:space="preserve">Законът за </w:t>
      </w:r>
      <w:r w:rsidR="009D3886" w:rsidRPr="00FA4A8D">
        <w:rPr>
          <w:lang w:val="bg-BG"/>
        </w:rPr>
        <w:t>п</w:t>
      </w:r>
      <w:r w:rsidR="00A25B47" w:rsidRPr="00FA4A8D">
        <w:rPr>
          <w:lang w:val="bg-BG"/>
        </w:rPr>
        <w:t>арламентарните</w:t>
      </w:r>
      <w:r w:rsidR="001A2CC7" w:rsidRPr="00FA4A8D">
        <w:rPr>
          <w:lang w:val="bg-BG"/>
        </w:rPr>
        <w:t xml:space="preserve"> избори е приет на 25 май 1995 г. от първия парламент, избран след възстановяването на не</w:t>
      </w:r>
      <w:r w:rsidR="009D3886" w:rsidRPr="00FA4A8D">
        <w:rPr>
          <w:lang w:val="bg-BG"/>
        </w:rPr>
        <w:t xml:space="preserve">зависимостта на Латвия, </w:t>
      </w:r>
      <w:r w:rsidR="001A2CC7" w:rsidRPr="00FA4A8D">
        <w:rPr>
          <w:lang w:val="bg-BG"/>
        </w:rPr>
        <w:t>изв</w:t>
      </w:r>
      <w:r w:rsidR="00385E4F" w:rsidRPr="00FA4A8D">
        <w:rPr>
          <w:lang w:val="bg-BG"/>
        </w:rPr>
        <w:t xml:space="preserve">естен </w:t>
      </w:r>
      <w:r w:rsidR="00385E4F" w:rsidRPr="00C51877">
        <w:rPr>
          <w:lang w:val="bg-BG"/>
        </w:rPr>
        <w:t>като „Пета</w:t>
      </w:r>
      <w:r w:rsidR="00EE1019" w:rsidRPr="00C51877">
        <w:rPr>
          <w:lang w:val="bg-BG"/>
        </w:rPr>
        <w:t xml:space="preserve"> законодател</w:t>
      </w:r>
      <w:r w:rsidR="00385E4F" w:rsidRPr="00C51877">
        <w:rPr>
          <w:lang w:val="bg-BG"/>
        </w:rPr>
        <w:t>на власт</w:t>
      </w:r>
      <w:r w:rsidR="00F67CDC" w:rsidRPr="00C51877">
        <w:rPr>
          <w:lang w:val="bg-BG"/>
        </w:rPr>
        <w:t>”</w:t>
      </w:r>
      <w:r w:rsidR="001A2CC7" w:rsidRPr="00C51877">
        <w:rPr>
          <w:lang w:val="bg-BG"/>
        </w:rPr>
        <w:t xml:space="preserve"> (първите </w:t>
      </w:r>
      <w:r w:rsidR="00385E4F" w:rsidRPr="00C51877">
        <w:rPr>
          <w:lang w:val="bg-BG"/>
        </w:rPr>
        <w:t>четири законодателни власти управляват</w:t>
      </w:r>
      <w:r w:rsidR="001A2CC7" w:rsidRPr="00C51877">
        <w:rPr>
          <w:lang w:val="bg-BG"/>
        </w:rPr>
        <w:t xml:space="preserve"> межд</w:t>
      </w:r>
      <w:r w:rsidR="00385E4F" w:rsidRPr="00C51877">
        <w:rPr>
          <w:lang w:val="bg-BG"/>
        </w:rPr>
        <w:t>у 1922 г. и 1934 г.). Следващата законодателна власт</w:t>
      </w:r>
      <w:r w:rsidR="00EE1019" w:rsidRPr="00C51877">
        <w:rPr>
          <w:lang w:val="bg-BG"/>
        </w:rPr>
        <w:t xml:space="preserve"> (</w:t>
      </w:r>
      <w:r w:rsidR="00385E4F" w:rsidRPr="00C51877">
        <w:rPr>
          <w:lang w:val="bg-BG"/>
        </w:rPr>
        <w:t>Шеста</w:t>
      </w:r>
      <w:r w:rsidR="00EE1019" w:rsidRPr="00C51877">
        <w:rPr>
          <w:lang w:val="bg-BG"/>
        </w:rPr>
        <w:t xml:space="preserve">), </w:t>
      </w:r>
      <w:r w:rsidR="00385E4F" w:rsidRPr="00C51877">
        <w:rPr>
          <w:lang w:val="bg-BG"/>
        </w:rPr>
        <w:t xml:space="preserve">която е </w:t>
      </w:r>
      <w:r w:rsidR="00EE1019" w:rsidRPr="00C51877">
        <w:rPr>
          <w:lang w:val="bg-BG"/>
        </w:rPr>
        <w:t>избран</w:t>
      </w:r>
      <w:r w:rsidR="00385E4F" w:rsidRPr="00C51877">
        <w:rPr>
          <w:lang w:val="bg-BG"/>
        </w:rPr>
        <w:t>а</w:t>
      </w:r>
      <w:r w:rsidR="001A2CC7" w:rsidRPr="00C51877">
        <w:rPr>
          <w:lang w:val="bg-BG"/>
        </w:rPr>
        <w:t xml:space="preserve"> през октомври 1995 г., разглежда три различни </w:t>
      </w:r>
      <w:r w:rsidR="009D3886" w:rsidRPr="00C51877">
        <w:rPr>
          <w:lang w:val="bg-BG"/>
        </w:rPr>
        <w:t>предложения, целящи отмяна на</w:t>
      </w:r>
      <w:r w:rsidR="001A2CC7" w:rsidRPr="00C51877">
        <w:rPr>
          <w:lang w:val="bg-BG"/>
        </w:rPr>
        <w:t xml:space="preserve"> </w:t>
      </w:r>
      <w:r w:rsidR="00046EE6">
        <w:rPr>
          <w:lang w:val="bg-BG"/>
        </w:rPr>
        <w:t>раздел</w:t>
      </w:r>
      <w:r w:rsidR="00385E4F" w:rsidRPr="00C51877">
        <w:rPr>
          <w:lang w:val="bg-BG"/>
        </w:rPr>
        <w:t xml:space="preserve"> 5(6) от гореспоменатия закон.</w:t>
      </w:r>
      <w:r w:rsidR="00046EE6">
        <w:rPr>
          <w:lang w:val="bg-BG"/>
        </w:rPr>
        <w:t xml:space="preserve"> </w:t>
      </w:r>
      <w:r w:rsidR="007D6C43" w:rsidRPr="00C51877">
        <w:rPr>
          <w:lang w:val="bg-BG"/>
        </w:rPr>
        <w:t>На пленарна</w:t>
      </w:r>
      <w:r w:rsidR="00046EE6">
        <w:rPr>
          <w:lang w:val="bg-BG"/>
        </w:rPr>
        <w:t>та</w:t>
      </w:r>
      <w:r w:rsidR="006540DE" w:rsidRPr="00C51877">
        <w:rPr>
          <w:lang w:val="bg-BG"/>
        </w:rPr>
        <w:t xml:space="preserve"> сесия </w:t>
      </w:r>
      <w:r w:rsidR="00046EE6">
        <w:rPr>
          <w:lang w:val="bg-BG"/>
        </w:rPr>
        <w:t>на</w:t>
      </w:r>
      <w:r w:rsidR="00046EE6" w:rsidRPr="00C51877">
        <w:rPr>
          <w:lang w:val="bg-BG"/>
        </w:rPr>
        <w:t xml:space="preserve"> </w:t>
      </w:r>
      <w:r w:rsidR="006540DE" w:rsidRPr="00C51877">
        <w:rPr>
          <w:lang w:val="bg-BG"/>
        </w:rPr>
        <w:t>9 октомври 1997 г. трите пр</w:t>
      </w:r>
      <w:r w:rsidR="00385E4F" w:rsidRPr="00C51877">
        <w:rPr>
          <w:lang w:val="bg-BG"/>
        </w:rPr>
        <w:t>едложения са отхвърлени с голямо мнозинство</w:t>
      </w:r>
      <w:r w:rsidR="006540DE" w:rsidRPr="00C51877">
        <w:rPr>
          <w:lang w:val="bg-BG"/>
        </w:rPr>
        <w:t xml:space="preserve"> след дълги дебати. По същия начин на 18 декември 1997 г., по време на дебат относно предложение за ог</w:t>
      </w:r>
      <w:r w:rsidR="007D6C43" w:rsidRPr="00C51877">
        <w:rPr>
          <w:lang w:val="bg-BG"/>
        </w:rPr>
        <w:t xml:space="preserve">раничаване на </w:t>
      </w:r>
      <w:r w:rsidR="00046EE6">
        <w:rPr>
          <w:lang w:val="bg-BG"/>
        </w:rPr>
        <w:t>раздел</w:t>
      </w:r>
      <w:r w:rsidR="007D6C43" w:rsidRPr="00C51877">
        <w:rPr>
          <w:lang w:val="bg-BG"/>
        </w:rPr>
        <w:t xml:space="preserve"> 5(6), настоящата</w:t>
      </w:r>
      <w:r w:rsidR="006540DE" w:rsidRPr="00C51877">
        <w:rPr>
          <w:lang w:val="bg-BG"/>
        </w:rPr>
        <w:t xml:space="preserve"> формулировка на разп</w:t>
      </w:r>
      <w:r w:rsidR="00EE1019" w:rsidRPr="00C51877">
        <w:rPr>
          <w:lang w:val="bg-BG"/>
        </w:rPr>
        <w:t xml:space="preserve">оредбите е потвърдена. </w:t>
      </w:r>
      <w:r w:rsidR="00385E4F" w:rsidRPr="00C51877">
        <w:rPr>
          <w:lang w:val="bg-BG"/>
        </w:rPr>
        <w:t>Следващата</w:t>
      </w:r>
      <w:r w:rsidR="007D6C43" w:rsidRPr="00C51877">
        <w:rPr>
          <w:lang w:val="bg-BG"/>
        </w:rPr>
        <w:t xml:space="preserve"> законодател</w:t>
      </w:r>
      <w:r w:rsidR="00385E4F" w:rsidRPr="00C51877">
        <w:rPr>
          <w:lang w:val="bg-BG"/>
        </w:rPr>
        <w:t xml:space="preserve">на власт </w:t>
      </w:r>
      <w:r w:rsidR="00385E4F" w:rsidRPr="00C51877">
        <w:rPr>
          <w:lang w:val="bg-BG"/>
        </w:rPr>
        <w:lastRenderedPageBreak/>
        <w:t>(Седма</w:t>
      </w:r>
      <w:r w:rsidR="007D6C43" w:rsidRPr="00C51877">
        <w:rPr>
          <w:lang w:val="bg-BG"/>
        </w:rPr>
        <w:t>), избран</w:t>
      </w:r>
      <w:r w:rsidR="00943C73" w:rsidRPr="00C51877">
        <w:rPr>
          <w:lang w:val="bg-BG"/>
        </w:rPr>
        <w:t>а</w:t>
      </w:r>
      <w:r w:rsidR="00385E4F" w:rsidRPr="00C51877">
        <w:rPr>
          <w:lang w:val="bg-BG"/>
        </w:rPr>
        <w:t>,</w:t>
      </w:r>
      <w:r w:rsidR="006540DE" w:rsidRPr="00C51877">
        <w:rPr>
          <w:lang w:val="bg-BG"/>
        </w:rPr>
        <w:t xml:space="preserve"> през октомври 1998 г</w:t>
      </w:r>
      <w:r w:rsidR="007D6C43" w:rsidRPr="00C51877">
        <w:rPr>
          <w:lang w:val="bg-BG"/>
        </w:rPr>
        <w:t>.,</w:t>
      </w:r>
      <w:r w:rsidR="006540DE" w:rsidRPr="00C51877">
        <w:rPr>
          <w:lang w:val="bg-BG"/>
        </w:rPr>
        <w:t xml:space="preserve"> разглежда предложение за отмяна на </w:t>
      </w:r>
      <w:r w:rsidR="00046EE6">
        <w:rPr>
          <w:lang w:val="bg-BG"/>
        </w:rPr>
        <w:t>раздел</w:t>
      </w:r>
      <w:r w:rsidR="006540DE" w:rsidRPr="00C51877">
        <w:rPr>
          <w:lang w:val="bg-BG"/>
        </w:rPr>
        <w:t xml:space="preserve"> 5(6) на пленарна сесия </w:t>
      </w:r>
      <w:r w:rsidR="00046EE6">
        <w:rPr>
          <w:lang w:val="bg-BG"/>
        </w:rPr>
        <w:t>на</w:t>
      </w:r>
      <w:r w:rsidR="00046EE6" w:rsidRPr="00C51877">
        <w:rPr>
          <w:lang w:val="bg-BG"/>
        </w:rPr>
        <w:t xml:space="preserve"> </w:t>
      </w:r>
      <w:r w:rsidR="006540DE" w:rsidRPr="00C51877">
        <w:rPr>
          <w:lang w:val="bg-BG"/>
        </w:rPr>
        <w:t>16 май 2002 г. След дълги дискусии</w:t>
      </w:r>
      <w:r w:rsidR="00BB1466" w:rsidRPr="00C51877">
        <w:rPr>
          <w:lang w:val="bg-BG"/>
        </w:rPr>
        <w:t xml:space="preserve"> по-</w:t>
      </w:r>
      <w:r w:rsidR="00BB1466">
        <w:rPr>
          <w:lang w:val="bg-BG"/>
        </w:rPr>
        <w:t>голямата част</w:t>
      </w:r>
      <w:r w:rsidR="00385E4F">
        <w:rPr>
          <w:lang w:val="bg-BG"/>
        </w:rPr>
        <w:t xml:space="preserve"> от</w:t>
      </w:r>
      <w:r w:rsidR="00292AFA">
        <w:rPr>
          <w:lang w:val="bg-BG"/>
        </w:rPr>
        <w:t xml:space="preserve"> членове</w:t>
      </w:r>
      <w:r w:rsidR="00385E4F">
        <w:rPr>
          <w:lang w:val="bg-BG"/>
        </w:rPr>
        <w:t>те</w:t>
      </w:r>
      <w:r w:rsidR="00292AFA">
        <w:rPr>
          <w:lang w:val="bg-BG"/>
        </w:rPr>
        <w:t xml:space="preserve"> на </w:t>
      </w:r>
      <w:r w:rsidR="00A25B47">
        <w:rPr>
          <w:lang w:val="bg-BG"/>
        </w:rPr>
        <w:t>Парламента</w:t>
      </w:r>
      <w:r w:rsidR="00292AFA">
        <w:rPr>
          <w:lang w:val="bg-BG"/>
        </w:rPr>
        <w:t xml:space="preserve"> отказват да пр</w:t>
      </w:r>
      <w:r w:rsidR="00EE1019">
        <w:rPr>
          <w:lang w:val="bg-BG"/>
        </w:rPr>
        <w:t>иемат предлож</w:t>
      </w:r>
      <w:r w:rsidR="007D6C43">
        <w:rPr>
          <w:lang w:val="bg-BG"/>
        </w:rPr>
        <w:t>ението</w:t>
      </w:r>
      <w:r w:rsidR="007D6C43" w:rsidRPr="00BB1466">
        <w:rPr>
          <w:lang w:val="bg-BG"/>
        </w:rPr>
        <w:t xml:space="preserve">. </w:t>
      </w:r>
      <w:r w:rsidR="00BB1466" w:rsidRPr="00BB1466">
        <w:rPr>
          <w:lang w:val="bg-BG"/>
        </w:rPr>
        <w:t>И накрая,</w:t>
      </w:r>
      <w:r w:rsidR="007D6C43" w:rsidRPr="00BB1466">
        <w:rPr>
          <w:lang w:val="bg-BG"/>
        </w:rPr>
        <w:t xml:space="preserve"> подобно предложение е разгледано на 15 януари 2004 г. от</w:t>
      </w:r>
      <w:r w:rsidR="00BB1466" w:rsidRPr="00BB1466">
        <w:rPr>
          <w:lang w:val="bg-BG"/>
        </w:rPr>
        <w:t xml:space="preserve"> Осмата законодателна власт</w:t>
      </w:r>
      <w:r w:rsidR="00EE1019" w:rsidRPr="00BB1466">
        <w:rPr>
          <w:lang w:val="bg-BG"/>
        </w:rPr>
        <w:t>, избран</w:t>
      </w:r>
      <w:r w:rsidR="00BB1466" w:rsidRPr="00BB1466">
        <w:rPr>
          <w:lang w:val="bg-BG"/>
        </w:rPr>
        <w:t>а</w:t>
      </w:r>
      <w:r w:rsidR="00292AFA" w:rsidRPr="00BB1466">
        <w:rPr>
          <w:lang w:val="bg-BG"/>
        </w:rPr>
        <w:t xml:space="preserve"> през окт</w:t>
      </w:r>
      <w:r w:rsidR="007D6C43" w:rsidRPr="00BB1466">
        <w:rPr>
          <w:lang w:val="bg-BG"/>
        </w:rPr>
        <w:t>омври 2002 г</w:t>
      </w:r>
      <w:r w:rsidR="00BB1466" w:rsidRPr="00BB1466">
        <w:rPr>
          <w:lang w:val="bg-BG"/>
        </w:rPr>
        <w:t>. Предложението</w:t>
      </w:r>
      <w:r w:rsidR="00292AFA" w:rsidRPr="00BB1466">
        <w:rPr>
          <w:lang w:val="bg-BG"/>
        </w:rPr>
        <w:t xml:space="preserve"> </w:t>
      </w:r>
      <w:r w:rsidR="00CE3CB0">
        <w:rPr>
          <w:lang w:val="bg-BG"/>
        </w:rPr>
        <w:t>отново</w:t>
      </w:r>
      <w:r w:rsidR="00CE3CB0" w:rsidRPr="00BB1466">
        <w:rPr>
          <w:lang w:val="bg-BG"/>
        </w:rPr>
        <w:t xml:space="preserve"> </w:t>
      </w:r>
      <w:r w:rsidR="00292AFA" w:rsidRPr="00BB1466">
        <w:rPr>
          <w:lang w:val="bg-BG"/>
        </w:rPr>
        <w:t>е отхвърлено.</w:t>
      </w:r>
      <w:r w:rsidR="00292AFA">
        <w:rPr>
          <w:lang w:val="bg-BG"/>
        </w:rPr>
        <w:t xml:space="preserve"> </w:t>
      </w:r>
    </w:p>
    <w:p w:rsidR="005911E9" w:rsidRPr="00945ED6" w:rsidRDefault="00BB1466" w:rsidP="005911E9">
      <w:pPr>
        <w:pStyle w:val="JuHA"/>
        <w:rPr>
          <w:lang w:val="bg-BG"/>
        </w:rPr>
      </w:pPr>
      <w:r>
        <w:rPr>
          <w:lang w:val="bg-BG"/>
        </w:rPr>
        <w:t>Д</w:t>
      </w:r>
      <w:r w:rsidR="005A5ED0" w:rsidRPr="00945ED6">
        <w:rPr>
          <w:lang w:val="bg-BG"/>
        </w:rPr>
        <w:t>.</w:t>
      </w:r>
      <w:r w:rsidR="005A5ED0">
        <w:t>  </w:t>
      </w:r>
      <w:r w:rsidR="00292AFA">
        <w:rPr>
          <w:lang w:val="bg-BG"/>
        </w:rPr>
        <w:t>Решение</w:t>
      </w:r>
      <w:r w:rsidR="00CE3CB0">
        <w:rPr>
          <w:lang w:val="bg-BG"/>
        </w:rPr>
        <w:t>то</w:t>
      </w:r>
      <w:r w:rsidR="00292AFA">
        <w:rPr>
          <w:lang w:val="bg-BG"/>
        </w:rPr>
        <w:t xml:space="preserve"> на Конституционния съд от 30 август 2000 г. </w:t>
      </w:r>
    </w:p>
    <w:p w:rsidR="005911E9" w:rsidRPr="00FA4A8D"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62</w:t>
      </w:r>
      <w:r w:rsidRPr="00E17978">
        <w:fldChar w:fldCharType="end"/>
      </w:r>
      <w:r w:rsidR="005911E9" w:rsidRPr="00945ED6">
        <w:rPr>
          <w:lang w:val="bg-BG"/>
        </w:rPr>
        <w:t>.</w:t>
      </w:r>
      <w:r w:rsidR="005911E9" w:rsidRPr="00BB4F95">
        <w:rPr>
          <w:lang w:val="en-GB"/>
        </w:rPr>
        <w:t>  </w:t>
      </w:r>
      <w:r w:rsidR="00292AFA">
        <w:rPr>
          <w:lang w:val="bg-BG"/>
        </w:rPr>
        <w:t xml:space="preserve">С решение от 30 август 2000 г. по дело </w:t>
      </w:r>
      <w:r w:rsidR="00292AFA" w:rsidRPr="00292AFA">
        <w:rPr>
          <w:lang w:val="bg-BG"/>
        </w:rPr>
        <w:t>№</w:t>
      </w:r>
      <w:r w:rsidR="00292AFA">
        <w:rPr>
          <w:i/>
          <w:lang w:val="bg-BG"/>
        </w:rPr>
        <w:t xml:space="preserve"> </w:t>
      </w:r>
      <w:r w:rsidR="00292AFA" w:rsidRPr="00945ED6">
        <w:rPr>
          <w:lang w:val="bg-BG"/>
        </w:rPr>
        <w:t>2000-03-01</w:t>
      </w:r>
      <w:r w:rsidR="00292AFA">
        <w:rPr>
          <w:lang w:val="bg-BG"/>
        </w:rPr>
        <w:t xml:space="preserve"> Конституционният съд </w:t>
      </w:r>
      <w:r w:rsidR="00292AFA" w:rsidRPr="00945ED6">
        <w:rPr>
          <w:lang w:val="bg-BG"/>
        </w:rPr>
        <w:t>(</w:t>
      </w:r>
      <w:r w:rsidR="00292AFA" w:rsidRPr="00BB4F95">
        <w:rPr>
          <w:i/>
          <w:iCs/>
          <w:lang w:val="en-GB"/>
        </w:rPr>
        <w:t>Satversmes</w:t>
      </w:r>
      <w:r w:rsidR="00292AFA" w:rsidRPr="00945ED6">
        <w:rPr>
          <w:i/>
          <w:iCs/>
          <w:lang w:val="bg-BG"/>
        </w:rPr>
        <w:t xml:space="preserve"> </w:t>
      </w:r>
      <w:r w:rsidR="00292AFA" w:rsidRPr="00BB4F95">
        <w:rPr>
          <w:i/>
          <w:iCs/>
          <w:lang w:val="en-GB"/>
        </w:rPr>
        <w:t>tiesa</w:t>
      </w:r>
      <w:r w:rsidR="00292AFA" w:rsidRPr="00945ED6">
        <w:rPr>
          <w:lang w:val="bg-BG"/>
        </w:rPr>
        <w:t>)</w:t>
      </w:r>
      <w:r w:rsidR="00292AFA">
        <w:rPr>
          <w:lang w:val="bg-BG"/>
        </w:rPr>
        <w:t xml:space="preserve"> намира ограниченията, наложени от </w:t>
      </w:r>
      <w:r w:rsidR="00CE3CB0">
        <w:rPr>
          <w:lang w:val="bg-BG"/>
        </w:rPr>
        <w:t>раздел</w:t>
      </w:r>
      <w:r w:rsidR="00292AFA">
        <w:rPr>
          <w:lang w:val="bg-BG"/>
        </w:rPr>
        <w:t xml:space="preserve"> 5(6</w:t>
      </w:r>
      <w:r w:rsidR="00292AFA" w:rsidRPr="00FA4A8D">
        <w:rPr>
          <w:lang w:val="bg-BG"/>
        </w:rPr>
        <w:t xml:space="preserve">) от Закона за </w:t>
      </w:r>
      <w:r w:rsidR="00BB1466" w:rsidRPr="00FA4A8D">
        <w:rPr>
          <w:lang w:val="bg-BG"/>
        </w:rPr>
        <w:t>п</w:t>
      </w:r>
      <w:r w:rsidR="00A25B47" w:rsidRPr="00FA4A8D">
        <w:rPr>
          <w:lang w:val="bg-BG"/>
        </w:rPr>
        <w:t>арламентарните</w:t>
      </w:r>
      <w:r w:rsidR="00292AFA" w:rsidRPr="00FA4A8D">
        <w:rPr>
          <w:lang w:val="bg-BG"/>
        </w:rPr>
        <w:t xml:space="preserve"> избори и </w:t>
      </w:r>
      <w:r w:rsidR="00CE3CB0">
        <w:rPr>
          <w:lang w:val="bg-BG"/>
        </w:rPr>
        <w:t>раздел</w:t>
      </w:r>
      <w:r w:rsidR="00292AFA" w:rsidRPr="00FA4A8D">
        <w:rPr>
          <w:lang w:val="bg-BG"/>
        </w:rPr>
        <w:t xml:space="preserve"> 9(5) от Закона за общинските избори, за съвместими с Конституцията на Латвия и</w:t>
      </w:r>
      <w:r w:rsidR="00BB1466" w:rsidRPr="00FA4A8D">
        <w:rPr>
          <w:lang w:val="bg-BG"/>
        </w:rPr>
        <w:t xml:space="preserve"> с чл</w:t>
      </w:r>
      <w:r w:rsidR="00CE3CB0">
        <w:rPr>
          <w:lang w:val="bg-BG"/>
        </w:rPr>
        <w:t>ен</w:t>
      </w:r>
      <w:r w:rsidR="00BB1466" w:rsidRPr="00FA4A8D">
        <w:rPr>
          <w:lang w:val="bg-BG"/>
        </w:rPr>
        <w:t xml:space="preserve"> 14 от Конвенцията във връзка с</w:t>
      </w:r>
      <w:r w:rsidR="00292AFA" w:rsidRPr="00FA4A8D">
        <w:rPr>
          <w:lang w:val="bg-BG"/>
        </w:rPr>
        <w:t xml:space="preserve"> чл</w:t>
      </w:r>
      <w:r w:rsidR="00CE3CB0">
        <w:rPr>
          <w:lang w:val="bg-BG"/>
        </w:rPr>
        <w:t>ен</w:t>
      </w:r>
      <w:r w:rsidR="00292AFA" w:rsidRPr="00FA4A8D">
        <w:rPr>
          <w:lang w:val="bg-BG"/>
        </w:rPr>
        <w:t xml:space="preserve"> 3 от</w:t>
      </w:r>
      <w:r w:rsidR="00BB1466" w:rsidRPr="00FA4A8D">
        <w:rPr>
          <w:lang w:val="bg-BG"/>
        </w:rPr>
        <w:t xml:space="preserve"> П</w:t>
      </w:r>
      <w:r w:rsidR="00292AFA" w:rsidRPr="00FA4A8D">
        <w:rPr>
          <w:lang w:val="bg-BG"/>
        </w:rPr>
        <w:t xml:space="preserve">ротокол № 1.   </w:t>
      </w:r>
    </w:p>
    <w:p w:rsidR="005911E9" w:rsidRPr="00945ED6" w:rsidRDefault="00292AFA" w:rsidP="00B8206D">
      <w:pPr>
        <w:pStyle w:val="JuPara"/>
        <w:rPr>
          <w:lang w:val="bg-BG"/>
        </w:rPr>
      </w:pPr>
      <w:r w:rsidRPr="00FA4A8D">
        <w:rPr>
          <w:lang w:val="bg-BG"/>
        </w:rPr>
        <w:t>С това решение, прието с четири на три гл</w:t>
      </w:r>
      <w:r w:rsidR="007D6C43" w:rsidRPr="00FA4A8D">
        <w:rPr>
          <w:lang w:val="bg-BG"/>
        </w:rPr>
        <w:t>аса, Конституционният съд пoтвърждава</w:t>
      </w:r>
      <w:r w:rsidR="00D226B7" w:rsidRPr="00FA4A8D">
        <w:rPr>
          <w:lang w:val="bg-BG"/>
        </w:rPr>
        <w:t xml:space="preserve"> основните</w:t>
      </w:r>
      <w:r w:rsidRPr="00FA4A8D">
        <w:rPr>
          <w:lang w:val="bg-BG"/>
        </w:rPr>
        <w:t xml:space="preserve"> принципи, заложени в</w:t>
      </w:r>
      <w:r w:rsidR="00D226B7" w:rsidRPr="00FA4A8D">
        <w:rPr>
          <w:lang w:val="bg-BG"/>
        </w:rPr>
        <w:t xml:space="preserve"> </w:t>
      </w:r>
      <w:r w:rsidR="00FD4185" w:rsidRPr="00FA4A8D">
        <w:rPr>
          <w:lang w:val="bg-BG"/>
        </w:rPr>
        <w:t xml:space="preserve">установената </w:t>
      </w:r>
      <w:r w:rsidR="00D226B7" w:rsidRPr="00FA4A8D">
        <w:rPr>
          <w:lang w:val="bg-BG"/>
        </w:rPr>
        <w:t>практика на органит</w:t>
      </w:r>
      <w:r w:rsidR="00D116BF" w:rsidRPr="00FA4A8D">
        <w:rPr>
          <w:lang w:val="bg-BG"/>
        </w:rPr>
        <w:t>е на Кон</w:t>
      </w:r>
      <w:r w:rsidR="00BB1466" w:rsidRPr="00FA4A8D">
        <w:rPr>
          <w:lang w:val="bg-BG"/>
        </w:rPr>
        <w:t>венцията при прилагането</w:t>
      </w:r>
      <w:r w:rsidR="00D226B7" w:rsidRPr="00FA4A8D">
        <w:rPr>
          <w:lang w:val="bg-BG"/>
        </w:rPr>
        <w:t xml:space="preserve"> на чл</w:t>
      </w:r>
      <w:r w:rsidR="00E3309A">
        <w:rPr>
          <w:lang w:val="bg-BG"/>
        </w:rPr>
        <w:t>ен</w:t>
      </w:r>
      <w:r w:rsidR="00BB1466" w:rsidRPr="00FA4A8D">
        <w:rPr>
          <w:lang w:val="bg-BG"/>
        </w:rPr>
        <w:t xml:space="preserve"> 14 от Конвенцията и чл</w:t>
      </w:r>
      <w:r w:rsidR="00E3309A">
        <w:rPr>
          <w:lang w:val="bg-BG"/>
        </w:rPr>
        <w:t>ен</w:t>
      </w:r>
      <w:r w:rsidR="00BB1466" w:rsidRPr="00FA4A8D">
        <w:rPr>
          <w:lang w:val="bg-BG"/>
        </w:rPr>
        <w:t xml:space="preserve"> 3 от П</w:t>
      </w:r>
      <w:r w:rsidR="00D226B7" w:rsidRPr="00FA4A8D">
        <w:rPr>
          <w:lang w:val="bg-BG"/>
        </w:rPr>
        <w:t xml:space="preserve">ротокол № 1. </w:t>
      </w:r>
      <w:r w:rsidR="009522EA" w:rsidRPr="00FA4A8D">
        <w:rPr>
          <w:lang w:val="bg-BG"/>
        </w:rPr>
        <w:t>С</w:t>
      </w:r>
      <w:r w:rsidR="00FD4185" w:rsidRPr="00FA4A8D">
        <w:rPr>
          <w:lang w:val="bg-BG"/>
        </w:rPr>
        <w:t>ъдът</w:t>
      </w:r>
      <w:r w:rsidR="00D226B7" w:rsidRPr="00FA4A8D">
        <w:rPr>
          <w:lang w:val="bg-BG"/>
        </w:rPr>
        <w:t xml:space="preserve"> приема</w:t>
      </w:r>
      <w:r w:rsidR="007D6C43" w:rsidRPr="00FA4A8D">
        <w:rPr>
          <w:lang w:val="bg-BG"/>
        </w:rPr>
        <w:t xml:space="preserve"> още</w:t>
      </w:r>
      <w:r w:rsidR="00D226B7" w:rsidRPr="00FA4A8D">
        <w:rPr>
          <w:lang w:val="bg-BG"/>
        </w:rPr>
        <w:t>:</w:t>
      </w:r>
      <w:r w:rsidR="00D226B7">
        <w:rPr>
          <w:lang w:val="bg-BG"/>
        </w:rPr>
        <w:t xml:space="preserve"> </w:t>
      </w:r>
      <w:r>
        <w:rPr>
          <w:lang w:val="bg-BG"/>
        </w:rPr>
        <w:t xml:space="preserve"> </w:t>
      </w:r>
    </w:p>
    <w:p w:rsidR="005911E9" w:rsidRPr="005E7C46" w:rsidRDefault="00E3309A" w:rsidP="005911E9">
      <w:pPr>
        <w:pStyle w:val="JuQuot"/>
        <w:rPr>
          <w:lang w:val="bg-BG"/>
        </w:rPr>
      </w:pPr>
      <w:r>
        <w:rPr>
          <w:lang w:val="bg-BG"/>
        </w:rPr>
        <w:t>„</w:t>
      </w:r>
      <w:r w:rsidR="00FD4185" w:rsidRPr="00945ED6">
        <w:rPr>
          <w:lang w:val="bg-BG"/>
        </w:rPr>
        <w:t xml:space="preserve">4. </w:t>
      </w:r>
      <w:r w:rsidR="00FD4185">
        <w:rPr>
          <w:lang w:val="bg-BG"/>
        </w:rPr>
        <w:t>Аргументът, че оспорв</w:t>
      </w:r>
      <w:r w:rsidR="00402D86">
        <w:rPr>
          <w:lang w:val="bg-BG"/>
        </w:rPr>
        <w:t>аните разпоредби, недопускащи</w:t>
      </w:r>
      <w:r w:rsidR="00FD4185">
        <w:rPr>
          <w:lang w:val="bg-BG"/>
        </w:rPr>
        <w:t xml:space="preserve"> определени латвийски граждани да се кандидатират или да бъдат избирани за членове на </w:t>
      </w:r>
      <w:r w:rsidR="00604A71">
        <w:rPr>
          <w:lang w:val="bg-BG"/>
        </w:rPr>
        <w:t>п</w:t>
      </w:r>
      <w:r w:rsidR="00A25B47">
        <w:rPr>
          <w:lang w:val="bg-BG"/>
        </w:rPr>
        <w:t>арламента</w:t>
      </w:r>
      <w:r w:rsidR="00FD4185">
        <w:rPr>
          <w:lang w:val="bg-BG"/>
        </w:rPr>
        <w:t xml:space="preserve"> и на общи</w:t>
      </w:r>
      <w:r w:rsidR="00BB1466">
        <w:rPr>
          <w:lang w:val="bg-BG"/>
        </w:rPr>
        <w:t>нските съвети и ги дискриминират</w:t>
      </w:r>
      <w:r w:rsidR="00FD4185">
        <w:rPr>
          <w:lang w:val="bg-BG"/>
        </w:rPr>
        <w:t xml:space="preserve"> въз основа на тяхната политическа принадлежност, е без основание ...</w:t>
      </w:r>
      <w:r w:rsidR="00FD4185" w:rsidRPr="00945ED6">
        <w:rPr>
          <w:lang w:val="bg-BG"/>
        </w:rPr>
        <w:t xml:space="preserve"> </w:t>
      </w:r>
      <w:r w:rsidR="00FD4185">
        <w:rPr>
          <w:lang w:val="bg-BG"/>
        </w:rPr>
        <w:t xml:space="preserve">Оспорваните разпоредби не предвиждат разлика в третирането на лицата въз основа на политическите им убеждения (мнения), а ограничават </w:t>
      </w:r>
      <w:r w:rsidR="00FD4185" w:rsidRPr="005E7C46">
        <w:rPr>
          <w:lang w:val="bg-BG"/>
        </w:rPr>
        <w:t xml:space="preserve">пасивните им избирателни права заради това, че са </w:t>
      </w:r>
      <w:r w:rsidR="0005348F" w:rsidRPr="005E7C46">
        <w:rPr>
          <w:lang w:val="bg-BG"/>
        </w:rPr>
        <w:t xml:space="preserve">действали срещу възстановения демократичен ред след 13 януари 1991 г. ... </w:t>
      </w:r>
    </w:p>
    <w:p w:rsidR="005911E9" w:rsidRPr="005E7C46" w:rsidRDefault="00B121F8" w:rsidP="005911E9">
      <w:pPr>
        <w:pStyle w:val="JuQuot"/>
        <w:rPr>
          <w:lang w:val="bg-BG"/>
        </w:rPr>
      </w:pPr>
      <w:r w:rsidRPr="005E7C46">
        <w:rPr>
          <w:lang w:val="bg-BG"/>
        </w:rPr>
        <w:t>Съответно</w:t>
      </w:r>
      <w:r w:rsidR="0005348F" w:rsidRPr="005E7C46">
        <w:rPr>
          <w:lang w:val="bg-BG"/>
        </w:rPr>
        <w:t xml:space="preserve"> </w:t>
      </w:r>
      <w:r w:rsidR="00604A71">
        <w:rPr>
          <w:lang w:val="bg-BG"/>
        </w:rPr>
        <w:t>п</w:t>
      </w:r>
      <w:r w:rsidR="00A25B47" w:rsidRPr="005E7C46">
        <w:rPr>
          <w:lang w:val="bg-BG"/>
        </w:rPr>
        <w:t>арламентът</w:t>
      </w:r>
      <w:r w:rsidR="0005348F" w:rsidRPr="005E7C46">
        <w:rPr>
          <w:lang w:val="bg-BG"/>
        </w:rPr>
        <w:t xml:space="preserve"> </w:t>
      </w:r>
      <w:r w:rsidR="00BB5293" w:rsidRPr="005E7C46">
        <w:rPr>
          <w:lang w:val="bg-BG"/>
        </w:rPr>
        <w:t xml:space="preserve">лимитира ограниченията до </w:t>
      </w:r>
      <w:r w:rsidR="007D6C43" w:rsidRPr="005E7C46">
        <w:rPr>
          <w:lang w:val="bg-BG"/>
        </w:rPr>
        <w:t>степен</w:t>
      </w:r>
      <w:r w:rsidR="00694EEB" w:rsidRPr="005E7C46">
        <w:rPr>
          <w:lang w:val="bg-BG"/>
        </w:rPr>
        <w:t xml:space="preserve"> на лична отговорност</w:t>
      </w:r>
      <w:r w:rsidR="00BB5293" w:rsidRPr="005E7C46">
        <w:rPr>
          <w:lang w:val="bg-BG"/>
        </w:rPr>
        <w:t xml:space="preserve"> [</w:t>
      </w:r>
      <w:r w:rsidR="00BB5293" w:rsidRPr="005E7C46">
        <w:rPr>
          <w:i/>
          <w:iCs/>
        </w:rPr>
        <w:t>individu</w:t>
      </w:r>
      <w:r w:rsidR="00BB5293" w:rsidRPr="005E7C46">
        <w:rPr>
          <w:i/>
          <w:iCs/>
          <w:lang w:val="bg-BG"/>
        </w:rPr>
        <w:t>ā</w:t>
      </w:r>
      <w:r w:rsidR="00BB5293" w:rsidRPr="005E7C46">
        <w:rPr>
          <w:i/>
          <w:iCs/>
        </w:rPr>
        <w:t>l</w:t>
      </w:r>
      <w:r w:rsidR="00BB5293" w:rsidRPr="005E7C46">
        <w:rPr>
          <w:i/>
          <w:iCs/>
          <w:lang w:val="bg-BG"/>
        </w:rPr>
        <w:t>ā</w:t>
      </w:r>
      <w:r w:rsidR="00BB5293" w:rsidRPr="005E7C46">
        <w:rPr>
          <w:i/>
          <w:iCs/>
        </w:rPr>
        <w:t>s</w:t>
      </w:r>
      <w:r w:rsidR="00BB5293" w:rsidRPr="005E7C46">
        <w:rPr>
          <w:i/>
          <w:iCs/>
          <w:lang w:val="bg-BG"/>
        </w:rPr>
        <w:t xml:space="preserve"> </w:t>
      </w:r>
      <w:r w:rsidR="00BB5293" w:rsidRPr="005E7C46">
        <w:rPr>
          <w:i/>
          <w:iCs/>
        </w:rPr>
        <w:t>atbild</w:t>
      </w:r>
      <w:r w:rsidR="00BB5293" w:rsidRPr="005E7C46">
        <w:rPr>
          <w:i/>
          <w:iCs/>
          <w:lang w:val="bg-BG"/>
        </w:rPr>
        <w:t>ī</w:t>
      </w:r>
      <w:r w:rsidR="00BB5293" w:rsidRPr="005E7C46">
        <w:rPr>
          <w:i/>
          <w:iCs/>
        </w:rPr>
        <w:t>bas</w:t>
      </w:r>
      <w:r w:rsidR="00BB5293" w:rsidRPr="005E7C46">
        <w:rPr>
          <w:i/>
          <w:iCs/>
          <w:lang w:val="bg-BG"/>
        </w:rPr>
        <w:t xml:space="preserve"> </w:t>
      </w:r>
      <w:r w:rsidR="00BB5293" w:rsidRPr="005E7C46">
        <w:rPr>
          <w:i/>
          <w:iCs/>
        </w:rPr>
        <w:t>pak</w:t>
      </w:r>
      <w:r w:rsidR="00BB5293" w:rsidRPr="005E7C46">
        <w:rPr>
          <w:i/>
          <w:iCs/>
          <w:lang w:val="bg-BG"/>
        </w:rPr>
        <w:t>ā</w:t>
      </w:r>
      <w:r w:rsidR="00BB5293" w:rsidRPr="005E7C46">
        <w:rPr>
          <w:i/>
          <w:iCs/>
        </w:rPr>
        <w:t>pe</w:t>
      </w:r>
      <w:r w:rsidR="00BB5293" w:rsidRPr="005E7C46">
        <w:rPr>
          <w:lang w:val="bg-BG"/>
        </w:rPr>
        <w:t xml:space="preserve">] </w:t>
      </w:r>
      <w:r w:rsidR="00694EEB" w:rsidRPr="005E7C46">
        <w:rPr>
          <w:lang w:val="bg-BG"/>
        </w:rPr>
        <w:t xml:space="preserve">на всеки индивид </w:t>
      </w:r>
      <w:r w:rsidR="00BB5293" w:rsidRPr="005E7C46">
        <w:rPr>
          <w:lang w:val="bg-BG"/>
        </w:rPr>
        <w:t>в осъществяванет</w:t>
      </w:r>
      <w:r w:rsidR="00694EEB" w:rsidRPr="005E7C46">
        <w:rPr>
          <w:lang w:val="bg-BG"/>
        </w:rPr>
        <w:t>о на целите и програмите на гореспоменатите</w:t>
      </w:r>
      <w:r w:rsidR="00BB5293" w:rsidRPr="005E7C46">
        <w:rPr>
          <w:lang w:val="bg-BG"/>
        </w:rPr>
        <w:t xml:space="preserve"> организации, като ограничението на правото да бъде избиран за член на </w:t>
      </w:r>
      <w:r w:rsidR="00604A71">
        <w:rPr>
          <w:lang w:val="bg-BG"/>
        </w:rPr>
        <w:t>п</w:t>
      </w:r>
      <w:r w:rsidR="00A25B47" w:rsidRPr="005E7C46">
        <w:rPr>
          <w:lang w:val="bg-BG"/>
        </w:rPr>
        <w:t>арламента</w:t>
      </w:r>
      <w:r w:rsidR="00BB5293" w:rsidRPr="005E7C46">
        <w:rPr>
          <w:lang w:val="bg-BG"/>
        </w:rPr>
        <w:t xml:space="preserve"> или на общински съвет</w:t>
      </w:r>
      <w:r w:rsidRPr="005E7C46">
        <w:rPr>
          <w:lang w:val="bg-BG"/>
        </w:rPr>
        <w:t xml:space="preserve"> ... е свързано с конкретните</w:t>
      </w:r>
      <w:r w:rsidR="00BB5293" w:rsidRPr="005E7C46">
        <w:rPr>
          <w:lang w:val="bg-BG"/>
        </w:rPr>
        <w:t xml:space="preserve"> дейности на индивида в съответните ... сдружения. </w:t>
      </w:r>
    </w:p>
    <w:p w:rsidR="005911E9" w:rsidRPr="00945ED6" w:rsidRDefault="00694EEB" w:rsidP="005911E9">
      <w:pPr>
        <w:pStyle w:val="JuQuot"/>
        <w:rPr>
          <w:lang w:val="bg-BG"/>
        </w:rPr>
      </w:pPr>
      <w:r w:rsidRPr="005E7C46">
        <w:rPr>
          <w:lang w:val="bg-BG"/>
        </w:rPr>
        <w:t>Само по себе си формалното членство в гореспоменатите органи</w:t>
      </w:r>
      <w:r w:rsidR="007D6C43" w:rsidRPr="005E7C46">
        <w:rPr>
          <w:lang w:val="bg-BG"/>
        </w:rPr>
        <w:t>зации не може да служи като основание за недопускане</w:t>
      </w:r>
      <w:r w:rsidR="00B121F8" w:rsidRPr="005E7C46">
        <w:rPr>
          <w:lang w:val="bg-BG"/>
        </w:rPr>
        <w:t xml:space="preserve"> на дадено лице</w:t>
      </w:r>
      <w:r w:rsidRPr="005E7C46">
        <w:rPr>
          <w:lang w:val="bg-BG"/>
        </w:rPr>
        <w:t xml:space="preserve"> да се</w:t>
      </w:r>
      <w:r>
        <w:rPr>
          <w:lang w:val="bg-BG"/>
        </w:rPr>
        <w:t xml:space="preserve"> кандидатира или да бъде избиран</w:t>
      </w:r>
      <w:r w:rsidR="00B121F8">
        <w:rPr>
          <w:lang w:val="bg-BG"/>
        </w:rPr>
        <w:t>о</w:t>
      </w:r>
      <w:r>
        <w:rPr>
          <w:lang w:val="bg-BG"/>
        </w:rPr>
        <w:t xml:space="preserve"> за </w:t>
      </w:r>
      <w:r w:rsidR="00402D86">
        <w:rPr>
          <w:lang w:val="bg-BG"/>
        </w:rPr>
        <w:t xml:space="preserve">член на </w:t>
      </w:r>
      <w:r w:rsidR="00604A71">
        <w:rPr>
          <w:lang w:val="bg-BG"/>
        </w:rPr>
        <w:t>п</w:t>
      </w:r>
      <w:r w:rsidR="00A25B47">
        <w:rPr>
          <w:lang w:val="bg-BG"/>
        </w:rPr>
        <w:t>арламента</w:t>
      </w:r>
      <w:r>
        <w:rPr>
          <w:lang w:val="bg-BG"/>
        </w:rPr>
        <w:t xml:space="preserve"> ... </w:t>
      </w:r>
    </w:p>
    <w:p w:rsidR="005911E9" w:rsidRPr="00945ED6" w:rsidRDefault="00694EEB" w:rsidP="005911E9">
      <w:pPr>
        <w:pStyle w:val="JuQuot"/>
        <w:rPr>
          <w:lang w:val="bg-BG"/>
        </w:rPr>
      </w:pPr>
      <w:r>
        <w:rPr>
          <w:lang w:val="bg-BG"/>
        </w:rPr>
        <w:t xml:space="preserve">Следователно оспорваните разпоредби </w:t>
      </w:r>
      <w:r w:rsidR="00A25B47">
        <w:rPr>
          <w:lang w:val="bg-BG"/>
        </w:rPr>
        <w:t>са насочени само срещу</w:t>
      </w:r>
      <w:r w:rsidR="008D1BB4">
        <w:rPr>
          <w:lang w:val="bg-BG"/>
        </w:rPr>
        <w:t xml:space="preserve"> онези, които след 13 януари 1991 г. и в присъствието на окупационната армия са се опитвали да възстановят предишния режим чрез активно участие </w:t>
      </w:r>
      <w:r w:rsidR="008D1BB4" w:rsidRPr="00945ED6">
        <w:rPr>
          <w:lang w:val="bg-BG"/>
        </w:rPr>
        <w:t>[</w:t>
      </w:r>
      <w:r w:rsidR="008D1BB4" w:rsidRPr="00E17978">
        <w:rPr>
          <w:i/>
          <w:iCs/>
        </w:rPr>
        <w:t>ar</w:t>
      </w:r>
      <w:r w:rsidR="008D1BB4" w:rsidRPr="00945ED6">
        <w:rPr>
          <w:i/>
          <w:iCs/>
          <w:lang w:val="bg-BG"/>
        </w:rPr>
        <w:t xml:space="preserve"> </w:t>
      </w:r>
      <w:r w:rsidR="008D1BB4" w:rsidRPr="00E17978">
        <w:rPr>
          <w:i/>
          <w:iCs/>
        </w:rPr>
        <w:t>akt</w:t>
      </w:r>
      <w:r w:rsidR="008D1BB4" w:rsidRPr="00945ED6">
        <w:rPr>
          <w:i/>
          <w:iCs/>
          <w:lang w:val="bg-BG"/>
        </w:rPr>
        <w:t>ī</w:t>
      </w:r>
      <w:r w:rsidR="008D1BB4" w:rsidRPr="00E17978">
        <w:rPr>
          <w:i/>
          <w:iCs/>
        </w:rPr>
        <w:t>vu</w:t>
      </w:r>
      <w:r w:rsidR="008D1BB4" w:rsidRPr="00945ED6">
        <w:rPr>
          <w:i/>
          <w:iCs/>
          <w:lang w:val="bg-BG"/>
        </w:rPr>
        <w:t xml:space="preserve"> </w:t>
      </w:r>
      <w:r w:rsidR="008D1BB4" w:rsidRPr="00E17978">
        <w:rPr>
          <w:i/>
          <w:iCs/>
        </w:rPr>
        <w:t>darb</w:t>
      </w:r>
      <w:r w:rsidR="008D1BB4" w:rsidRPr="00945ED6">
        <w:rPr>
          <w:i/>
          <w:iCs/>
          <w:lang w:val="bg-BG"/>
        </w:rPr>
        <w:t>ī</w:t>
      </w:r>
      <w:r w:rsidR="008D1BB4" w:rsidRPr="00E17978">
        <w:rPr>
          <w:i/>
          <w:iCs/>
        </w:rPr>
        <w:t>bu</w:t>
      </w:r>
      <w:r w:rsidR="008D1BB4" w:rsidRPr="00945ED6">
        <w:rPr>
          <w:lang w:val="bg-BG"/>
        </w:rPr>
        <w:t>]</w:t>
      </w:r>
      <w:r w:rsidR="00402D86">
        <w:rPr>
          <w:lang w:val="bg-BG"/>
        </w:rPr>
        <w:t xml:space="preserve">; </w:t>
      </w:r>
      <w:r w:rsidR="008D1BB4">
        <w:rPr>
          <w:lang w:val="bg-BG"/>
        </w:rPr>
        <w:t>разпоредбите не засягат лица</w:t>
      </w:r>
      <w:r w:rsidR="002E3EF5">
        <w:rPr>
          <w:lang w:val="bg-BG"/>
        </w:rPr>
        <w:t xml:space="preserve"> с различни</w:t>
      </w:r>
      <w:r w:rsidR="008D1BB4">
        <w:rPr>
          <w:lang w:val="bg-BG"/>
        </w:rPr>
        <w:t xml:space="preserve"> политически убеждения (</w:t>
      </w:r>
      <w:r w:rsidR="002E3EF5">
        <w:rPr>
          <w:lang w:val="bg-BG"/>
        </w:rPr>
        <w:t>възгледи</w:t>
      </w:r>
      <w:r w:rsidR="00402D86">
        <w:rPr>
          <w:lang w:val="bg-BG"/>
        </w:rPr>
        <w:t xml:space="preserve">). Това че някои съдилища </w:t>
      </w:r>
      <w:r w:rsidR="008D1BB4">
        <w:rPr>
          <w:lang w:val="bg-BG"/>
        </w:rPr>
        <w:t xml:space="preserve">се концентрират единствено върху установяването на факта, свързан с формалното членство, без да </w:t>
      </w:r>
      <w:r w:rsidR="004F33D5">
        <w:rPr>
          <w:lang w:val="bg-BG"/>
        </w:rPr>
        <w:t>оценява</w:t>
      </w:r>
      <w:r w:rsidR="002E3EF5">
        <w:rPr>
          <w:lang w:val="bg-BG"/>
        </w:rPr>
        <w:t>т</w:t>
      </w:r>
      <w:r w:rsidR="004F33D5">
        <w:rPr>
          <w:lang w:val="bg-BG"/>
        </w:rPr>
        <w:t xml:space="preserve"> дейността </w:t>
      </w:r>
      <w:r w:rsidR="008D1BB4">
        <w:rPr>
          <w:lang w:val="bg-BG"/>
        </w:rPr>
        <w:t>на лицето, противоречи на цел</w:t>
      </w:r>
      <w:r w:rsidR="00650895">
        <w:rPr>
          <w:lang w:val="bg-BG"/>
        </w:rPr>
        <w:t>ите,</w:t>
      </w:r>
      <w:r w:rsidR="00402D86">
        <w:rPr>
          <w:lang w:val="bg-BG"/>
        </w:rPr>
        <w:t xml:space="preserve"> които </w:t>
      </w:r>
      <w:r w:rsidR="002E3EF5">
        <w:rPr>
          <w:lang w:val="bg-BG"/>
        </w:rPr>
        <w:t>поставя п</w:t>
      </w:r>
      <w:r w:rsidR="00402D86">
        <w:rPr>
          <w:lang w:val="bg-BG"/>
        </w:rPr>
        <w:t>арламентът с</w:t>
      </w:r>
      <w:r w:rsidR="00650895">
        <w:rPr>
          <w:lang w:val="bg-BG"/>
        </w:rPr>
        <w:t xml:space="preserve"> въвежда</w:t>
      </w:r>
      <w:r w:rsidR="00402D86">
        <w:rPr>
          <w:lang w:val="bg-BG"/>
        </w:rPr>
        <w:t>нето на</w:t>
      </w:r>
      <w:r w:rsidR="00650895">
        <w:rPr>
          <w:lang w:val="bg-BG"/>
        </w:rPr>
        <w:t xml:space="preserve"> въпросната разпоредба </w:t>
      </w:r>
      <w:r w:rsidR="005911E9" w:rsidRPr="00945ED6">
        <w:rPr>
          <w:lang w:val="bg-BG"/>
        </w:rPr>
        <w:t>...</w:t>
      </w:r>
    </w:p>
    <w:p w:rsidR="005911E9" w:rsidRPr="00945ED6" w:rsidRDefault="00871568" w:rsidP="005911E9">
      <w:pPr>
        <w:pStyle w:val="JuQuot"/>
        <w:rPr>
          <w:lang w:val="bg-BG"/>
        </w:rPr>
      </w:pPr>
      <w:r w:rsidRPr="00945ED6">
        <w:rPr>
          <w:lang w:val="bg-BG"/>
        </w:rPr>
        <w:t>6.</w:t>
      </w:r>
      <w:r>
        <w:t>  </w:t>
      </w:r>
      <w:r w:rsidR="005911E9" w:rsidRPr="00945ED6">
        <w:rPr>
          <w:lang w:val="bg-BG"/>
        </w:rPr>
        <w:t>...</w:t>
      </w:r>
      <w:r w:rsidR="00414E81" w:rsidRPr="00945ED6">
        <w:rPr>
          <w:lang w:val="bg-BG"/>
        </w:rPr>
        <w:t xml:space="preserve"> </w:t>
      </w:r>
      <w:r w:rsidR="00402D86">
        <w:rPr>
          <w:lang w:val="bg-BG"/>
        </w:rPr>
        <w:t>Като се има</w:t>
      </w:r>
      <w:r w:rsidR="00650895">
        <w:rPr>
          <w:lang w:val="bg-BG"/>
        </w:rPr>
        <w:t xml:space="preserve"> предвид, че целите на тези организации са свързани със свалянето на съществуващия държавен режим </w:t>
      </w:r>
      <w:r w:rsidR="00650895" w:rsidRPr="00945ED6">
        <w:rPr>
          <w:lang w:val="bg-BG"/>
        </w:rPr>
        <w:t>[</w:t>
      </w:r>
      <w:r w:rsidR="00650895" w:rsidRPr="00E17978">
        <w:rPr>
          <w:i/>
          <w:iCs/>
        </w:rPr>
        <w:t>past</w:t>
      </w:r>
      <w:r w:rsidR="00650895" w:rsidRPr="00945ED6">
        <w:rPr>
          <w:i/>
          <w:iCs/>
          <w:lang w:val="bg-BG"/>
        </w:rPr>
        <w:t>ā</w:t>
      </w:r>
      <w:r w:rsidR="00650895" w:rsidRPr="00E17978">
        <w:rPr>
          <w:i/>
          <w:iCs/>
        </w:rPr>
        <w:t>vo</w:t>
      </w:r>
      <w:r w:rsidR="00650895" w:rsidRPr="00945ED6">
        <w:rPr>
          <w:i/>
          <w:iCs/>
          <w:lang w:val="bg-BG"/>
        </w:rPr>
        <w:t>šā</w:t>
      </w:r>
      <w:r w:rsidR="00650895" w:rsidRPr="00E17978">
        <w:rPr>
          <w:i/>
          <w:iCs/>
        </w:rPr>
        <w:t>s</w:t>
      </w:r>
      <w:r w:rsidR="00650895" w:rsidRPr="00945ED6">
        <w:rPr>
          <w:i/>
          <w:iCs/>
          <w:lang w:val="bg-BG"/>
        </w:rPr>
        <w:t xml:space="preserve"> </w:t>
      </w:r>
      <w:r w:rsidR="00650895" w:rsidRPr="00E17978">
        <w:rPr>
          <w:i/>
          <w:iCs/>
        </w:rPr>
        <w:t>valsts</w:t>
      </w:r>
      <w:r w:rsidR="00650895" w:rsidRPr="00945ED6">
        <w:rPr>
          <w:i/>
          <w:iCs/>
          <w:lang w:val="bg-BG"/>
        </w:rPr>
        <w:t xml:space="preserve"> </w:t>
      </w:r>
      <w:r w:rsidR="00650895" w:rsidRPr="00E17978">
        <w:rPr>
          <w:i/>
          <w:iCs/>
        </w:rPr>
        <w:t>iek</w:t>
      </w:r>
      <w:r w:rsidR="00650895" w:rsidRPr="00945ED6">
        <w:rPr>
          <w:i/>
          <w:iCs/>
          <w:lang w:val="bg-BG"/>
        </w:rPr>
        <w:t>ā</w:t>
      </w:r>
      <w:r w:rsidR="00650895" w:rsidRPr="00E17978">
        <w:rPr>
          <w:i/>
          <w:iCs/>
        </w:rPr>
        <w:t>rtas</w:t>
      </w:r>
      <w:r w:rsidR="00650895" w:rsidRPr="00945ED6">
        <w:rPr>
          <w:i/>
          <w:iCs/>
          <w:lang w:val="bg-BG"/>
        </w:rPr>
        <w:t xml:space="preserve"> </w:t>
      </w:r>
      <w:r w:rsidR="00650895" w:rsidRPr="00E17978">
        <w:rPr>
          <w:i/>
          <w:iCs/>
        </w:rPr>
        <w:t>grau</w:t>
      </w:r>
      <w:r w:rsidR="00650895" w:rsidRPr="00945ED6">
        <w:rPr>
          <w:i/>
          <w:iCs/>
          <w:lang w:val="bg-BG"/>
        </w:rPr>
        <w:t>š</w:t>
      </w:r>
      <w:r w:rsidR="00650895" w:rsidRPr="00E17978">
        <w:rPr>
          <w:i/>
          <w:iCs/>
        </w:rPr>
        <w:t>ana</w:t>
      </w:r>
      <w:r w:rsidR="00650895" w:rsidRPr="00945ED6">
        <w:rPr>
          <w:lang w:val="bg-BG"/>
        </w:rPr>
        <w:t>]</w:t>
      </w:r>
      <w:r w:rsidR="00650895">
        <w:rPr>
          <w:lang w:val="bg-BG"/>
        </w:rPr>
        <w:t xml:space="preserve">, те са по същество противоконституционни ... </w:t>
      </w:r>
    </w:p>
    <w:p w:rsidR="005911E9" w:rsidRPr="00945ED6" w:rsidRDefault="00650895" w:rsidP="005911E9">
      <w:pPr>
        <w:pStyle w:val="JuQuot"/>
        <w:rPr>
          <w:lang w:val="bg-BG"/>
        </w:rPr>
      </w:pPr>
      <w:r>
        <w:rPr>
          <w:lang w:val="bg-BG"/>
        </w:rPr>
        <w:lastRenderedPageBreak/>
        <w:t xml:space="preserve">Следователно, целта на ограниченията върху пасивните избирателни права е да защитават демократичния ред в държавата, националната сигурност и териториалната цялост на Латвия. Оспорваните разпоредби не са насочени срещу плурализма на идеи в Латвия или срещу </w:t>
      </w:r>
      <w:r w:rsidR="00A26B12">
        <w:rPr>
          <w:lang w:val="bg-BG"/>
        </w:rPr>
        <w:t xml:space="preserve">политическите възгледи на личността, а срещу онези, които чрез активното си участие са </w:t>
      </w:r>
      <w:r w:rsidR="00402D86">
        <w:rPr>
          <w:lang w:val="bg-BG"/>
        </w:rPr>
        <w:t>се опитали да премахнат</w:t>
      </w:r>
      <w:r w:rsidR="00A26B12">
        <w:rPr>
          <w:lang w:val="bg-BG"/>
        </w:rPr>
        <w:t xml:space="preserve"> демократичния ред в държавата ... Упражняването на човешките права не може да бъде насочен</w:t>
      </w:r>
      <w:r w:rsidR="00402D86">
        <w:rPr>
          <w:lang w:val="bg-BG"/>
        </w:rPr>
        <w:t>о срещу демокрацията</w:t>
      </w:r>
      <w:r w:rsidR="00A26B12">
        <w:rPr>
          <w:lang w:val="bg-BG"/>
        </w:rPr>
        <w:t xml:space="preserve"> ... </w:t>
      </w:r>
    </w:p>
    <w:p w:rsidR="005911E9" w:rsidRPr="00D9718F" w:rsidRDefault="003F4713" w:rsidP="005911E9">
      <w:pPr>
        <w:pStyle w:val="JuQuot"/>
        <w:rPr>
          <w:lang w:val="bg-BG"/>
        </w:rPr>
      </w:pPr>
      <w:r>
        <w:rPr>
          <w:lang w:val="bg-BG"/>
        </w:rPr>
        <w:t>Същин</w:t>
      </w:r>
      <w:r w:rsidR="00402D86">
        <w:rPr>
          <w:lang w:val="bg-BG"/>
        </w:rPr>
        <w:t>ата и ефективността на закона се</w:t>
      </w:r>
      <w:r>
        <w:rPr>
          <w:lang w:val="bg-BG"/>
        </w:rPr>
        <w:t xml:space="preserve"> проявява в неговата етичност </w:t>
      </w:r>
      <w:r w:rsidRPr="00945ED6">
        <w:rPr>
          <w:lang w:val="bg-BG"/>
        </w:rPr>
        <w:t>[</w:t>
      </w:r>
      <w:r w:rsidRPr="00945ED6">
        <w:rPr>
          <w:i/>
          <w:iCs/>
          <w:lang w:val="bg-BG"/>
        </w:rPr>
        <w:t>ē</w:t>
      </w:r>
      <w:r w:rsidRPr="00E17978">
        <w:rPr>
          <w:i/>
          <w:iCs/>
        </w:rPr>
        <w:t>tiskums</w:t>
      </w:r>
      <w:r w:rsidRPr="00945ED6">
        <w:rPr>
          <w:lang w:val="bg-BG"/>
        </w:rPr>
        <w:t>].</w:t>
      </w:r>
      <w:r>
        <w:rPr>
          <w:lang w:val="bg-BG"/>
        </w:rPr>
        <w:t xml:space="preserve"> Демократичното общество има законен интерес да изисква от политическите си представители лоялност към </w:t>
      </w:r>
      <w:r w:rsidRPr="00FA4A8D">
        <w:rPr>
          <w:lang w:val="bg-BG"/>
        </w:rPr>
        <w:t>демокрацията. Чрез поставянето на ограничения не се оспорва честта и репутацията на кандидатите</w:t>
      </w:r>
      <w:r w:rsidR="00402D86" w:rsidRPr="00FA4A8D">
        <w:rPr>
          <w:lang w:val="bg-BG"/>
        </w:rPr>
        <w:t>, в смисъл на лично облагодетелстване от закона</w:t>
      </w:r>
      <w:r w:rsidRPr="00FA4A8D">
        <w:rPr>
          <w:lang w:val="bg-BG"/>
        </w:rPr>
        <w:t xml:space="preserve"> [</w:t>
      </w:r>
      <w:r w:rsidRPr="00FA4A8D">
        <w:rPr>
          <w:i/>
          <w:iCs/>
        </w:rPr>
        <w:t>personisks</w:t>
      </w:r>
      <w:r w:rsidRPr="00FA4A8D">
        <w:rPr>
          <w:i/>
          <w:iCs/>
          <w:lang w:val="bg-BG"/>
        </w:rPr>
        <w:t xml:space="preserve"> </w:t>
      </w:r>
      <w:r w:rsidRPr="00FA4A8D">
        <w:rPr>
          <w:i/>
          <w:iCs/>
        </w:rPr>
        <w:t>tiesisks</w:t>
      </w:r>
      <w:r w:rsidRPr="00FA4A8D">
        <w:rPr>
          <w:i/>
          <w:iCs/>
          <w:lang w:val="bg-BG"/>
        </w:rPr>
        <w:t xml:space="preserve"> </w:t>
      </w:r>
      <w:r w:rsidRPr="00FA4A8D">
        <w:rPr>
          <w:i/>
          <w:iCs/>
        </w:rPr>
        <w:t>labums</w:t>
      </w:r>
      <w:r w:rsidRPr="00FA4A8D">
        <w:rPr>
          <w:lang w:val="bg-BG"/>
        </w:rPr>
        <w:t>]</w:t>
      </w:r>
      <w:r w:rsidR="005E7C46" w:rsidRPr="00FA4A8D">
        <w:rPr>
          <w:lang w:val="bg-BG"/>
        </w:rPr>
        <w:t xml:space="preserve">; </w:t>
      </w:r>
      <w:r w:rsidRPr="00FA4A8D">
        <w:rPr>
          <w:lang w:val="bg-BG"/>
        </w:rPr>
        <w:t>това, което се оспорва, е д</w:t>
      </w:r>
      <w:r w:rsidR="00402D86" w:rsidRPr="00FA4A8D">
        <w:rPr>
          <w:lang w:val="bg-BG"/>
        </w:rPr>
        <w:t xml:space="preserve">али въпросните </w:t>
      </w:r>
      <w:r w:rsidR="005E7C46" w:rsidRPr="00FA4A8D">
        <w:rPr>
          <w:lang w:val="bg-BG"/>
        </w:rPr>
        <w:t>лица са достойни</w:t>
      </w:r>
      <w:r w:rsidRPr="00FA4A8D">
        <w:rPr>
          <w:lang w:val="bg-BG"/>
        </w:rPr>
        <w:t xml:space="preserve"> да представляват народа</w:t>
      </w:r>
      <w:r>
        <w:rPr>
          <w:lang w:val="bg-BG"/>
        </w:rPr>
        <w:t xml:space="preserve"> в </w:t>
      </w:r>
      <w:r w:rsidR="00D525A2">
        <w:rPr>
          <w:lang w:val="bg-BG"/>
        </w:rPr>
        <w:t>п</w:t>
      </w:r>
      <w:r>
        <w:rPr>
          <w:lang w:val="bg-BG"/>
        </w:rPr>
        <w:t>арламента или в съответния общински съвет.</w:t>
      </w:r>
      <w:r w:rsidR="00402D86">
        <w:rPr>
          <w:lang w:val="bg-BG"/>
        </w:rPr>
        <w:t xml:space="preserve"> О</w:t>
      </w:r>
      <w:r w:rsidR="00015F98">
        <w:rPr>
          <w:lang w:val="bg-BG"/>
        </w:rPr>
        <w:t>граничения</w:t>
      </w:r>
      <w:r w:rsidR="00402D86">
        <w:rPr>
          <w:lang w:val="bg-BG"/>
        </w:rPr>
        <w:t>та</w:t>
      </w:r>
      <w:r w:rsidR="00015F98">
        <w:rPr>
          <w:lang w:val="bg-BG"/>
        </w:rPr>
        <w:t xml:space="preserve"> касаят лица</w:t>
      </w:r>
      <w:r w:rsidR="00402D86">
        <w:rPr>
          <w:lang w:val="bg-BG"/>
        </w:rPr>
        <w:t>, които са били постоянни дейци</w:t>
      </w:r>
      <w:r w:rsidR="00015F98">
        <w:rPr>
          <w:lang w:val="bg-BG"/>
        </w:rPr>
        <w:t xml:space="preserve"> на репресивния режим на окупационната сила или които след 13 януари 1991 г. са участвали в организациите, упоменати в оспорваните разпоредби, и са се борили активно срещу възстановяването на латвийската Конституция и </w:t>
      </w:r>
      <w:r w:rsidR="00015F98" w:rsidRPr="00D9718F">
        <w:rPr>
          <w:lang w:val="bg-BG"/>
        </w:rPr>
        <w:t xml:space="preserve">държава ... </w:t>
      </w:r>
      <w:r w:rsidRPr="00D9718F">
        <w:rPr>
          <w:lang w:val="bg-BG"/>
        </w:rPr>
        <w:t xml:space="preserve"> </w:t>
      </w:r>
    </w:p>
    <w:p w:rsidR="005911E9" w:rsidRPr="00945ED6" w:rsidRDefault="00015F98" w:rsidP="005911E9">
      <w:pPr>
        <w:pStyle w:val="JuQuot"/>
        <w:rPr>
          <w:lang w:val="bg-BG"/>
        </w:rPr>
      </w:pPr>
      <w:r w:rsidRPr="00D9718F">
        <w:rPr>
          <w:lang w:val="bg-BG"/>
        </w:rPr>
        <w:t>Аргументът ... че демократичният държа</w:t>
      </w:r>
      <w:r w:rsidR="00EE018D" w:rsidRPr="00D9718F">
        <w:rPr>
          <w:lang w:val="bg-BG"/>
        </w:rPr>
        <w:t>вен ред трябва да се защитава спрямо</w:t>
      </w:r>
      <w:r w:rsidR="005E7C46" w:rsidRPr="00D9718F">
        <w:rPr>
          <w:lang w:val="bg-BG"/>
        </w:rPr>
        <w:t xml:space="preserve"> онези лица</w:t>
      </w:r>
      <w:r w:rsidRPr="00D9718F">
        <w:rPr>
          <w:lang w:val="bg-BG"/>
        </w:rPr>
        <w:t xml:space="preserve">, които в етично отношение </w:t>
      </w:r>
      <w:r w:rsidR="005E7C46" w:rsidRPr="00D9718F">
        <w:rPr>
          <w:lang w:val="bg-BG"/>
        </w:rPr>
        <w:t>не са достойни</w:t>
      </w:r>
      <w:r w:rsidRPr="00D9718F">
        <w:rPr>
          <w:lang w:val="bg-BG"/>
        </w:rPr>
        <w:t xml:space="preserve"> да представляват демократичната държава на политическо или</w:t>
      </w:r>
      <w:r>
        <w:rPr>
          <w:lang w:val="bg-BG"/>
        </w:rPr>
        <w:t xml:space="preserve"> административно ниво ... е основателен. </w:t>
      </w:r>
    </w:p>
    <w:p w:rsidR="005911E9" w:rsidRPr="00945ED6" w:rsidRDefault="005911E9" w:rsidP="005911E9">
      <w:pPr>
        <w:pStyle w:val="JuQuot"/>
        <w:rPr>
          <w:lang w:val="bg-BG"/>
        </w:rPr>
      </w:pPr>
      <w:r w:rsidRPr="00945ED6">
        <w:rPr>
          <w:lang w:val="bg-BG"/>
        </w:rPr>
        <w:t>...</w:t>
      </w:r>
      <w:r w:rsidR="00414E81" w:rsidRPr="00945ED6">
        <w:rPr>
          <w:lang w:val="bg-BG"/>
        </w:rPr>
        <w:t xml:space="preserve"> </w:t>
      </w:r>
      <w:r w:rsidR="003C31B6">
        <w:rPr>
          <w:lang w:val="bg-BG"/>
        </w:rPr>
        <w:t>Изваждането от листата на кандидат, който е бил свързан с гореспоменатите организации, не е своеволн</w:t>
      </w:r>
      <w:r w:rsidR="00EE018D">
        <w:rPr>
          <w:lang w:val="bg-BG"/>
        </w:rPr>
        <w:t>о административно решение; то трябва да се</w:t>
      </w:r>
      <w:r w:rsidR="003C31B6">
        <w:rPr>
          <w:lang w:val="bg-BG"/>
        </w:rPr>
        <w:t xml:space="preserve"> основава на индивидуално съдебно решение. Съгласно закона оценката на индивидуалната отг</w:t>
      </w:r>
      <w:r w:rsidR="00EE018D">
        <w:rPr>
          <w:lang w:val="bg-BG"/>
        </w:rPr>
        <w:t>оворност попада в компетентността</w:t>
      </w:r>
      <w:r w:rsidR="003C31B6">
        <w:rPr>
          <w:lang w:val="bg-BG"/>
        </w:rPr>
        <w:t xml:space="preserve"> на съдилищата ... </w:t>
      </w:r>
    </w:p>
    <w:p w:rsidR="005911E9" w:rsidRPr="00945ED6" w:rsidRDefault="00414E81" w:rsidP="005911E9">
      <w:pPr>
        <w:pStyle w:val="JuQuot"/>
        <w:rPr>
          <w:lang w:val="bg-BG"/>
        </w:rPr>
      </w:pPr>
      <w:r w:rsidRPr="00945ED6">
        <w:rPr>
          <w:lang w:val="bg-BG"/>
        </w:rPr>
        <w:t>7</w:t>
      </w:r>
      <w:r w:rsidR="00871568" w:rsidRPr="00945ED6">
        <w:rPr>
          <w:lang w:val="bg-BG"/>
        </w:rPr>
        <w:t>.</w:t>
      </w:r>
      <w:r w:rsidR="00871568">
        <w:t>  </w:t>
      </w:r>
      <w:r w:rsidRPr="00945ED6">
        <w:rPr>
          <w:lang w:val="bg-BG"/>
        </w:rPr>
        <w:t>.</w:t>
      </w:r>
      <w:r w:rsidR="005911E9" w:rsidRPr="00945ED6">
        <w:rPr>
          <w:lang w:val="bg-BG"/>
        </w:rPr>
        <w:t>..</w:t>
      </w:r>
      <w:r w:rsidRPr="00945ED6">
        <w:rPr>
          <w:lang w:val="bg-BG"/>
        </w:rPr>
        <w:t xml:space="preserve"> </w:t>
      </w:r>
      <w:r w:rsidR="003C31B6">
        <w:rPr>
          <w:lang w:val="bg-BG"/>
        </w:rPr>
        <w:t>С цел да се определи дали приложена</w:t>
      </w:r>
      <w:r w:rsidR="00EE018D">
        <w:rPr>
          <w:lang w:val="bg-BG"/>
        </w:rPr>
        <w:t>та мярка, а именно ограничаване</w:t>
      </w:r>
      <w:r w:rsidR="003C31B6">
        <w:rPr>
          <w:lang w:val="bg-BG"/>
        </w:rPr>
        <w:t xml:space="preserve"> на пасивните избирателни права, е пропорционална на преследв</w:t>
      </w:r>
      <w:r w:rsidR="00EE018D">
        <w:rPr>
          <w:lang w:val="bg-BG"/>
        </w:rPr>
        <w:t xml:space="preserve">аните цели, а именно защита </w:t>
      </w:r>
      <w:r w:rsidR="003C31B6">
        <w:rPr>
          <w:lang w:val="bg-BG"/>
        </w:rPr>
        <w:t>на демокр</w:t>
      </w:r>
      <w:r w:rsidR="00EE018D">
        <w:rPr>
          <w:lang w:val="bg-BG"/>
        </w:rPr>
        <w:t xml:space="preserve">атичния ред в държавата и </w:t>
      </w:r>
      <w:r w:rsidR="003C31B6">
        <w:rPr>
          <w:lang w:val="bg-BG"/>
        </w:rPr>
        <w:t xml:space="preserve">на националната сигурност и целостта на латвийската държава, е необходимо да се направи оценка на политическата ситуация в страната и на други свързани с нея обстоятелства. След като </w:t>
      </w:r>
      <w:r w:rsidR="00866C7C">
        <w:rPr>
          <w:lang w:val="bg-BG"/>
        </w:rPr>
        <w:t>п</w:t>
      </w:r>
      <w:r w:rsidR="003C31B6">
        <w:rPr>
          <w:lang w:val="bg-BG"/>
        </w:rPr>
        <w:t>арламентът неколкократно е оценявал историческите и политически</w:t>
      </w:r>
      <w:r w:rsidR="00866C7C">
        <w:rPr>
          <w:lang w:val="bg-BG"/>
        </w:rPr>
        <w:t>те</w:t>
      </w:r>
      <w:r w:rsidR="003C31B6">
        <w:rPr>
          <w:lang w:val="bg-BG"/>
        </w:rPr>
        <w:t xml:space="preserve"> обстоятелства в развитие</w:t>
      </w:r>
      <w:r w:rsidR="00EE018D">
        <w:rPr>
          <w:lang w:val="bg-BG"/>
        </w:rPr>
        <w:t>то на демокрацията ... Съдът счита, че на този етап няма</w:t>
      </w:r>
      <w:r w:rsidR="003C31B6">
        <w:rPr>
          <w:lang w:val="bg-BG"/>
        </w:rPr>
        <w:t xml:space="preserve"> основания за оспорване на пропорционалността между приложената мярка и нейната цел. </w:t>
      </w:r>
    </w:p>
    <w:p w:rsidR="005911E9" w:rsidRPr="00945ED6" w:rsidRDefault="003C31B6" w:rsidP="005911E9">
      <w:pPr>
        <w:pStyle w:val="JuQuot"/>
        <w:rPr>
          <w:lang w:val="bg-BG"/>
        </w:rPr>
      </w:pPr>
      <w:r>
        <w:rPr>
          <w:lang w:val="bg-BG"/>
        </w:rPr>
        <w:t xml:space="preserve">Въпреки това </w:t>
      </w:r>
      <w:r w:rsidR="00A55520">
        <w:rPr>
          <w:lang w:val="bg-BG"/>
        </w:rPr>
        <w:t>п</w:t>
      </w:r>
      <w:r>
        <w:rPr>
          <w:lang w:val="bg-BG"/>
        </w:rPr>
        <w:t>арламентът, като периодично разглежда политическата ситуация в държавата, заедно с необходимостта и основателността на о</w:t>
      </w:r>
      <w:r w:rsidR="00EE018D">
        <w:rPr>
          <w:lang w:val="bg-BG"/>
        </w:rPr>
        <w:t xml:space="preserve">граниченията, трябва да </w:t>
      </w:r>
      <w:r>
        <w:rPr>
          <w:lang w:val="bg-BG"/>
        </w:rPr>
        <w:t>установи краен срок за тези ограничения ... тъй като такива ограничения на пасивните избирателни права могат да съществуват само за определен период</w:t>
      </w:r>
      <w:r w:rsidR="005911E9" w:rsidRPr="00945ED6">
        <w:rPr>
          <w:lang w:val="bg-BG"/>
        </w:rPr>
        <w:t>.</w:t>
      </w:r>
      <w:r w:rsidR="00E3309A">
        <w:rPr>
          <w:lang w:val="bg-BG"/>
        </w:rPr>
        <w:t>“</w:t>
      </w:r>
    </w:p>
    <w:p w:rsidR="005911E9" w:rsidRPr="00945ED6" w:rsidRDefault="005D3E62">
      <w:pPr>
        <w:pStyle w:val="JuParaChar"/>
        <w:rPr>
          <w:lang w:val="bg-BG"/>
        </w:rPr>
      </w:pPr>
      <w:r w:rsidRPr="00B8206D">
        <w:rPr>
          <w:rStyle w:val="JuParaChar1"/>
          <w:lang w:val="en-GB"/>
        </w:rPr>
        <w:fldChar w:fldCharType="begin"/>
      </w:r>
      <w:r w:rsidR="005911E9" w:rsidRPr="00945ED6">
        <w:rPr>
          <w:rStyle w:val="JuParaChar1"/>
          <w:lang w:val="bg-BG"/>
        </w:rPr>
        <w:instrText xml:space="preserve"> </w:instrText>
      </w:r>
      <w:r w:rsidR="005911E9" w:rsidRPr="00B8206D">
        <w:rPr>
          <w:rStyle w:val="JuParaChar1"/>
          <w:lang w:val="en-GB"/>
        </w:rPr>
        <w:instrText>SEQ</w:instrText>
      </w:r>
      <w:r w:rsidR="005911E9" w:rsidRPr="00945ED6">
        <w:rPr>
          <w:rStyle w:val="JuParaChar1"/>
          <w:lang w:val="bg-BG"/>
        </w:rPr>
        <w:instrText xml:space="preserve"> </w:instrText>
      </w:r>
      <w:r w:rsidR="005911E9" w:rsidRPr="00B8206D">
        <w:rPr>
          <w:rStyle w:val="JuParaChar1"/>
          <w:lang w:val="en-GB"/>
        </w:rPr>
        <w:instrText>level</w:instrText>
      </w:r>
      <w:r w:rsidR="005911E9" w:rsidRPr="00945ED6">
        <w:rPr>
          <w:rStyle w:val="JuParaChar1"/>
          <w:lang w:val="bg-BG"/>
        </w:rPr>
        <w:instrText>0 \*</w:instrText>
      </w:r>
      <w:r w:rsidR="005911E9" w:rsidRPr="00B8206D">
        <w:rPr>
          <w:rStyle w:val="JuParaChar1"/>
          <w:lang w:val="en-GB"/>
        </w:rPr>
        <w:instrText>arabic</w:instrText>
      </w:r>
      <w:r w:rsidR="005911E9" w:rsidRPr="00945ED6">
        <w:rPr>
          <w:rStyle w:val="JuParaChar1"/>
          <w:lang w:val="bg-BG"/>
        </w:rPr>
        <w:instrText xml:space="preserve"> </w:instrText>
      </w:r>
      <w:r w:rsidRPr="00B8206D">
        <w:rPr>
          <w:rStyle w:val="JuParaChar1"/>
          <w:lang w:val="en-GB"/>
        </w:rPr>
        <w:fldChar w:fldCharType="separate"/>
      </w:r>
      <w:r w:rsidR="00955550" w:rsidRPr="00945ED6">
        <w:rPr>
          <w:rStyle w:val="JuParaChar1"/>
          <w:noProof/>
          <w:lang w:val="bg-BG"/>
        </w:rPr>
        <w:t>63</w:t>
      </w:r>
      <w:r w:rsidRPr="00B8206D">
        <w:rPr>
          <w:rStyle w:val="JuParaChar1"/>
          <w:lang w:val="en-GB"/>
        </w:rPr>
        <w:fldChar w:fldCharType="end"/>
      </w:r>
      <w:r w:rsidR="005911E9" w:rsidRPr="00945ED6">
        <w:rPr>
          <w:rStyle w:val="JuParaChar1"/>
          <w:lang w:val="bg-BG"/>
        </w:rPr>
        <w:t>.</w:t>
      </w:r>
      <w:r w:rsidR="005911E9" w:rsidRPr="00B8206D">
        <w:rPr>
          <w:rStyle w:val="JuParaChar1"/>
          <w:lang w:val="en-GB"/>
        </w:rPr>
        <w:t>  </w:t>
      </w:r>
      <w:r w:rsidR="000102A5">
        <w:rPr>
          <w:rStyle w:val="JuParaChar1"/>
          <w:lang w:val="bg-BG"/>
        </w:rPr>
        <w:t xml:space="preserve">Трима от седмината </w:t>
      </w:r>
      <w:r w:rsidR="000102A5" w:rsidRPr="00D9718F">
        <w:rPr>
          <w:rStyle w:val="JuParaChar1"/>
          <w:lang w:val="bg-BG"/>
        </w:rPr>
        <w:t>съдии</w:t>
      </w:r>
      <w:r w:rsidR="005E7C46" w:rsidRPr="00D9718F">
        <w:rPr>
          <w:rStyle w:val="JuParaChar1"/>
          <w:lang w:val="bg-BG"/>
        </w:rPr>
        <w:t xml:space="preserve"> от Конституционния съд</w:t>
      </w:r>
      <w:r w:rsidR="000102A5" w:rsidRPr="00D9718F">
        <w:rPr>
          <w:rStyle w:val="JuParaChar1"/>
          <w:lang w:val="bg-BG"/>
        </w:rPr>
        <w:t>, които разглеждат гореспоменат</w:t>
      </w:r>
      <w:r w:rsidR="002B1ED6" w:rsidRPr="00D9718F">
        <w:rPr>
          <w:rStyle w:val="JuParaChar1"/>
          <w:lang w:val="bg-BG"/>
        </w:rPr>
        <w:t>ото дело</w:t>
      </w:r>
      <w:r w:rsidR="000102A5" w:rsidRPr="00D9718F">
        <w:rPr>
          <w:rStyle w:val="JuParaChar1"/>
          <w:lang w:val="bg-BG"/>
        </w:rPr>
        <w:t>,</w:t>
      </w:r>
      <w:r w:rsidR="002B1ED6" w:rsidRPr="00D9718F">
        <w:rPr>
          <w:rStyle w:val="JuParaChar1"/>
          <w:lang w:val="bg-BG"/>
        </w:rPr>
        <w:t xml:space="preserve"> изказват</w:t>
      </w:r>
      <w:r w:rsidR="0060419F" w:rsidRPr="00D9718F">
        <w:rPr>
          <w:rStyle w:val="JuParaChar1"/>
          <w:lang w:val="bg-BG"/>
        </w:rPr>
        <w:t xml:space="preserve"> несъгласие</w:t>
      </w:r>
      <w:r w:rsidR="002B1ED6" w:rsidRPr="00D9718F">
        <w:rPr>
          <w:rStyle w:val="JuParaChar1"/>
          <w:lang w:val="bg-BG"/>
        </w:rPr>
        <w:t xml:space="preserve"> със заключенията на мнозинството. Позовавайки се, наред с другото, на</w:t>
      </w:r>
      <w:r w:rsidR="00EE018D" w:rsidRPr="00D9718F">
        <w:rPr>
          <w:rStyle w:val="JuParaChar1"/>
          <w:lang w:val="bg-BG"/>
        </w:rPr>
        <w:t xml:space="preserve"> делото</w:t>
      </w:r>
      <w:r w:rsidR="002B1ED6" w:rsidRPr="00D9718F">
        <w:rPr>
          <w:rStyle w:val="JuParaChar1"/>
          <w:lang w:val="bg-BG"/>
        </w:rPr>
        <w:t xml:space="preserve"> </w:t>
      </w:r>
      <w:r w:rsidR="002B1ED6" w:rsidRPr="00D9718F">
        <w:rPr>
          <w:i/>
          <w:iCs/>
        </w:rPr>
        <w:t>Vogt</w:t>
      </w:r>
      <w:r w:rsidR="002B1ED6" w:rsidRPr="00D9718F">
        <w:rPr>
          <w:i/>
          <w:iCs/>
          <w:lang w:val="bg-BG"/>
        </w:rPr>
        <w:t xml:space="preserve"> </w:t>
      </w:r>
      <w:r w:rsidR="00A55520">
        <w:rPr>
          <w:i/>
          <w:iCs/>
          <w:lang w:val="bg-BG"/>
        </w:rPr>
        <w:t>срещу Германия</w:t>
      </w:r>
      <w:r w:rsidR="002B1ED6" w:rsidRPr="00D9718F">
        <w:rPr>
          <w:i/>
          <w:iCs/>
          <w:lang w:val="bg-BG"/>
        </w:rPr>
        <w:t xml:space="preserve"> </w:t>
      </w:r>
      <w:r w:rsidR="002B1ED6" w:rsidRPr="00D9718F">
        <w:rPr>
          <w:iCs/>
          <w:lang w:val="bg-BG"/>
        </w:rPr>
        <w:t xml:space="preserve">(26 септември 1995 г., Серия А </w:t>
      </w:r>
      <w:r w:rsidR="002B1ED6" w:rsidRPr="00D9718F">
        <w:rPr>
          <w:szCs w:val="24"/>
          <w:cs/>
        </w:rPr>
        <w:t>№</w:t>
      </w:r>
      <w:r w:rsidR="002B1ED6" w:rsidRPr="00D9718F">
        <w:rPr>
          <w:rFonts w:hint="cs"/>
          <w:szCs w:val="24"/>
          <w:cs/>
        </w:rPr>
        <w:t xml:space="preserve"> 323) и </w:t>
      </w:r>
      <w:r w:rsidR="002B1ED6" w:rsidRPr="00D9718F">
        <w:rPr>
          <w:i/>
          <w:iCs/>
        </w:rPr>
        <w:t>Rekv</w:t>
      </w:r>
      <w:r w:rsidR="002B1ED6" w:rsidRPr="00D9718F">
        <w:rPr>
          <w:i/>
          <w:iCs/>
          <w:lang w:val="bg-BG"/>
        </w:rPr>
        <w:t>é</w:t>
      </w:r>
      <w:r w:rsidR="002B1ED6" w:rsidRPr="00D9718F">
        <w:rPr>
          <w:i/>
          <w:iCs/>
        </w:rPr>
        <w:t>nyi</w:t>
      </w:r>
      <w:r w:rsidR="002B1ED6" w:rsidRPr="00D9718F">
        <w:rPr>
          <w:i/>
          <w:iCs/>
          <w:lang w:val="bg-BG"/>
        </w:rPr>
        <w:t xml:space="preserve"> </w:t>
      </w:r>
      <w:r w:rsidR="00A55520">
        <w:rPr>
          <w:i/>
          <w:iCs/>
          <w:lang w:val="bg-BG"/>
        </w:rPr>
        <w:t>срещу Унгария</w:t>
      </w:r>
      <w:r w:rsidR="002B1ED6" w:rsidRPr="00D9718F">
        <w:rPr>
          <w:lang w:val="bg-BG"/>
        </w:rPr>
        <w:t xml:space="preserve"> ([</w:t>
      </w:r>
      <w:r w:rsidR="002B1ED6" w:rsidRPr="00D9718F">
        <w:t>GC</w:t>
      </w:r>
      <w:r w:rsidR="002B1ED6" w:rsidRPr="00D9718F">
        <w:rPr>
          <w:lang w:val="bg-BG"/>
        </w:rPr>
        <w:t>]</w:t>
      </w:r>
      <w:r w:rsidR="00400123" w:rsidRPr="00D9718F">
        <w:rPr>
          <w:lang w:val="bg-BG"/>
        </w:rPr>
        <w:t xml:space="preserve">, </w:t>
      </w:r>
      <w:r w:rsidR="00400123" w:rsidRPr="00D9718F">
        <w:rPr>
          <w:szCs w:val="24"/>
          <w:cs/>
        </w:rPr>
        <w:t>№</w:t>
      </w:r>
      <w:r w:rsidR="002B1ED6" w:rsidRPr="00D9718F">
        <w:rPr>
          <w:lang w:val="bg-BG"/>
        </w:rPr>
        <w:t xml:space="preserve"> 25390/94,</w:t>
      </w:r>
      <w:r w:rsidR="002B1ED6" w:rsidRPr="00D9718F">
        <w:rPr>
          <w:i/>
          <w:iCs/>
          <w:lang w:val="bg-BG"/>
        </w:rPr>
        <w:t xml:space="preserve"> </w:t>
      </w:r>
      <w:r w:rsidR="0060419F" w:rsidRPr="00D9718F">
        <w:rPr>
          <w:lang w:val="bg-BG"/>
        </w:rPr>
        <w:t>ЕСПЧ</w:t>
      </w:r>
      <w:r w:rsidR="002B1ED6" w:rsidRPr="00D9718F">
        <w:rPr>
          <w:i/>
          <w:iCs/>
          <w:lang w:val="bg-BG"/>
        </w:rPr>
        <w:t xml:space="preserve"> </w:t>
      </w:r>
      <w:r w:rsidR="002B1ED6" w:rsidRPr="00D9718F">
        <w:rPr>
          <w:lang w:val="bg-BG"/>
        </w:rPr>
        <w:t>1999-</w:t>
      </w:r>
      <w:r w:rsidR="002B1ED6" w:rsidRPr="00D9718F">
        <w:t>III</w:t>
      </w:r>
      <w:r w:rsidR="002B1ED6" w:rsidRPr="00D9718F">
        <w:rPr>
          <w:lang w:val="bg-BG"/>
        </w:rPr>
        <w:t>)</w:t>
      </w:r>
      <w:r w:rsidR="0060419F" w:rsidRPr="00D9718F">
        <w:rPr>
          <w:lang w:val="bg-BG"/>
        </w:rPr>
        <w:t xml:space="preserve">, те твърдят, че </w:t>
      </w:r>
      <w:r w:rsidR="005E7C46" w:rsidRPr="00D9718F">
        <w:rPr>
          <w:lang w:val="bg-BG"/>
        </w:rPr>
        <w:t>оспорваните</w:t>
      </w:r>
      <w:r w:rsidR="0060419F" w:rsidRPr="00D9718F">
        <w:rPr>
          <w:lang w:val="bg-BG"/>
        </w:rPr>
        <w:t xml:space="preserve"> ограничения могат да бъдат </w:t>
      </w:r>
      <w:r w:rsidR="002E1880" w:rsidRPr="00D9718F">
        <w:rPr>
          <w:lang w:val="bg-BG"/>
        </w:rPr>
        <w:t>отнесени в</w:t>
      </w:r>
      <w:r w:rsidR="005E7C46" w:rsidRPr="00D9718F">
        <w:rPr>
          <w:lang w:val="bg-BG"/>
        </w:rPr>
        <w:t xml:space="preserve"> по-голяма степен до </w:t>
      </w:r>
      <w:r w:rsidR="009054A6" w:rsidRPr="00D9718F">
        <w:rPr>
          <w:lang w:val="bg-BG"/>
        </w:rPr>
        <w:t xml:space="preserve">държавните служители, отколкото </w:t>
      </w:r>
      <w:r w:rsidR="002E1880" w:rsidRPr="00D9718F">
        <w:rPr>
          <w:lang w:val="bg-BG"/>
        </w:rPr>
        <w:t xml:space="preserve">до </w:t>
      </w:r>
      <w:r w:rsidR="009054A6" w:rsidRPr="00D9718F">
        <w:rPr>
          <w:lang w:val="bg-BG"/>
        </w:rPr>
        <w:t>и</w:t>
      </w:r>
      <w:r w:rsidR="002E1880" w:rsidRPr="00D9718F">
        <w:rPr>
          <w:lang w:val="bg-BG"/>
        </w:rPr>
        <w:t>збраните представители</w:t>
      </w:r>
      <w:r w:rsidR="005911E9" w:rsidRPr="00D9718F">
        <w:rPr>
          <w:lang w:val="bg-BG"/>
        </w:rPr>
        <w:t>.</w:t>
      </w:r>
      <w:r w:rsidR="005911E9" w:rsidRPr="002E1880">
        <w:rPr>
          <w:lang w:val="bg-BG"/>
        </w:rPr>
        <w:t xml:space="preserve"> </w:t>
      </w:r>
      <w:r w:rsidR="009609B6">
        <w:rPr>
          <w:lang w:val="bg-BG"/>
        </w:rPr>
        <w:t xml:space="preserve">Според тези съдии демократичният режим и </w:t>
      </w:r>
      <w:r w:rsidR="009609B6">
        <w:rPr>
          <w:lang w:val="bg-BG"/>
        </w:rPr>
        <w:lastRenderedPageBreak/>
        <w:t>институционалната система на Латвия са укрепнали достатъчно в годините след 1991 г., така че лица, които са действали срещу системата десет години по-рано, вече не представляват реална заплаха за държава</w:t>
      </w:r>
      <w:r w:rsidR="00A55520">
        <w:rPr>
          <w:lang w:val="bg-BG"/>
        </w:rPr>
        <w:t>та</w:t>
      </w:r>
      <w:r w:rsidR="009609B6">
        <w:rPr>
          <w:lang w:val="bg-BG"/>
        </w:rPr>
        <w:t>. Следователно ограничаването на пасивните изб</w:t>
      </w:r>
      <w:r w:rsidR="002E1880">
        <w:rPr>
          <w:lang w:val="bg-BG"/>
        </w:rPr>
        <w:t>ирателни п</w:t>
      </w:r>
      <w:r w:rsidR="007A3576">
        <w:rPr>
          <w:lang w:val="bg-BG"/>
        </w:rPr>
        <w:t>рава на тези лица не е съразмерно</w:t>
      </w:r>
      <w:r w:rsidR="009609B6">
        <w:rPr>
          <w:lang w:val="bg-BG"/>
        </w:rPr>
        <w:t xml:space="preserve"> </w:t>
      </w:r>
      <w:r w:rsidR="007A3576">
        <w:rPr>
          <w:lang w:val="bg-BG"/>
        </w:rPr>
        <w:t>на следваната легитимна</w:t>
      </w:r>
      <w:r w:rsidR="009609B6">
        <w:rPr>
          <w:lang w:val="bg-BG"/>
        </w:rPr>
        <w:t xml:space="preserve"> цел. </w:t>
      </w:r>
    </w:p>
    <w:p w:rsidR="00F04C94" w:rsidRPr="00945ED6" w:rsidRDefault="003E6528" w:rsidP="00B8206D">
      <w:pPr>
        <w:pStyle w:val="JuHA"/>
        <w:rPr>
          <w:lang w:val="bg-BG"/>
        </w:rPr>
      </w:pPr>
      <w:r>
        <w:rPr>
          <w:lang w:val="bg-BG"/>
        </w:rPr>
        <w:t>Е</w:t>
      </w:r>
      <w:r w:rsidR="005A5ED0" w:rsidRPr="00945ED6">
        <w:rPr>
          <w:lang w:val="bg-BG"/>
        </w:rPr>
        <w:t>.</w:t>
      </w:r>
      <w:r w:rsidR="005A5ED0">
        <w:t>  </w:t>
      </w:r>
      <w:r w:rsidR="009609B6">
        <w:rPr>
          <w:lang w:val="bg-BG"/>
        </w:rPr>
        <w:t xml:space="preserve">Законът за </w:t>
      </w:r>
      <w:r w:rsidR="00EE018D">
        <w:rPr>
          <w:lang w:val="bg-BG"/>
        </w:rPr>
        <w:t>изборите за Европейски парламент</w:t>
      </w:r>
      <w:r w:rsidR="009609B6">
        <w:rPr>
          <w:lang w:val="bg-BG"/>
        </w:rPr>
        <w:t xml:space="preserve"> </w:t>
      </w:r>
    </w:p>
    <w:p w:rsidR="005A5ED0" w:rsidRPr="00945ED6" w:rsidRDefault="005D3E62" w:rsidP="00B8206D">
      <w:pPr>
        <w:pStyle w:val="JuPara"/>
        <w:rPr>
          <w:lang w:val="bg-BG"/>
        </w:rPr>
      </w:pPr>
      <w:r w:rsidRPr="00E17978">
        <w:fldChar w:fldCharType="begin"/>
      </w:r>
      <w:r w:rsidR="00F04C94" w:rsidRPr="00945ED6">
        <w:rPr>
          <w:lang w:val="bg-BG"/>
        </w:rPr>
        <w:instrText xml:space="preserve"> </w:instrText>
      </w:r>
      <w:r w:rsidR="00F04C94" w:rsidRPr="00BB4F95">
        <w:rPr>
          <w:lang w:val="en-GB"/>
        </w:rPr>
        <w:instrText>SEQ</w:instrText>
      </w:r>
      <w:r w:rsidR="00F04C94" w:rsidRPr="00945ED6">
        <w:rPr>
          <w:lang w:val="bg-BG"/>
        </w:rPr>
        <w:instrText xml:space="preserve"> </w:instrText>
      </w:r>
      <w:r w:rsidR="00F04C94" w:rsidRPr="00BB4F95">
        <w:rPr>
          <w:lang w:val="en-GB"/>
        </w:rPr>
        <w:instrText>level</w:instrText>
      </w:r>
      <w:r w:rsidR="00F04C94" w:rsidRPr="00945ED6">
        <w:rPr>
          <w:lang w:val="bg-BG"/>
        </w:rPr>
        <w:instrText>0 \*</w:instrText>
      </w:r>
      <w:r w:rsidR="00F04C94" w:rsidRPr="00BB4F95">
        <w:rPr>
          <w:lang w:val="en-GB"/>
        </w:rPr>
        <w:instrText>arabic</w:instrText>
      </w:r>
      <w:r w:rsidR="00F04C94" w:rsidRPr="00945ED6">
        <w:rPr>
          <w:lang w:val="bg-BG"/>
        </w:rPr>
        <w:instrText xml:space="preserve"> </w:instrText>
      </w:r>
      <w:r w:rsidRPr="00E17978">
        <w:fldChar w:fldCharType="separate"/>
      </w:r>
      <w:r w:rsidR="00955550" w:rsidRPr="00945ED6">
        <w:rPr>
          <w:noProof/>
          <w:lang w:val="bg-BG"/>
        </w:rPr>
        <w:t>64</w:t>
      </w:r>
      <w:r w:rsidRPr="00E17978">
        <w:fldChar w:fldCharType="end"/>
      </w:r>
      <w:r w:rsidR="00F04C94" w:rsidRPr="00945ED6">
        <w:rPr>
          <w:lang w:val="bg-BG"/>
        </w:rPr>
        <w:t>.</w:t>
      </w:r>
      <w:r w:rsidR="00F04C94" w:rsidRPr="00BB4F95">
        <w:rPr>
          <w:lang w:val="en-GB"/>
        </w:rPr>
        <w:t>  </w:t>
      </w:r>
      <w:r w:rsidR="00874D4A">
        <w:rPr>
          <w:lang w:val="bg-BG"/>
        </w:rPr>
        <w:t xml:space="preserve">Преди Латвия да стане член на Европейския съюз, Латвийският парламент разглежда Закона за </w:t>
      </w:r>
      <w:r w:rsidR="00EE018D">
        <w:rPr>
          <w:lang w:val="bg-BG"/>
        </w:rPr>
        <w:t>изборите за Европейски парламент</w:t>
      </w:r>
      <w:r w:rsidR="00874D4A">
        <w:rPr>
          <w:lang w:val="bg-BG"/>
        </w:rPr>
        <w:t xml:space="preserve"> </w:t>
      </w:r>
      <w:r w:rsidR="00874D4A" w:rsidRPr="00945ED6">
        <w:rPr>
          <w:lang w:val="bg-BG"/>
        </w:rPr>
        <w:t>(</w:t>
      </w:r>
      <w:r w:rsidR="00874D4A" w:rsidRPr="00BB4F95">
        <w:rPr>
          <w:i/>
          <w:iCs/>
          <w:lang w:val="en-GB"/>
        </w:rPr>
        <w:t>Eiropas</w:t>
      </w:r>
      <w:r w:rsidR="00874D4A" w:rsidRPr="00945ED6">
        <w:rPr>
          <w:i/>
          <w:iCs/>
          <w:lang w:val="bg-BG"/>
        </w:rPr>
        <w:t xml:space="preserve"> </w:t>
      </w:r>
      <w:r w:rsidR="00874D4A" w:rsidRPr="00BB4F95">
        <w:rPr>
          <w:i/>
          <w:iCs/>
          <w:lang w:val="en-GB"/>
        </w:rPr>
        <w:t>Parlamenta</w:t>
      </w:r>
      <w:r w:rsidR="00874D4A" w:rsidRPr="00945ED6">
        <w:rPr>
          <w:i/>
          <w:iCs/>
          <w:lang w:val="bg-BG"/>
        </w:rPr>
        <w:t xml:space="preserve"> </w:t>
      </w:r>
      <w:r w:rsidR="00874D4A" w:rsidRPr="00BB4F95">
        <w:rPr>
          <w:i/>
          <w:iCs/>
          <w:lang w:val="en-GB"/>
        </w:rPr>
        <w:t>v</w:t>
      </w:r>
      <w:r w:rsidR="00874D4A" w:rsidRPr="00945ED6">
        <w:rPr>
          <w:i/>
          <w:iCs/>
          <w:lang w:val="bg-BG"/>
        </w:rPr>
        <w:t>ē</w:t>
      </w:r>
      <w:r w:rsidR="00874D4A" w:rsidRPr="00BB4F95">
        <w:rPr>
          <w:i/>
          <w:iCs/>
          <w:lang w:val="en-GB"/>
        </w:rPr>
        <w:t>l</w:t>
      </w:r>
      <w:r w:rsidR="00874D4A" w:rsidRPr="00945ED6">
        <w:rPr>
          <w:i/>
          <w:iCs/>
          <w:lang w:val="bg-BG"/>
        </w:rPr>
        <w:t>ēš</w:t>
      </w:r>
      <w:r w:rsidR="00874D4A" w:rsidRPr="00BB4F95">
        <w:rPr>
          <w:i/>
          <w:iCs/>
          <w:lang w:val="en-GB"/>
        </w:rPr>
        <w:t>anu</w:t>
      </w:r>
      <w:r w:rsidR="00874D4A" w:rsidRPr="00945ED6">
        <w:rPr>
          <w:i/>
          <w:iCs/>
          <w:lang w:val="bg-BG"/>
        </w:rPr>
        <w:t xml:space="preserve"> </w:t>
      </w:r>
      <w:r w:rsidR="00874D4A" w:rsidRPr="00BB4F95">
        <w:rPr>
          <w:i/>
          <w:iCs/>
          <w:lang w:val="en-GB"/>
        </w:rPr>
        <w:t>likums</w:t>
      </w:r>
      <w:r w:rsidR="00874D4A" w:rsidRPr="00945ED6">
        <w:rPr>
          <w:lang w:val="bg-BG"/>
        </w:rPr>
        <w:t>)</w:t>
      </w:r>
      <w:r w:rsidR="00874D4A">
        <w:rPr>
          <w:lang w:val="bg-BG"/>
        </w:rPr>
        <w:t xml:space="preserve">, който е приет на 29 януари 2004 г. и влиза в сила на 12 февруари 2004 г. </w:t>
      </w:r>
      <w:r w:rsidR="00E125DE">
        <w:rPr>
          <w:lang w:val="bg-BG"/>
        </w:rPr>
        <w:t xml:space="preserve">В Закона няма разпоредба, подобна на </w:t>
      </w:r>
      <w:r w:rsidR="00A55520">
        <w:rPr>
          <w:lang w:val="bg-BG"/>
        </w:rPr>
        <w:t>раздел</w:t>
      </w:r>
      <w:r w:rsidR="00E125DE">
        <w:rPr>
          <w:lang w:val="bg-BG"/>
        </w:rPr>
        <w:t xml:space="preserve"> 5(6) от Закона за парламентарните избори. Следователно </w:t>
      </w:r>
      <w:r w:rsidR="00354C6E">
        <w:rPr>
          <w:lang w:val="bg-BG"/>
        </w:rPr>
        <w:t>жалбоподателката</w:t>
      </w:r>
      <w:r w:rsidR="00EE018D">
        <w:rPr>
          <w:lang w:val="bg-BG"/>
        </w:rPr>
        <w:t xml:space="preserve"> има право</w:t>
      </w:r>
      <w:r w:rsidR="00E125DE">
        <w:rPr>
          <w:lang w:val="bg-BG"/>
        </w:rPr>
        <w:t xml:space="preserve"> да се кандидатира на </w:t>
      </w:r>
      <w:r w:rsidR="00EE018D">
        <w:rPr>
          <w:lang w:val="bg-BG"/>
        </w:rPr>
        <w:t>изборите за Европейски парламент</w:t>
      </w:r>
      <w:r w:rsidR="00E125DE">
        <w:rPr>
          <w:lang w:val="bg-BG"/>
        </w:rPr>
        <w:t xml:space="preserve">. </w:t>
      </w:r>
    </w:p>
    <w:p w:rsidR="00CD49A7" w:rsidRPr="00945ED6" w:rsidRDefault="00E125DE">
      <w:pPr>
        <w:pStyle w:val="JuHHead"/>
        <w:rPr>
          <w:lang w:val="bg-BG"/>
        </w:rPr>
      </w:pPr>
      <w:r>
        <w:rPr>
          <w:lang w:val="bg-BG"/>
        </w:rPr>
        <w:t>ЗАКОНЪТ</w:t>
      </w:r>
    </w:p>
    <w:p w:rsidR="005911E9" w:rsidRPr="00945ED6" w:rsidRDefault="00CD49A7" w:rsidP="005911E9">
      <w:pPr>
        <w:pStyle w:val="JuHIRoman"/>
        <w:rPr>
          <w:lang w:val="bg-BG"/>
        </w:rPr>
      </w:pPr>
      <w:r w:rsidRPr="00E17978">
        <w:t>I</w:t>
      </w:r>
      <w:r w:rsidRPr="00945ED6">
        <w:rPr>
          <w:lang w:val="bg-BG"/>
        </w:rPr>
        <w:t>.</w:t>
      </w:r>
      <w:r w:rsidRPr="00E17978">
        <w:t> </w:t>
      </w:r>
      <w:r w:rsidR="00E125DE">
        <w:rPr>
          <w:lang w:val="bg-BG"/>
        </w:rPr>
        <w:t>П</w:t>
      </w:r>
      <w:r w:rsidR="00000C09">
        <w:rPr>
          <w:lang w:val="bg-BG"/>
        </w:rPr>
        <w:t xml:space="preserve">РЕДВАРИТЕЛНО ВЪЗРАЖЕНИЕ НА ПРАВИТЕЛСТВОТО </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65</w:t>
      </w:r>
      <w:r w:rsidRPr="00E17978">
        <w:fldChar w:fldCharType="end"/>
      </w:r>
      <w:r w:rsidR="005911E9" w:rsidRPr="00945ED6">
        <w:rPr>
          <w:lang w:val="bg-BG"/>
        </w:rPr>
        <w:t>.</w:t>
      </w:r>
      <w:r w:rsidR="005911E9" w:rsidRPr="00BB4F95">
        <w:rPr>
          <w:lang w:val="en-GB"/>
        </w:rPr>
        <w:t>  </w:t>
      </w:r>
      <w:r w:rsidR="00000C09">
        <w:rPr>
          <w:lang w:val="bg-BG"/>
        </w:rPr>
        <w:t>Правителството твърди, че За</w:t>
      </w:r>
      <w:r w:rsidR="00EE018D">
        <w:rPr>
          <w:lang w:val="bg-BG"/>
        </w:rPr>
        <w:t>конът за изборите за Европейски парламент</w:t>
      </w:r>
      <w:r w:rsidR="00000C09">
        <w:rPr>
          <w:lang w:val="bg-BG"/>
        </w:rPr>
        <w:t xml:space="preserve"> не съдържа разпоредба, по</w:t>
      </w:r>
      <w:r w:rsidR="00EE018D">
        <w:rPr>
          <w:lang w:val="bg-BG"/>
        </w:rPr>
        <w:t xml:space="preserve">добна на </w:t>
      </w:r>
      <w:r w:rsidR="00117C66">
        <w:rPr>
          <w:lang w:val="bg-BG"/>
        </w:rPr>
        <w:t xml:space="preserve">раздел </w:t>
      </w:r>
      <w:r w:rsidR="00EE018D">
        <w:rPr>
          <w:lang w:val="bg-BG"/>
        </w:rPr>
        <w:t>5(6) от Закона за п</w:t>
      </w:r>
      <w:r w:rsidR="00000C09">
        <w:rPr>
          <w:lang w:val="bg-BG"/>
        </w:rPr>
        <w:t>арламентарните избори (вж</w:t>
      </w:r>
      <w:r w:rsidR="00117C66">
        <w:rPr>
          <w:lang w:val="bg-BG"/>
        </w:rPr>
        <w:t>.</w:t>
      </w:r>
      <w:r w:rsidR="00000C09">
        <w:rPr>
          <w:lang w:val="bg-BG"/>
        </w:rPr>
        <w:t xml:space="preserve"> параграфи 58 и 64 по-горе). Следователно </w:t>
      </w:r>
      <w:r w:rsidR="00354C6E">
        <w:rPr>
          <w:lang w:val="bg-BG"/>
        </w:rPr>
        <w:t>жалбоподателката</w:t>
      </w:r>
      <w:r w:rsidR="00EE018D">
        <w:rPr>
          <w:lang w:val="bg-BG"/>
        </w:rPr>
        <w:t xml:space="preserve"> има право</w:t>
      </w:r>
      <w:r w:rsidR="00000C09">
        <w:rPr>
          <w:lang w:val="bg-BG"/>
        </w:rPr>
        <w:t xml:space="preserve"> да се кандидатира на </w:t>
      </w:r>
      <w:r w:rsidR="00EE018D">
        <w:rPr>
          <w:lang w:val="bg-BG"/>
        </w:rPr>
        <w:t>изборите за Европейски парламент. Впоследствие тя действително</w:t>
      </w:r>
      <w:r w:rsidR="00000C09">
        <w:rPr>
          <w:lang w:val="bg-BG"/>
        </w:rPr>
        <w:t xml:space="preserve"> е избрана за член на Европейския парламент. Правителството твърди, че в качеството си на наднационалн</w:t>
      </w:r>
      <w:r w:rsidR="00262C3C">
        <w:rPr>
          <w:lang w:val="bg-BG"/>
        </w:rPr>
        <w:t>а</w:t>
      </w:r>
      <w:r w:rsidR="00000C09">
        <w:rPr>
          <w:lang w:val="bg-BG"/>
        </w:rPr>
        <w:t xml:space="preserve"> законодател</w:t>
      </w:r>
      <w:r w:rsidR="00262C3C">
        <w:rPr>
          <w:lang w:val="bg-BG"/>
        </w:rPr>
        <w:t>на власт</w:t>
      </w:r>
      <w:r w:rsidR="00000C09">
        <w:rPr>
          <w:lang w:val="bg-BG"/>
        </w:rPr>
        <w:t xml:space="preserve"> Европейският парламент трябва да се приема като „по-висш</w:t>
      </w:r>
      <w:r w:rsidR="00F67CDC">
        <w:rPr>
          <w:lang w:val="bg-BG"/>
        </w:rPr>
        <w:t>”</w:t>
      </w:r>
      <w:r w:rsidR="00000C09">
        <w:rPr>
          <w:lang w:val="bg-BG"/>
        </w:rPr>
        <w:t xml:space="preserve"> законодателен орган от латвийския парламент и по този начин „</w:t>
      </w:r>
      <w:r w:rsidR="00354C6E">
        <w:rPr>
          <w:lang w:val="bg-BG"/>
        </w:rPr>
        <w:t>жалбоподателката</w:t>
      </w:r>
      <w:r w:rsidR="00000C09">
        <w:rPr>
          <w:lang w:val="bg-BG"/>
        </w:rPr>
        <w:t xml:space="preserve"> ще има възможност ефективно да упражнява своите „пасивни</w:t>
      </w:r>
      <w:r w:rsidR="00F67CDC">
        <w:rPr>
          <w:lang w:val="bg-BG"/>
        </w:rPr>
        <w:t>”</w:t>
      </w:r>
      <w:r w:rsidR="00000C09">
        <w:rPr>
          <w:lang w:val="bg-BG"/>
        </w:rPr>
        <w:t xml:space="preserve"> </w:t>
      </w:r>
      <w:r w:rsidR="00253A9A">
        <w:rPr>
          <w:lang w:val="bg-BG"/>
        </w:rPr>
        <w:t xml:space="preserve">избирателни права на дори по-високо ниво от това, което е </w:t>
      </w:r>
      <w:r w:rsidR="00D94247">
        <w:rPr>
          <w:lang w:val="bg-BG"/>
        </w:rPr>
        <w:t xml:space="preserve">било предвидено в </w:t>
      </w:r>
      <w:r w:rsidR="00253A9A">
        <w:rPr>
          <w:lang w:val="bg-BG"/>
        </w:rPr>
        <w:t>начало</w:t>
      </w:r>
      <w:r w:rsidR="00D94247">
        <w:rPr>
          <w:lang w:val="bg-BG"/>
        </w:rPr>
        <w:t>то</w:t>
      </w:r>
      <w:r w:rsidR="00262C3C">
        <w:rPr>
          <w:lang w:val="bg-BG"/>
        </w:rPr>
        <w:t>“.</w:t>
      </w:r>
      <w:r w:rsidR="00000C09">
        <w:rPr>
          <w:lang w:val="bg-BG"/>
        </w:rPr>
        <w:t xml:space="preserve"> </w:t>
      </w:r>
    </w:p>
    <w:p w:rsidR="005911E9" w:rsidRPr="00945ED6" w:rsidRDefault="005D3E62" w:rsidP="00B8206D">
      <w:pPr>
        <w:pStyle w:val="JuPara"/>
        <w:rPr>
          <w:lang w:val="bg-BG"/>
        </w:rPr>
      </w:pPr>
      <w:r w:rsidRPr="00E17978">
        <w:fldChar w:fldCharType="begin"/>
      </w:r>
      <w:r w:rsidR="00F04C94" w:rsidRPr="00945ED6">
        <w:rPr>
          <w:lang w:val="bg-BG"/>
        </w:rPr>
        <w:instrText xml:space="preserve"> </w:instrText>
      </w:r>
      <w:r w:rsidR="00F04C94" w:rsidRPr="00BB4F95">
        <w:rPr>
          <w:lang w:val="en-GB"/>
        </w:rPr>
        <w:instrText>SEQ</w:instrText>
      </w:r>
      <w:r w:rsidR="00F04C94" w:rsidRPr="00945ED6">
        <w:rPr>
          <w:lang w:val="bg-BG"/>
        </w:rPr>
        <w:instrText xml:space="preserve"> </w:instrText>
      </w:r>
      <w:r w:rsidR="00F04C94" w:rsidRPr="00BB4F95">
        <w:rPr>
          <w:lang w:val="en-GB"/>
        </w:rPr>
        <w:instrText>level</w:instrText>
      </w:r>
      <w:r w:rsidR="00F04C94" w:rsidRPr="00945ED6">
        <w:rPr>
          <w:lang w:val="bg-BG"/>
        </w:rPr>
        <w:instrText>0 \*</w:instrText>
      </w:r>
      <w:r w:rsidR="00F04C94" w:rsidRPr="00BB4F95">
        <w:rPr>
          <w:lang w:val="en-GB"/>
        </w:rPr>
        <w:instrText>arabic</w:instrText>
      </w:r>
      <w:r w:rsidR="00F04C94" w:rsidRPr="00945ED6">
        <w:rPr>
          <w:lang w:val="bg-BG"/>
        </w:rPr>
        <w:instrText xml:space="preserve"> </w:instrText>
      </w:r>
      <w:r w:rsidRPr="00E17978">
        <w:fldChar w:fldCharType="separate"/>
      </w:r>
      <w:r w:rsidR="00955550" w:rsidRPr="00945ED6">
        <w:rPr>
          <w:noProof/>
          <w:lang w:val="bg-BG"/>
        </w:rPr>
        <w:t>66</w:t>
      </w:r>
      <w:r w:rsidRPr="00E17978">
        <w:fldChar w:fldCharType="end"/>
      </w:r>
      <w:r w:rsidR="00F04C94" w:rsidRPr="00945ED6">
        <w:rPr>
          <w:lang w:val="bg-BG"/>
        </w:rPr>
        <w:t>.</w:t>
      </w:r>
      <w:r w:rsidR="00F04C94" w:rsidRPr="00BB4F95">
        <w:rPr>
          <w:lang w:val="en-GB"/>
        </w:rPr>
        <w:t>  </w:t>
      </w:r>
      <w:r w:rsidR="00253A9A">
        <w:rPr>
          <w:lang w:val="bg-BG"/>
        </w:rPr>
        <w:t>Правителството потвърждава, че до този мом</w:t>
      </w:r>
      <w:r w:rsidR="00D94247">
        <w:rPr>
          <w:lang w:val="bg-BG"/>
        </w:rPr>
        <w:t>ент не са правени изменения на Закона</w:t>
      </w:r>
      <w:r w:rsidR="00253A9A">
        <w:rPr>
          <w:lang w:val="bg-BG"/>
        </w:rPr>
        <w:t xml:space="preserve"> за парламентарните избори и</w:t>
      </w:r>
      <w:r w:rsidR="00D94247">
        <w:rPr>
          <w:lang w:val="bg-BG"/>
        </w:rPr>
        <w:t xml:space="preserve"> Закона за общинските избори</w:t>
      </w:r>
      <w:r w:rsidR="00253A9A">
        <w:rPr>
          <w:lang w:val="bg-BG"/>
        </w:rPr>
        <w:t xml:space="preserve">. Това означава, че оспорваните ограничения </w:t>
      </w:r>
      <w:r w:rsidR="00D94247">
        <w:rPr>
          <w:lang w:val="bg-BG"/>
        </w:rPr>
        <w:t xml:space="preserve">са все още </w:t>
      </w:r>
      <w:r w:rsidR="00253A9A">
        <w:rPr>
          <w:lang w:val="bg-BG"/>
        </w:rPr>
        <w:t xml:space="preserve">в сила и на </w:t>
      </w:r>
      <w:r w:rsidR="00354C6E">
        <w:rPr>
          <w:lang w:val="bg-BG"/>
        </w:rPr>
        <w:t>жалбоподателката</w:t>
      </w:r>
      <w:r w:rsidR="00253A9A">
        <w:rPr>
          <w:lang w:val="bg-BG"/>
        </w:rPr>
        <w:t xml:space="preserve"> все още не се позволява да се кандидатира за член на </w:t>
      </w:r>
      <w:r w:rsidR="00935E60">
        <w:rPr>
          <w:lang w:val="bg-BG"/>
        </w:rPr>
        <w:t>п</w:t>
      </w:r>
      <w:r w:rsidR="00253A9A">
        <w:rPr>
          <w:lang w:val="bg-BG"/>
        </w:rPr>
        <w:t>арламента и на о</w:t>
      </w:r>
      <w:r w:rsidR="00D94247">
        <w:rPr>
          <w:lang w:val="bg-BG"/>
        </w:rPr>
        <w:t xml:space="preserve">бщинските съвети. </w:t>
      </w:r>
      <w:r w:rsidR="00253A9A">
        <w:rPr>
          <w:lang w:val="bg-BG"/>
        </w:rPr>
        <w:t>Правителството</w:t>
      </w:r>
      <w:r w:rsidR="00D94247">
        <w:rPr>
          <w:lang w:val="bg-BG"/>
        </w:rPr>
        <w:t xml:space="preserve"> обаче не счита, че този</w:t>
      </w:r>
      <w:r w:rsidR="00253A9A">
        <w:rPr>
          <w:lang w:val="bg-BG"/>
        </w:rPr>
        <w:t xml:space="preserve"> факт е съществен за изхода на делото. Присъединяването на Латвия към Европейския съюз през пролетта на 2004 г. </w:t>
      </w:r>
      <w:r w:rsidR="00626324">
        <w:rPr>
          <w:lang w:val="bg-BG"/>
        </w:rPr>
        <w:t>отбелязва кулминацията на преходния период, т.е. на преминаването на страната от тоталитарно към демокра</w:t>
      </w:r>
      <w:r w:rsidR="00D94247">
        <w:rPr>
          <w:lang w:val="bg-BG"/>
        </w:rPr>
        <w:t xml:space="preserve">тично общество, и членовете на </w:t>
      </w:r>
      <w:r w:rsidR="00935E60">
        <w:rPr>
          <w:lang w:val="bg-BG"/>
        </w:rPr>
        <w:t>п</w:t>
      </w:r>
      <w:r w:rsidR="00626324">
        <w:rPr>
          <w:lang w:val="bg-BG"/>
        </w:rPr>
        <w:t>арламента са наясно с това. Освен това периодичното преразгле</w:t>
      </w:r>
      <w:r w:rsidR="00827A92">
        <w:rPr>
          <w:lang w:val="bg-BG"/>
        </w:rPr>
        <w:t>ж</w:t>
      </w:r>
      <w:r w:rsidR="00626324">
        <w:rPr>
          <w:lang w:val="bg-BG"/>
        </w:rPr>
        <w:t xml:space="preserve">дане на спорните разпоредби съставлява </w:t>
      </w:r>
      <w:r w:rsidR="00626324">
        <w:rPr>
          <w:lang w:val="bg-BG"/>
        </w:rPr>
        <w:lastRenderedPageBreak/>
        <w:t>устойчива парламентарна практика (вж</w:t>
      </w:r>
      <w:r w:rsidR="00935E60">
        <w:rPr>
          <w:lang w:val="bg-BG"/>
        </w:rPr>
        <w:t>.</w:t>
      </w:r>
      <w:r w:rsidR="00626324">
        <w:rPr>
          <w:lang w:val="bg-BG"/>
        </w:rPr>
        <w:t xml:space="preserve"> параграф 61 по-горе) и разпоредбите, от които </w:t>
      </w:r>
      <w:r w:rsidR="00354C6E">
        <w:rPr>
          <w:lang w:val="bg-BG"/>
        </w:rPr>
        <w:t>жалбоподателката</w:t>
      </w:r>
      <w:r w:rsidR="00626324">
        <w:rPr>
          <w:lang w:val="bg-BG"/>
        </w:rPr>
        <w:t xml:space="preserve"> се оплаква, имат временен характер.  </w:t>
      </w:r>
    </w:p>
    <w:p w:rsidR="00247D07" w:rsidRPr="00945ED6" w:rsidRDefault="005D3E62" w:rsidP="00B8206D">
      <w:pPr>
        <w:pStyle w:val="JuPara"/>
        <w:rPr>
          <w:lang w:val="bg-BG"/>
        </w:rPr>
      </w:pPr>
      <w:r w:rsidRPr="00E17978">
        <w:fldChar w:fldCharType="begin"/>
      </w:r>
      <w:r w:rsidR="00F04C94" w:rsidRPr="00945ED6">
        <w:rPr>
          <w:lang w:val="bg-BG"/>
        </w:rPr>
        <w:instrText xml:space="preserve"> </w:instrText>
      </w:r>
      <w:r w:rsidR="00F04C94" w:rsidRPr="00BB4F95">
        <w:rPr>
          <w:lang w:val="en-GB"/>
        </w:rPr>
        <w:instrText>SEQ</w:instrText>
      </w:r>
      <w:r w:rsidR="00F04C94" w:rsidRPr="00945ED6">
        <w:rPr>
          <w:lang w:val="bg-BG"/>
        </w:rPr>
        <w:instrText xml:space="preserve"> </w:instrText>
      </w:r>
      <w:r w:rsidR="00F04C94" w:rsidRPr="00BB4F95">
        <w:rPr>
          <w:lang w:val="en-GB"/>
        </w:rPr>
        <w:instrText>level</w:instrText>
      </w:r>
      <w:r w:rsidR="00F04C94" w:rsidRPr="00945ED6">
        <w:rPr>
          <w:lang w:val="bg-BG"/>
        </w:rPr>
        <w:instrText>0 \*</w:instrText>
      </w:r>
      <w:r w:rsidR="00F04C94" w:rsidRPr="00BB4F95">
        <w:rPr>
          <w:lang w:val="en-GB"/>
        </w:rPr>
        <w:instrText>arabic</w:instrText>
      </w:r>
      <w:r w:rsidR="00F04C94" w:rsidRPr="00945ED6">
        <w:rPr>
          <w:lang w:val="bg-BG"/>
        </w:rPr>
        <w:instrText xml:space="preserve"> </w:instrText>
      </w:r>
      <w:r w:rsidRPr="00E17978">
        <w:fldChar w:fldCharType="separate"/>
      </w:r>
      <w:r w:rsidR="00955550" w:rsidRPr="00945ED6">
        <w:rPr>
          <w:noProof/>
          <w:lang w:val="bg-BG"/>
        </w:rPr>
        <w:t>67</w:t>
      </w:r>
      <w:r w:rsidRPr="00E17978">
        <w:fldChar w:fldCharType="end"/>
      </w:r>
      <w:r w:rsidR="00F04C94" w:rsidRPr="00945ED6">
        <w:rPr>
          <w:lang w:val="bg-BG"/>
        </w:rPr>
        <w:t>.</w:t>
      </w:r>
      <w:r w:rsidR="00F04C94" w:rsidRPr="00BB4F95">
        <w:rPr>
          <w:lang w:val="en-GB"/>
        </w:rPr>
        <w:t>  </w:t>
      </w:r>
      <w:r w:rsidR="00626324">
        <w:rPr>
          <w:lang w:val="bg-BG"/>
        </w:rPr>
        <w:t>Поради гореизложените причини, Пра</w:t>
      </w:r>
      <w:r w:rsidR="00760517">
        <w:rPr>
          <w:lang w:val="bg-BG"/>
        </w:rPr>
        <w:t>вителството счита за решен спорът</w:t>
      </w:r>
      <w:r w:rsidR="00626324">
        <w:rPr>
          <w:lang w:val="bg-BG"/>
        </w:rPr>
        <w:t xml:space="preserve">, залегнал в основата на настоящото дело, и че </w:t>
      </w:r>
      <w:r w:rsidR="00354C6E">
        <w:rPr>
          <w:lang w:val="bg-BG"/>
        </w:rPr>
        <w:t>жалбата</w:t>
      </w:r>
      <w:r w:rsidR="00626324">
        <w:rPr>
          <w:lang w:val="bg-BG"/>
        </w:rPr>
        <w:t xml:space="preserve"> трябва да се заличи от </w:t>
      </w:r>
      <w:r w:rsidR="00935E60">
        <w:rPr>
          <w:lang w:val="bg-BG"/>
        </w:rPr>
        <w:t xml:space="preserve">списъка </w:t>
      </w:r>
      <w:r w:rsidR="00626324">
        <w:rPr>
          <w:lang w:val="bg-BG"/>
        </w:rPr>
        <w:t>по силата на чл</w:t>
      </w:r>
      <w:r w:rsidR="00935E60">
        <w:rPr>
          <w:lang w:val="bg-BG"/>
        </w:rPr>
        <w:t>ен</w:t>
      </w:r>
      <w:r w:rsidR="00626324">
        <w:rPr>
          <w:lang w:val="bg-BG"/>
        </w:rPr>
        <w:t xml:space="preserve"> </w:t>
      </w:r>
      <w:r w:rsidR="00626324" w:rsidRPr="00945ED6">
        <w:rPr>
          <w:lang w:val="bg-BG"/>
        </w:rPr>
        <w:t>37 § 1 (б)</w:t>
      </w:r>
      <w:r w:rsidR="00626324">
        <w:rPr>
          <w:lang w:val="bg-BG"/>
        </w:rPr>
        <w:t xml:space="preserve"> от Конвенцията. </w:t>
      </w:r>
    </w:p>
    <w:p w:rsidR="005E301B"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68</w:t>
      </w:r>
      <w:r w:rsidRPr="00E17978">
        <w:fldChar w:fldCharType="end"/>
      </w:r>
      <w:r w:rsidR="005911E9" w:rsidRPr="00945ED6">
        <w:rPr>
          <w:lang w:val="bg-BG"/>
        </w:rPr>
        <w:t>.</w:t>
      </w:r>
      <w:r w:rsidR="005911E9" w:rsidRPr="00BB4F95">
        <w:rPr>
          <w:lang w:val="en-GB"/>
        </w:rPr>
        <w:t>  </w:t>
      </w:r>
      <w:r w:rsidR="00354C6E">
        <w:rPr>
          <w:lang w:val="bg-BG"/>
        </w:rPr>
        <w:t>Жалбоподателката</w:t>
      </w:r>
      <w:r w:rsidR="004C6249">
        <w:rPr>
          <w:lang w:val="bg-BG"/>
        </w:rPr>
        <w:t xml:space="preserve"> не се съгласява. Потвърждава, че има право да се кандидатира на европейските избори и че се е възползвал</w:t>
      </w:r>
      <w:r w:rsidR="00D94247">
        <w:rPr>
          <w:lang w:val="bg-BG"/>
        </w:rPr>
        <w:t>а от това право. Т</w:t>
      </w:r>
      <w:r w:rsidR="004C6249">
        <w:rPr>
          <w:lang w:val="bg-BG"/>
        </w:rPr>
        <w:t>ози факт</w:t>
      </w:r>
      <w:r w:rsidR="00D94247">
        <w:rPr>
          <w:lang w:val="bg-BG"/>
        </w:rPr>
        <w:t xml:space="preserve"> обаче</w:t>
      </w:r>
      <w:r w:rsidR="004C6249">
        <w:rPr>
          <w:lang w:val="bg-BG"/>
        </w:rPr>
        <w:t xml:space="preserve"> не решава спора, тъй кат</w:t>
      </w:r>
      <w:r w:rsidR="00D94247">
        <w:rPr>
          <w:lang w:val="bg-BG"/>
        </w:rPr>
        <w:t>о разпоредбите, съдържащи се в законите</w:t>
      </w:r>
      <w:r w:rsidR="004C6249">
        <w:rPr>
          <w:lang w:val="bg-BG"/>
        </w:rPr>
        <w:t xml:space="preserve"> за парламентарните и общинските избори, все още са в сила</w:t>
      </w:r>
      <w:r w:rsidR="00D94247">
        <w:rPr>
          <w:lang w:val="bg-BG"/>
        </w:rPr>
        <w:t xml:space="preserve"> и нищо не г</w:t>
      </w:r>
      <w:r w:rsidR="00760517">
        <w:rPr>
          <w:lang w:val="bg-BG"/>
        </w:rPr>
        <w:t>а</w:t>
      </w:r>
      <w:r w:rsidR="00D94247">
        <w:rPr>
          <w:lang w:val="bg-BG"/>
        </w:rPr>
        <w:t>рантира</w:t>
      </w:r>
      <w:r w:rsidR="004C6249">
        <w:rPr>
          <w:lang w:val="bg-BG"/>
        </w:rPr>
        <w:t xml:space="preserve">, че ще бъдат </w:t>
      </w:r>
      <w:r w:rsidR="00706D7B">
        <w:rPr>
          <w:lang w:val="bg-BG"/>
        </w:rPr>
        <w:t xml:space="preserve">отменени </w:t>
      </w:r>
      <w:r w:rsidR="004C6249">
        <w:rPr>
          <w:lang w:val="bg-BG"/>
        </w:rPr>
        <w:t xml:space="preserve">в близко бъдеще. </w:t>
      </w:r>
    </w:p>
    <w:p w:rsidR="005A5ED0" w:rsidRPr="00F56638"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69</w:t>
      </w:r>
      <w:r w:rsidRPr="00E17978">
        <w:fldChar w:fldCharType="end"/>
      </w:r>
      <w:r w:rsidR="005911E9" w:rsidRPr="00945ED6">
        <w:rPr>
          <w:lang w:val="bg-BG"/>
        </w:rPr>
        <w:t>.</w:t>
      </w:r>
      <w:r w:rsidR="005911E9" w:rsidRPr="00BB4F95">
        <w:rPr>
          <w:lang w:val="en-GB"/>
        </w:rPr>
        <w:t>  </w:t>
      </w:r>
      <w:r w:rsidR="00760517" w:rsidRPr="00760517">
        <w:rPr>
          <w:lang w:val="bg-BG"/>
        </w:rPr>
        <w:t>По мнение на</w:t>
      </w:r>
      <w:r w:rsidR="00D94247" w:rsidRPr="00760517">
        <w:rPr>
          <w:lang w:val="bg-BG"/>
        </w:rPr>
        <w:t xml:space="preserve"> </w:t>
      </w:r>
      <w:r w:rsidR="00245FD8" w:rsidRPr="00760517">
        <w:rPr>
          <w:lang w:val="bg-BG"/>
        </w:rPr>
        <w:t>съда въпросът</w:t>
      </w:r>
      <w:r w:rsidR="00760517" w:rsidRPr="00760517">
        <w:rPr>
          <w:lang w:val="bg-BG"/>
        </w:rPr>
        <w:t xml:space="preserve">, поставен в </w:t>
      </w:r>
      <w:r w:rsidR="00706D7B" w:rsidRPr="00760517">
        <w:rPr>
          <w:lang w:val="bg-BG"/>
        </w:rPr>
        <w:t>из</w:t>
      </w:r>
      <w:r w:rsidR="00706D7B">
        <w:rPr>
          <w:lang w:val="bg-BG"/>
        </w:rPr>
        <w:t>ложенията</w:t>
      </w:r>
      <w:r w:rsidR="00706D7B" w:rsidRPr="00760517">
        <w:rPr>
          <w:lang w:val="bg-BG"/>
        </w:rPr>
        <w:t xml:space="preserve"> </w:t>
      </w:r>
      <w:r w:rsidR="00245FD8" w:rsidRPr="00760517">
        <w:rPr>
          <w:lang w:val="bg-BG"/>
        </w:rPr>
        <w:t xml:space="preserve">на Правителството, е дали </w:t>
      </w:r>
      <w:r w:rsidR="00354C6E" w:rsidRPr="00760517">
        <w:rPr>
          <w:lang w:val="bg-BG"/>
        </w:rPr>
        <w:t>жалбоподателката</w:t>
      </w:r>
      <w:r w:rsidR="00D94247" w:rsidRPr="00760517">
        <w:rPr>
          <w:lang w:val="bg-BG"/>
        </w:rPr>
        <w:t xml:space="preserve"> фактически е изгубила</w:t>
      </w:r>
      <w:r w:rsidR="00245FD8" w:rsidRPr="00760517">
        <w:rPr>
          <w:lang w:val="bg-BG"/>
        </w:rPr>
        <w:t xml:space="preserve"> статута си на „жертва</w:t>
      </w:r>
      <w:r w:rsidR="00F67CDC" w:rsidRPr="00760517">
        <w:rPr>
          <w:lang w:val="bg-BG"/>
        </w:rPr>
        <w:t>”</w:t>
      </w:r>
      <w:r w:rsidR="00D94247" w:rsidRPr="00760517">
        <w:rPr>
          <w:lang w:val="bg-BG"/>
        </w:rPr>
        <w:t xml:space="preserve"> по</w:t>
      </w:r>
      <w:r w:rsidR="00245FD8" w:rsidRPr="00760517">
        <w:rPr>
          <w:lang w:val="bg-BG"/>
        </w:rPr>
        <w:t xml:space="preserve"> смисъла на чл</w:t>
      </w:r>
      <w:r w:rsidR="00706D7B">
        <w:rPr>
          <w:lang w:val="bg-BG"/>
        </w:rPr>
        <w:t>ен</w:t>
      </w:r>
      <w:r w:rsidR="00245FD8" w:rsidRPr="00760517">
        <w:rPr>
          <w:lang w:val="bg-BG"/>
        </w:rPr>
        <w:t xml:space="preserve"> 34 от Конвенцията. </w:t>
      </w:r>
      <w:r w:rsidR="00355974" w:rsidRPr="00760517">
        <w:rPr>
          <w:lang w:val="bg-BG"/>
        </w:rPr>
        <w:t>В тази</w:t>
      </w:r>
      <w:r w:rsidR="00355974">
        <w:rPr>
          <w:lang w:val="bg-BG"/>
        </w:rPr>
        <w:t xml:space="preserve"> връзка </w:t>
      </w:r>
      <w:r w:rsidR="00706D7B">
        <w:rPr>
          <w:lang w:val="bg-BG"/>
        </w:rPr>
        <w:t>С</w:t>
      </w:r>
      <w:r w:rsidR="00355974">
        <w:rPr>
          <w:lang w:val="bg-BG"/>
        </w:rPr>
        <w:t xml:space="preserve">ъдът се позовава на установената </w:t>
      </w:r>
      <w:r w:rsidR="00706D7B">
        <w:rPr>
          <w:lang w:val="bg-BG"/>
        </w:rPr>
        <w:t xml:space="preserve">си </w:t>
      </w:r>
      <w:r w:rsidR="00355974">
        <w:rPr>
          <w:lang w:val="bg-BG"/>
        </w:rPr>
        <w:t xml:space="preserve">съдебна практика, според която решение или мярка, благоприятни за даден жалбоподател, не са принципно достатъчни, за да </w:t>
      </w:r>
      <w:r w:rsidR="00D94247">
        <w:rPr>
          <w:lang w:val="bg-BG"/>
        </w:rPr>
        <w:t>се премахне</w:t>
      </w:r>
      <w:r w:rsidR="003E226A">
        <w:rPr>
          <w:lang w:val="bg-BG"/>
        </w:rPr>
        <w:t xml:space="preserve"> статутът</w:t>
      </w:r>
      <w:r w:rsidR="00355974">
        <w:rPr>
          <w:lang w:val="bg-BG"/>
        </w:rPr>
        <w:t xml:space="preserve"> му на жертва, освен ако националните власти не са признали, изрично или по същество, и след това </w:t>
      </w:r>
      <w:r w:rsidR="00D94247">
        <w:rPr>
          <w:lang w:val="bg-BG"/>
        </w:rPr>
        <w:t xml:space="preserve">не </w:t>
      </w:r>
      <w:r w:rsidR="00760517">
        <w:rPr>
          <w:lang w:val="bg-BG"/>
        </w:rPr>
        <w:t>са предоставили</w:t>
      </w:r>
      <w:r w:rsidR="00355974">
        <w:rPr>
          <w:lang w:val="bg-BG"/>
        </w:rPr>
        <w:t xml:space="preserve"> обезщетение</w:t>
      </w:r>
      <w:r w:rsidR="00D94247">
        <w:rPr>
          <w:lang w:val="bg-BG"/>
        </w:rPr>
        <w:t xml:space="preserve"> за</w:t>
      </w:r>
      <w:r w:rsidR="003F4B41">
        <w:rPr>
          <w:lang w:val="bg-BG"/>
        </w:rPr>
        <w:t xml:space="preserve"> нарушението на </w:t>
      </w:r>
      <w:r w:rsidR="003F4B41" w:rsidRPr="00760517">
        <w:rPr>
          <w:lang w:val="bg-BG"/>
        </w:rPr>
        <w:t>Конвенцията (вж</w:t>
      </w:r>
      <w:r w:rsidR="00D00C18">
        <w:rPr>
          <w:lang w:val="bg-BG"/>
        </w:rPr>
        <w:t>.</w:t>
      </w:r>
      <w:r w:rsidR="003F4B41" w:rsidRPr="00760517">
        <w:rPr>
          <w:lang w:val="bg-BG"/>
        </w:rPr>
        <w:t xml:space="preserve"> например </w:t>
      </w:r>
      <w:r w:rsidR="003F4B41" w:rsidRPr="00760517">
        <w:rPr>
          <w:i/>
          <w:iCs/>
          <w:lang w:val="en-GB"/>
        </w:rPr>
        <w:t>Amuur</w:t>
      </w:r>
      <w:r w:rsidR="003F4B41" w:rsidRPr="00760517">
        <w:rPr>
          <w:i/>
          <w:iCs/>
          <w:lang w:val="bg-BG"/>
        </w:rPr>
        <w:t xml:space="preserve"> </w:t>
      </w:r>
      <w:r w:rsidR="003F4B41" w:rsidRPr="00760517">
        <w:rPr>
          <w:i/>
          <w:iCs/>
          <w:lang w:val="en-GB"/>
        </w:rPr>
        <w:t>v</w:t>
      </w:r>
      <w:r w:rsidR="003F4B41" w:rsidRPr="00760517">
        <w:rPr>
          <w:i/>
          <w:iCs/>
          <w:lang w:val="bg-BG"/>
        </w:rPr>
        <w:t xml:space="preserve">. </w:t>
      </w:r>
      <w:r w:rsidR="003F4B41" w:rsidRPr="00760517">
        <w:rPr>
          <w:i/>
          <w:iCs/>
          <w:lang w:val="en-GB"/>
        </w:rPr>
        <w:t>France</w:t>
      </w:r>
      <w:r w:rsidR="003F4B41" w:rsidRPr="00760517">
        <w:rPr>
          <w:lang w:val="bg-BG"/>
        </w:rPr>
        <w:t xml:space="preserve">, 25 юни 1996, § 36, </w:t>
      </w:r>
      <w:r w:rsidR="003F4B41" w:rsidRPr="00760517">
        <w:rPr>
          <w:i/>
          <w:iCs/>
          <w:lang w:val="en-GB"/>
        </w:rPr>
        <w:t>Reports</w:t>
      </w:r>
      <w:r w:rsidR="003F4B41" w:rsidRPr="00760517">
        <w:rPr>
          <w:i/>
          <w:iCs/>
          <w:lang w:val="bg-BG"/>
        </w:rPr>
        <w:t xml:space="preserve"> </w:t>
      </w:r>
      <w:r w:rsidR="003F4B41" w:rsidRPr="00760517">
        <w:rPr>
          <w:i/>
          <w:iCs/>
          <w:lang w:val="en-GB"/>
        </w:rPr>
        <w:t>of</w:t>
      </w:r>
      <w:r w:rsidR="003F4B41" w:rsidRPr="00760517">
        <w:rPr>
          <w:i/>
          <w:iCs/>
          <w:lang w:val="bg-BG"/>
        </w:rPr>
        <w:t xml:space="preserve"> </w:t>
      </w:r>
      <w:r w:rsidR="003F4B41" w:rsidRPr="00760517">
        <w:rPr>
          <w:i/>
          <w:iCs/>
          <w:lang w:val="en-GB"/>
        </w:rPr>
        <w:t>Judgments</w:t>
      </w:r>
      <w:r w:rsidR="003F4B41" w:rsidRPr="00760517">
        <w:rPr>
          <w:i/>
          <w:iCs/>
          <w:lang w:val="bg-BG"/>
        </w:rPr>
        <w:t xml:space="preserve"> </w:t>
      </w:r>
      <w:r w:rsidR="003F4B41" w:rsidRPr="00760517">
        <w:rPr>
          <w:i/>
          <w:iCs/>
          <w:lang w:val="en-GB"/>
        </w:rPr>
        <w:t>and</w:t>
      </w:r>
      <w:r w:rsidR="003F4B41" w:rsidRPr="00760517">
        <w:rPr>
          <w:i/>
          <w:iCs/>
          <w:lang w:val="bg-BG"/>
        </w:rPr>
        <w:t xml:space="preserve"> </w:t>
      </w:r>
      <w:r w:rsidR="003F4B41" w:rsidRPr="00760517">
        <w:rPr>
          <w:i/>
          <w:iCs/>
          <w:lang w:val="en-GB"/>
        </w:rPr>
        <w:t>Decisions</w:t>
      </w:r>
      <w:r w:rsidR="003F4B41" w:rsidRPr="00760517">
        <w:rPr>
          <w:i/>
          <w:iCs/>
          <w:lang w:val="bg-BG"/>
        </w:rPr>
        <w:t xml:space="preserve"> </w:t>
      </w:r>
      <w:r w:rsidR="003F4B41" w:rsidRPr="00760517">
        <w:rPr>
          <w:lang w:val="bg-BG"/>
        </w:rPr>
        <w:t>1996-</w:t>
      </w:r>
      <w:r w:rsidR="003F4B41">
        <w:rPr>
          <w:lang w:val="en-GB"/>
        </w:rPr>
        <w:t>III</w:t>
      </w:r>
      <w:r w:rsidR="003F4B41" w:rsidRPr="00760517">
        <w:rPr>
          <w:lang w:val="bg-BG"/>
        </w:rPr>
        <w:t xml:space="preserve">; </w:t>
      </w:r>
      <w:r w:rsidR="003F4B41" w:rsidRPr="00BB4F95">
        <w:rPr>
          <w:i/>
          <w:iCs/>
          <w:lang w:val="en-GB"/>
        </w:rPr>
        <w:t>Dalban</w:t>
      </w:r>
      <w:r w:rsidR="003F4B41" w:rsidRPr="00760517">
        <w:rPr>
          <w:i/>
          <w:iCs/>
          <w:lang w:val="bg-BG"/>
        </w:rPr>
        <w:t xml:space="preserve"> </w:t>
      </w:r>
      <w:r w:rsidR="003F4B41" w:rsidRPr="00BB4F95">
        <w:rPr>
          <w:i/>
          <w:iCs/>
          <w:lang w:val="en-GB"/>
        </w:rPr>
        <w:t>v</w:t>
      </w:r>
      <w:r w:rsidR="003F4B41" w:rsidRPr="00760517">
        <w:rPr>
          <w:i/>
          <w:iCs/>
          <w:lang w:val="bg-BG"/>
        </w:rPr>
        <w:t xml:space="preserve">. </w:t>
      </w:r>
      <w:r w:rsidR="003F4B41" w:rsidRPr="00BB4F95">
        <w:rPr>
          <w:i/>
          <w:iCs/>
          <w:lang w:val="en-GB"/>
        </w:rPr>
        <w:t>Romania</w:t>
      </w:r>
      <w:r w:rsidR="003F4B41" w:rsidRPr="00760517">
        <w:rPr>
          <w:lang w:val="bg-BG"/>
        </w:rPr>
        <w:t xml:space="preserve"> [</w:t>
      </w:r>
      <w:r w:rsidR="003F4B41">
        <w:rPr>
          <w:lang w:val="en-GB"/>
        </w:rPr>
        <w:t>GC</w:t>
      </w:r>
      <w:r w:rsidR="003F4B41" w:rsidRPr="00760517">
        <w:rPr>
          <w:lang w:val="bg-BG"/>
        </w:rPr>
        <w:t xml:space="preserve">], </w:t>
      </w:r>
      <w:r w:rsidR="003F4B41" w:rsidRPr="002B1ED6">
        <w:rPr>
          <w:szCs w:val="24"/>
          <w:cs/>
        </w:rPr>
        <w:t>№</w:t>
      </w:r>
      <w:r w:rsidR="003F4B41">
        <w:rPr>
          <w:lang w:val="en-GB"/>
        </w:rPr>
        <w:t> </w:t>
      </w:r>
      <w:r w:rsidR="003F4B41" w:rsidRPr="00760517">
        <w:rPr>
          <w:lang w:val="bg-BG"/>
        </w:rPr>
        <w:t xml:space="preserve">28114/95, § 44, </w:t>
      </w:r>
      <w:r w:rsidR="003F4B41">
        <w:rPr>
          <w:lang w:val="bg-BG"/>
        </w:rPr>
        <w:t>ЕСПЧ</w:t>
      </w:r>
      <w:r w:rsidR="003F4B41" w:rsidRPr="00760517">
        <w:rPr>
          <w:lang w:val="bg-BG"/>
        </w:rPr>
        <w:t xml:space="preserve"> 1999-</w:t>
      </w:r>
      <w:r w:rsidR="003F4B41" w:rsidRPr="00BB4F95">
        <w:rPr>
          <w:lang w:val="en-GB"/>
        </w:rPr>
        <w:t>VI</w:t>
      </w:r>
      <w:r w:rsidR="003F4B41" w:rsidRPr="00760517">
        <w:rPr>
          <w:lang w:val="bg-BG"/>
        </w:rPr>
        <w:t xml:space="preserve">; </w:t>
      </w:r>
      <w:r w:rsidR="003F4B41">
        <w:rPr>
          <w:i/>
          <w:iCs/>
          <w:lang w:val="en-GB"/>
        </w:rPr>
        <w:t>Labita</w:t>
      </w:r>
      <w:r w:rsidR="003F4B41" w:rsidRPr="00760517">
        <w:rPr>
          <w:i/>
          <w:iCs/>
          <w:lang w:val="bg-BG"/>
        </w:rPr>
        <w:t xml:space="preserve"> </w:t>
      </w:r>
      <w:r w:rsidR="003F4B41">
        <w:rPr>
          <w:i/>
          <w:iCs/>
          <w:lang w:val="en-GB"/>
        </w:rPr>
        <w:t>v</w:t>
      </w:r>
      <w:r w:rsidR="003F4B41" w:rsidRPr="00760517">
        <w:rPr>
          <w:i/>
          <w:iCs/>
          <w:lang w:val="bg-BG"/>
        </w:rPr>
        <w:t xml:space="preserve">. </w:t>
      </w:r>
      <w:r w:rsidR="003F4B41" w:rsidRPr="00BB4F95">
        <w:rPr>
          <w:i/>
          <w:iCs/>
          <w:lang w:val="en-GB"/>
        </w:rPr>
        <w:t>Italy</w:t>
      </w:r>
      <w:r w:rsidR="003F4B41" w:rsidRPr="00760517">
        <w:rPr>
          <w:lang w:val="bg-BG"/>
        </w:rPr>
        <w:t xml:space="preserve"> [</w:t>
      </w:r>
      <w:r w:rsidR="003F4B41">
        <w:rPr>
          <w:lang w:val="en-GB"/>
        </w:rPr>
        <w:t>GC</w:t>
      </w:r>
      <w:r w:rsidR="003F4B41" w:rsidRPr="00760517">
        <w:rPr>
          <w:lang w:val="bg-BG"/>
        </w:rPr>
        <w:t xml:space="preserve">], </w:t>
      </w:r>
      <w:r w:rsidR="003F4B41" w:rsidRPr="002B1ED6">
        <w:rPr>
          <w:szCs w:val="24"/>
          <w:cs/>
        </w:rPr>
        <w:t>№</w:t>
      </w:r>
      <w:r w:rsidR="003F4B41" w:rsidRPr="00760517">
        <w:rPr>
          <w:lang w:val="bg-BG"/>
        </w:rPr>
        <w:t xml:space="preserve"> 26772/95, §</w:t>
      </w:r>
      <w:r w:rsidR="003F4B41">
        <w:rPr>
          <w:lang w:val="en-GB"/>
        </w:rPr>
        <w:t> </w:t>
      </w:r>
      <w:r w:rsidR="003F4B41" w:rsidRPr="00760517">
        <w:rPr>
          <w:lang w:val="bg-BG"/>
        </w:rPr>
        <w:t xml:space="preserve">142, </w:t>
      </w:r>
      <w:r w:rsidR="003F4B41">
        <w:rPr>
          <w:lang w:val="en-GB"/>
        </w:rPr>
        <w:t>EC</w:t>
      </w:r>
      <w:r w:rsidR="003F4B41" w:rsidRPr="00760517">
        <w:rPr>
          <w:lang w:val="bg-BG"/>
        </w:rPr>
        <w:t>ПЧ 2000-</w:t>
      </w:r>
      <w:r w:rsidR="003F4B41" w:rsidRPr="00BB4F95">
        <w:rPr>
          <w:lang w:val="en-GB"/>
        </w:rPr>
        <w:t>IV</w:t>
      </w:r>
      <w:r w:rsidR="003F4B41" w:rsidRPr="00760517">
        <w:rPr>
          <w:lang w:val="bg-BG"/>
        </w:rPr>
        <w:t xml:space="preserve">; и </w:t>
      </w:r>
      <w:r w:rsidR="003F4B41" w:rsidRPr="00BB4F95">
        <w:rPr>
          <w:i/>
          <w:iCs/>
          <w:lang w:val="en-GB"/>
        </w:rPr>
        <w:t>Ila</w:t>
      </w:r>
      <w:r w:rsidR="003F4B41" w:rsidRPr="00760517">
        <w:rPr>
          <w:i/>
          <w:iCs/>
          <w:lang w:val="bg-BG"/>
        </w:rPr>
        <w:t>ş</w:t>
      </w:r>
      <w:r w:rsidR="003F4B41" w:rsidRPr="00BB4F95">
        <w:rPr>
          <w:i/>
          <w:iCs/>
          <w:lang w:val="en-GB"/>
        </w:rPr>
        <w:t>cu</w:t>
      </w:r>
      <w:r w:rsidR="003F4B41" w:rsidRPr="00760517">
        <w:rPr>
          <w:i/>
          <w:iCs/>
          <w:lang w:val="bg-BG"/>
        </w:rPr>
        <w:t xml:space="preserve"> </w:t>
      </w:r>
      <w:r w:rsidR="003F4B41" w:rsidRPr="00BB4F95">
        <w:rPr>
          <w:i/>
          <w:iCs/>
          <w:lang w:val="en-GB"/>
        </w:rPr>
        <w:t>and</w:t>
      </w:r>
      <w:r w:rsidR="003F4B41" w:rsidRPr="00760517">
        <w:rPr>
          <w:i/>
          <w:iCs/>
          <w:lang w:val="bg-BG"/>
        </w:rPr>
        <w:t xml:space="preserve"> </w:t>
      </w:r>
      <w:r w:rsidR="003F4B41" w:rsidRPr="00BB4F95">
        <w:rPr>
          <w:i/>
          <w:iCs/>
          <w:lang w:val="en-GB"/>
        </w:rPr>
        <w:t>Others</w:t>
      </w:r>
      <w:r w:rsidR="003F4B41" w:rsidRPr="00760517">
        <w:rPr>
          <w:i/>
          <w:iCs/>
          <w:lang w:val="bg-BG"/>
        </w:rPr>
        <w:t xml:space="preserve"> </w:t>
      </w:r>
      <w:r w:rsidR="003F4B41" w:rsidRPr="00BB4F95">
        <w:rPr>
          <w:i/>
          <w:iCs/>
          <w:lang w:val="en-GB"/>
        </w:rPr>
        <w:t>v</w:t>
      </w:r>
      <w:r w:rsidR="003F4B41" w:rsidRPr="00760517">
        <w:rPr>
          <w:i/>
          <w:iCs/>
          <w:lang w:val="bg-BG"/>
        </w:rPr>
        <w:t xml:space="preserve">. </w:t>
      </w:r>
      <w:r w:rsidR="003F4B41" w:rsidRPr="00BB4F95">
        <w:rPr>
          <w:i/>
          <w:iCs/>
          <w:lang w:val="en-GB"/>
        </w:rPr>
        <w:t>Moldova</w:t>
      </w:r>
      <w:r w:rsidR="003F4B41" w:rsidRPr="00760517">
        <w:rPr>
          <w:i/>
          <w:iCs/>
          <w:lang w:val="bg-BG"/>
        </w:rPr>
        <w:t xml:space="preserve"> </w:t>
      </w:r>
      <w:r w:rsidR="003F4B41" w:rsidRPr="00BB4F95">
        <w:rPr>
          <w:i/>
          <w:iCs/>
          <w:lang w:val="en-GB"/>
        </w:rPr>
        <w:t>and</w:t>
      </w:r>
      <w:r w:rsidR="003F4B41" w:rsidRPr="00760517">
        <w:rPr>
          <w:i/>
          <w:iCs/>
          <w:lang w:val="bg-BG"/>
        </w:rPr>
        <w:t xml:space="preserve"> </w:t>
      </w:r>
      <w:r w:rsidR="003F4B41" w:rsidRPr="00BB4F95">
        <w:rPr>
          <w:i/>
          <w:iCs/>
          <w:lang w:val="en-GB"/>
        </w:rPr>
        <w:t>Russia</w:t>
      </w:r>
      <w:r w:rsidR="003F4B41" w:rsidRPr="00760517">
        <w:rPr>
          <w:lang w:val="bg-BG"/>
        </w:rPr>
        <w:t xml:space="preserve"> (</w:t>
      </w:r>
      <w:r w:rsidR="00EB5993">
        <w:rPr>
          <w:lang w:val="bg-BG"/>
        </w:rPr>
        <w:t>РД</w:t>
      </w:r>
      <w:r w:rsidR="003F4B41" w:rsidRPr="00760517">
        <w:rPr>
          <w:lang w:val="bg-BG"/>
        </w:rPr>
        <w:t>) [</w:t>
      </w:r>
      <w:r w:rsidR="00EB5993">
        <w:rPr>
          <w:lang w:val="bg-BG"/>
        </w:rPr>
        <w:t>ГО</w:t>
      </w:r>
      <w:r w:rsidR="003F4B41" w:rsidRPr="00760517">
        <w:rPr>
          <w:lang w:val="bg-BG"/>
        </w:rPr>
        <w:t xml:space="preserve">], </w:t>
      </w:r>
      <w:r w:rsidR="003F4B41" w:rsidRPr="002B1ED6">
        <w:rPr>
          <w:szCs w:val="24"/>
          <w:cs/>
        </w:rPr>
        <w:t>№</w:t>
      </w:r>
      <w:r w:rsidR="003F4B41" w:rsidRPr="00760517">
        <w:rPr>
          <w:lang w:val="bg-BG"/>
        </w:rPr>
        <w:t xml:space="preserve"> 48787/99, 4 юли 2001).</w:t>
      </w:r>
      <w:r w:rsidR="00D94247" w:rsidRPr="00760517">
        <w:rPr>
          <w:lang w:val="bg-BG"/>
        </w:rPr>
        <w:t xml:space="preserve"> </w:t>
      </w:r>
      <w:r w:rsidR="00D94247">
        <w:rPr>
          <w:lang w:val="bg-BG"/>
        </w:rPr>
        <w:t xml:space="preserve">Оспорваните по настоящото дело законови разпоредби </w:t>
      </w:r>
      <w:r w:rsidR="003F4B41">
        <w:rPr>
          <w:lang w:val="bg-BG"/>
        </w:rPr>
        <w:t xml:space="preserve">остават в сила и </w:t>
      </w:r>
      <w:r w:rsidR="00354C6E">
        <w:rPr>
          <w:lang w:val="bg-BG"/>
        </w:rPr>
        <w:t>жалбоподателката</w:t>
      </w:r>
      <w:r w:rsidR="003F4B41">
        <w:rPr>
          <w:lang w:val="bg-BG"/>
        </w:rPr>
        <w:t xml:space="preserve"> все още не отговаря на </w:t>
      </w:r>
      <w:r w:rsidR="003E226A">
        <w:rPr>
          <w:lang w:val="bg-BG"/>
        </w:rPr>
        <w:t>необходимите критерии, за да се кандидатира за член на националния парламент (и на общинските съвети).</w:t>
      </w:r>
      <w:r w:rsidR="003F4B41">
        <w:rPr>
          <w:lang w:val="bg-BG"/>
        </w:rPr>
        <w:t xml:space="preserve">  </w:t>
      </w:r>
      <w:r w:rsidR="00245FD8">
        <w:rPr>
          <w:lang w:val="bg-BG"/>
        </w:rPr>
        <w:t xml:space="preserve"> </w:t>
      </w:r>
    </w:p>
    <w:p w:rsidR="005911E9" w:rsidRPr="00945ED6" w:rsidRDefault="005D3E62" w:rsidP="00B8206D">
      <w:pPr>
        <w:pStyle w:val="JuPara"/>
        <w:rPr>
          <w:lang w:val="bg-BG"/>
        </w:rPr>
      </w:pPr>
      <w:r w:rsidRPr="00E17978">
        <w:fldChar w:fldCharType="begin"/>
      </w:r>
      <w:r w:rsidR="00CC364A" w:rsidRPr="00CE3770">
        <w:rPr>
          <w:lang w:val="bg-BG"/>
        </w:rPr>
        <w:instrText xml:space="preserve"> </w:instrText>
      </w:r>
      <w:r w:rsidR="00CC364A" w:rsidRPr="00BB4F95">
        <w:rPr>
          <w:lang w:val="en-GB"/>
        </w:rPr>
        <w:instrText>SEQ</w:instrText>
      </w:r>
      <w:r w:rsidR="00CC364A" w:rsidRPr="00CE3770">
        <w:rPr>
          <w:lang w:val="bg-BG"/>
        </w:rPr>
        <w:instrText xml:space="preserve"> </w:instrText>
      </w:r>
      <w:r w:rsidR="00CC364A" w:rsidRPr="00BB4F95">
        <w:rPr>
          <w:lang w:val="en-GB"/>
        </w:rPr>
        <w:instrText>level</w:instrText>
      </w:r>
      <w:r w:rsidR="00CC364A" w:rsidRPr="00CE3770">
        <w:rPr>
          <w:lang w:val="bg-BG"/>
        </w:rPr>
        <w:instrText>0 \*</w:instrText>
      </w:r>
      <w:r w:rsidR="00CC364A" w:rsidRPr="00BB4F95">
        <w:rPr>
          <w:lang w:val="en-GB"/>
        </w:rPr>
        <w:instrText>arabic</w:instrText>
      </w:r>
      <w:r w:rsidR="00CC364A" w:rsidRPr="00CE3770">
        <w:rPr>
          <w:lang w:val="bg-BG"/>
        </w:rPr>
        <w:instrText xml:space="preserve"> </w:instrText>
      </w:r>
      <w:r w:rsidRPr="00E17978">
        <w:fldChar w:fldCharType="separate"/>
      </w:r>
      <w:r w:rsidR="00955550" w:rsidRPr="00CE3770">
        <w:rPr>
          <w:noProof/>
          <w:lang w:val="bg-BG"/>
        </w:rPr>
        <w:t>70</w:t>
      </w:r>
      <w:r w:rsidRPr="00E17978">
        <w:fldChar w:fldCharType="end"/>
      </w:r>
      <w:r w:rsidR="00CC364A" w:rsidRPr="00CE3770">
        <w:rPr>
          <w:lang w:val="bg-BG"/>
        </w:rPr>
        <w:t>.</w:t>
      </w:r>
      <w:r w:rsidR="00CC364A" w:rsidRPr="00BB4F95">
        <w:rPr>
          <w:lang w:val="en-GB"/>
        </w:rPr>
        <w:t>  </w:t>
      </w:r>
      <w:r w:rsidR="00D94247">
        <w:rPr>
          <w:lang w:val="bg-BG"/>
        </w:rPr>
        <w:t xml:space="preserve">Относно позоваването от страна на Правителството </w:t>
      </w:r>
      <w:r w:rsidR="00FB0B33">
        <w:rPr>
          <w:lang w:val="bg-BG"/>
        </w:rPr>
        <w:t xml:space="preserve">на факта, че </w:t>
      </w:r>
      <w:r w:rsidR="00354C6E">
        <w:rPr>
          <w:lang w:val="bg-BG"/>
        </w:rPr>
        <w:t>жалбоподателката</w:t>
      </w:r>
      <w:r w:rsidR="00FB0B33">
        <w:rPr>
          <w:lang w:val="bg-BG"/>
        </w:rPr>
        <w:t xml:space="preserve"> има право да участва в </w:t>
      </w:r>
      <w:r w:rsidR="00EE018D">
        <w:rPr>
          <w:lang w:val="bg-BG"/>
        </w:rPr>
        <w:t>изборите за Европейски парламент</w:t>
      </w:r>
      <w:r w:rsidR="00FB0B33">
        <w:rPr>
          <w:lang w:val="bg-BG"/>
        </w:rPr>
        <w:t>, Съдът признава, че чл</w:t>
      </w:r>
      <w:r w:rsidR="000D08D3">
        <w:rPr>
          <w:lang w:val="bg-BG"/>
        </w:rPr>
        <w:t>ен</w:t>
      </w:r>
      <w:r w:rsidR="00FB0B33">
        <w:rPr>
          <w:lang w:val="bg-BG"/>
        </w:rPr>
        <w:t xml:space="preserve"> 3 от Протокол </w:t>
      </w:r>
      <w:r w:rsidR="00FB0B33" w:rsidRPr="002B1ED6">
        <w:rPr>
          <w:szCs w:val="24"/>
          <w:cs/>
        </w:rPr>
        <w:t>№</w:t>
      </w:r>
      <w:r w:rsidR="00FB0B33">
        <w:rPr>
          <w:rFonts w:hint="cs"/>
          <w:szCs w:val="24"/>
          <w:cs/>
        </w:rPr>
        <w:t xml:space="preserve"> 1 е приложим в това отношение (вж</w:t>
      </w:r>
      <w:r w:rsidR="000D08D3">
        <w:rPr>
          <w:rFonts w:hint="cs"/>
          <w:szCs w:val="24"/>
          <w:cs/>
        </w:rPr>
        <w:t>.</w:t>
      </w:r>
      <w:r w:rsidR="00FB0B33">
        <w:rPr>
          <w:rFonts w:hint="cs"/>
          <w:szCs w:val="24"/>
          <w:cs/>
        </w:rPr>
        <w:t xml:space="preserve"> </w:t>
      </w:r>
      <w:r w:rsidR="00FB0B33" w:rsidRPr="00BB4F95">
        <w:rPr>
          <w:i/>
          <w:iCs/>
          <w:lang w:val="en-GB"/>
        </w:rPr>
        <w:t>Matthews</w:t>
      </w:r>
      <w:r w:rsidR="00FB0B33" w:rsidRPr="00CE3770">
        <w:rPr>
          <w:i/>
          <w:iCs/>
          <w:lang w:val="bg-BG"/>
        </w:rPr>
        <w:t xml:space="preserve"> </w:t>
      </w:r>
      <w:r w:rsidR="00FB0B33" w:rsidRPr="00BB4F95">
        <w:rPr>
          <w:i/>
          <w:iCs/>
          <w:lang w:val="en-GB"/>
        </w:rPr>
        <w:t>v</w:t>
      </w:r>
      <w:r w:rsidR="00FB0B33" w:rsidRPr="00CE3770">
        <w:rPr>
          <w:i/>
          <w:iCs/>
          <w:lang w:val="bg-BG"/>
        </w:rPr>
        <w:t xml:space="preserve">. </w:t>
      </w:r>
      <w:r w:rsidR="00FB0B33" w:rsidRPr="00BB4F95">
        <w:rPr>
          <w:i/>
          <w:iCs/>
          <w:lang w:val="en-GB"/>
        </w:rPr>
        <w:t>the</w:t>
      </w:r>
      <w:r w:rsidR="00FB0B33" w:rsidRPr="00CE3770">
        <w:rPr>
          <w:i/>
          <w:iCs/>
          <w:lang w:val="bg-BG"/>
        </w:rPr>
        <w:t xml:space="preserve"> </w:t>
      </w:r>
      <w:r w:rsidR="00FB0B33" w:rsidRPr="00BB4F95">
        <w:rPr>
          <w:i/>
          <w:iCs/>
          <w:lang w:val="en-GB"/>
        </w:rPr>
        <w:t>United</w:t>
      </w:r>
      <w:r w:rsidR="00FB0B33" w:rsidRPr="00CE3770">
        <w:rPr>
          <w:i/>
          <w:iCs/>
          <w:lang w:val="bg-BG"/>
        </w:rPr>
        <w:t xml:space="preserve"> </w:t>
      </w:r>
      <w:r w:rsidR="00FB0B33" w:rsidRPr="00BB4F95">
        <w:rPr>
          <w:i/>
          <w:iCs/>
          <w:lang w:val="en-GB"/>
        </w:rPr>
        <w:t>Kingdom</w:t>
      </w:r>
      <w:r w:rsidR="00FB0B33" w:rsidRPr="00CE3770">
        <w:rPr>
          <w:i/>
          <w:iCs/>
          <w:lang w:val="bg-BG"/>
        </w:rPr>
        <w:t xml:space="preserve"> </w:t>
      </w:r>
      <w:r w:rsidR="00DB4AAC" w:rsidRPr="00CE3770">
        <w:rPr>
          <w:lang w:val="bg-BG"/>
        </w:rPr>
        <w:t>[</w:t>
      </w:r>
      <w:r w:rsidR="000D08D3">
        <w:rPr>
          <w:lang w:val="bg-BG"/>
        </w:rPr>
        <w:t>ГО</w:t>
      </w:r>
      <w:r w:rsidR="00DB4AAC" w:rsidRPr="00CE3770">
        <w:rPr>
          <w:lang w:val="bg-BG"/>
        </w:rPr>
        <w:t xml:space="preserve">], </w:t>
      </w:r>
      <w:r w:rsidR="00DB4AAC" w:rsidRPr="002B1ED6">
        <w:rPr>
          <w:szCs w:val="24"/>
          <w:cs/>
        </w:rPr>
        <w:t>№</w:t>
      </w:r>
      <w:r w:rsidR="00FB0B33" w:rsidRPr="00CE3770">
        <w:rPr>
          <w:lang w:val="bg-BG"/>
        </w:rPr>
        <w:t xml:space="preserve"> </w:t>
      </w:r>
      <w:r w:rsidR="00DB4AAC" w:rsidRPr="00CE3770">
        <w:rPr>
          <w:lang w:val="bg-BG"/>
        </w:rPr>
        <w:t xml:space="preserve">24833/94, §§ 39-44 </w:t>
      </w:r>
      <w:r w:rsidR="00DB4AAC">
        <w:rPr>
          <w:lang w:val="bg-BG"/>
        </w:rPr>
        <w:t>и</w:t>
      </w:r>
      <w:r w:rsidR="00DB4AAC" w:rsidRPr="00CE3770">
        <w:rPr>
          <w:lang w:val="bg-BG"/>
        </w:rPr>
        <w:t xml:space="preserve"> 48-54, </w:t>
      </w:r>
      <w:r w:rsidR="00DB4AAC">
        <w:rPr>
          <w:lang w:val="en-GB"/>
        </w:rPr>
        <w:t>EC</w:t>
      </w:r>
      <w:r w:rsidR="00DB4AAC" w:rsidRPr="00CE3770">
        <w:rPr>
          <w:lang w:val="bg-BG"/>
        </w:rPr>
        <w:t>ПЧ</w:t>
      </w:r>
      <w:r w:rsidR="00FB0B33" w:rsidRPr="00CE3770">
        <w:rPr>
          <w:lang w:val="bg-BG"/>
        </w:rPr>
        <w:t xml:space="preserve"> 1999-</w:t>
      </w:r>
      <w:r w:rsidR="00FB0B33" w:rsidRPr="00BB4F95">
        <w:rPr>
          <w:lang w:val="en-GB"/>
        </w:rPr>
        <w:t>I</w:t>
      </w:r>
      <w:r w:rsidR="00FB0B33" w:rsidRPr="00CE3770">
        <w:rPr>
          <w:lang w:val="bg-BG"/>
        </w:rPr>
        <w:t>).</w:t>
      </w:r>
      <w:r w:rsidR="00DB4AAC">
        <w:rPr>
          <w:lang w:val="bg-BG"/>
        </w:rPr>
        <w:t xml:space="preserve"> Въпреки това фактът, че </w:t>
      </w:r>
      <w:r w:rsidR="00354C6E">
        <w:rPr>
          <w:lang w:val="bg-BG"/>
        </w:rPr>
        <w:t>жалбоподателката</w:t>
      </w:r>
      <w:r w:rsidR="00DB4AAC">
        <w:rPr>
          <w:lang w:val="bg-BG"/>
        </w:rPr>
        <w:t xml:space="preserve"> има право да участва в </w:t>
      </w:r>
      <w:r w:rsidR="00EE018D">
        <w:rPr>
          <w:lang w:val="bg-BG"/>
        </w:rPr>
        <w:t>изборите за Европейски парламент</w:t>
      </w:r>
      <w:r w:rsidR="00760517">
        <w:rPr>
          <w:lang w:val="bg-BG"/>
        </w:rPr>
        <w:t xml:space="preserve">, не е достатъчен и не освобождава </w:t>
      </w:r>
      <w:r w:rsidR="00DB4AAC">
        <w:rPr>
          <w:lang w:val="bg-BG"/>
        </w:rPr>
        <w:t xml:space="preserve">държавата от нейното </w:t>
      </w:r>
      <w:r w:rsidR="00DB4AAC" w:rsidRPr="001C58C4">
        <w:rPr>
          <w:lang w:val="bg-BG"/>
        </w:rPr>
        <w:t>задължение</w:t>
      </w:r>
      <w:r w:rsidR="00031A04" w:rsidRPr="001C58C4">
        <w:rPr>
          <w:lang w:val="bg-BG"/>
        </w:rPr>
        <w:t xml:space="preserve"> да </w:t>
      </w:r>
      <w:r w:rsidR="00760517" w:rsidRPr="001C58C4">
        <w:rPr>
          <w:lang w:val="bg-BG"/>
        </w:rPr>
        <w:t>зачита</w:t>
      </w:r>
      <w:r w:rsidR="00031A04" w:rsidRPr="001C58C4">
        <w:rPr>
          <w:lang w:val="bg-BG"/>
        </w:rPr>
        <w:t xml:space="preserve"> права</w:t>
      </w:r>
      <w:r w:rsidR="00760517" w:rsidRPr="001C58C4">
        <w:rPr>
          <w:lang w:val="bg-BG"/>
        </w:rPr>
        <w:t>та</w:t>
      </w:r>
      <w:r w:rsidR="001C58C4" w:rsidRPr="001C58C4">
        <w:rPr>
          <w:lang w:val="bg-BG"/>
        </w:rPr>
        <w:t>, гарантирани</w:t>
      </w:r>
      <w:r w:rsidR="001C58C4">
        <w:rPr>
          <w:lang w:val="bg-BG"/>
        </w:rPr>
        <w:t xml:space="preserve"> съгласно</w:t>
      </w:r>
      <w:r w:rsidR="00DB4AAC">
        <w:rPr>
          <w:lang w:val="bg-BG"/>
        </w:rPr>
        <w:t xml:space="preserve"> чл</w:t>
      </w:r>
      <w:r w:rsidR="000D08D3">
        <w:rPr>
          <w:lang w:val="bg-BG"/>
        </w:rPr>
        <w:t>ен</w:t>
      </w:r>
      <w:r w:rsidR="00DB4AAC">
        <w:rPr>
          <w:lang w:val="bg-BG"/>
        </w:rPr>
        <w:t xml:space="preserve"> 3 от Протокол </w:t>
      </w:r>
      <w:r w:rsidR="00DB4AAC" w:rsidRPr="002B1ED6">
        <w:rPr>
          <w:szCs w:val="24"/>
          <w:cs/>
        </w:rPr>
        <w:t>№</w:t>
      </w:r>
      <w:r w:rsidR="00DB4AAC">
        <w:rPr>
          <w:rFonts w:hint="cs"/>
          <w:szCs w:val="24"/>
          <w:cs/>
        </w:rPr>
        <w:t xml:space="preserve"> 1 по отношение на националния парламент.</w:t>
      </w:r>
      <w:r w:rsidR="00DB4AAC">
        <w:rPr>
          <w:lang w:val="bg-BG"/>
        </w:rPr>
        <w:t xml:space="preserve">  </w:t>
      </w:r>
      <w:r w:rsidR="00FB0B33">
        <w:rPr>
          <w:rFonts w:hint="cs"/>
          <w:szCs w:val="24"/>
          <w:cs/>
        </w:rPr>
        <w:t xml:space="preserve"> </w:t>
      </w:r>
      <w:r w:rsidR="00FB0B33">
        <w:rPr>
          <w:lang w:val="bg-BG"/>
        </w:rPr>
        <w:t xml:space="preserve">  </w:t>
      </w:r>
    </w:p>
    <w:p w:rsidR="005E301B"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71</w:t>
      </w:r>
      <w:r w:rsidRPr="00E17978">
        <w:fldChar w:fldCharType="end"/>
      </w:r>
      <w:r w:rsidR="005911E9" w:rsidRPr="00945ED6">
        <w:rPr>
          <w:lang w:val="bg-BG"/>
        </w:rPr>
        <w:t>.</w:t>
      </w:r>
      <w:r w:rsidR="005911E9" w:rsidRPr="00BB4F95">
        <w:rPr>
          <w:lang w:val="en-GB"/>
        </w:rPr>
        <w:t>  </w:t>
      </w:r>
      <w:r w:rsidR="00D562D5">
        <w:rPr>
          <w:lang w:val="bg-BG"/>
        </w:rPr>
        <w:t>В обобщение до този момент латвийските власти не са признали, още по-ма</w:t>
      </w:r>
      <w:r w:rsidR="00267C0D">
        <w:rPr>
          <w:lang w:val="bg-BG"/>
        </w:rPr>
        <w:t>лко обезщетили, твърдяните от жалбоподателката нарушения</w:t>
      </w:r>
      <w:r w:rsidR="005C48DD">
        <w:rPr>
          <w:lang w:val="bg-BG"/>
        </w:rPr>
        <w:t>. Поради това тя остава „жертва</w:t>
      </w:r>
      <w:r w:rsidR="00F67CDC">
        <w:rPr>
          <w:lang w:val="bg-BG"/>
        </w:rPr>
        <w:t>”</w:t>
      </w:r>
      <w:r w:rsidR="00267C0D">
        <w:rPr>
          <w:lang w:val="bg-BG"/>
        </w:rPr>
        <w:t xml:space="preserve"> на въпросните твърдяни</w:t>
      </w:r>
      <w:r w:rsidR="005C48DD">
        <w:rPr>
          <w:lang w:val="bg-BG"/>
        </w:rPr>
        <w:t xml:space="preserve"> нарушения. </w:t>
      </w:r>
    </w:p>
    <w:p w:rsidR="005911E9" w:rsidRPr="00945ED6" w:rsidRDefault="005D3E62" w:rsidP="00B8206D">
      <w:pPr>
        <w:pStyle w:val="JuPara"/>
        <w:rPr>
          <w:lang w:val="bg-BG"/>
        </w:rPr>
      </w:pPr>
      <w:r w:rsidRPr="00E17978">
        <w:fldChar w:fldCharType="begin"/>
      </w:r>
      <w:r w:rsidR="00107A1A" w:rsidRPr="00945ED6">
        <w:rPr>
          <w:lang w:val="bg-BG"/>
        </w:rPr>
        <w:instrText xml:space="preserve"> </w:instrText>
      </w:r>
      <w:r w:rsidR="00107A1A" w:rsidRPr="00BB4F95">
        <w:rPr>
          <w:lang w:val="en-GB"/>
        </w:rPr>
        <w:instrText>SEQ</w:instrText>
      </w:r>
      <w:r w:rsidR="00107A1A" w:rsidRPr="00945ED6">
        <w:rPr>
          <w:lang w:val="bg-BG"/>
        </w:rPr>
        <w:instrText xml:space="preserve"> </w:instrText>
      </w:r>
      <w:r w:rsidR="00107A1A" w:rsidRPr="00BB4F95">
        <w:rPr>
          <w:lang w:val="en-GB"/>
        </w:rPr>
        <w:instrText>level</w:instrText>
      </w:r>
      <w:r w:rsidR="00107A1A" w:rsidRPr="00945ED6">
        <w:rPr>
          <w:lang w:val="bg-BG"/>
        </w:rPr>
        <w:instrText>0 \*</w:instrText>
      </w:r>
      <w:r w:rsidR="00107A1A" w:rsidRPr="00BB4F95">
        <w:rPr>
          <w:lang w:val="en-GB"/>
        </w:rPr>
        <w:instrText>arabic</w:instrText>
      </w:r>
      <w:r w:rsidR="00107A1A" w:rsidRPr="00945ED6">
        <w:rPr>
          <w:lang w:val="bg-BG"/>
        </w:rPr>
        <w:instrText xml:space="preserve"> </w:instrText>
      </w:r>
      <w:r w:rsidRPr="00E17978">
        <w:fldChar w:fldCharType="separate"/>
      </w:r>
      <w:r w:rsidR="00955550" w:rsidRPr="00945ED6">
        <w:rPr>
          <w:noProof/>
          <w:lang w:val="bg-BG"/>
        </w:rPr>
        <w:t>72</w:t>
      </w:r>
      <w:r w:rsidRPr="00E17978">
        <w:fldChar w:fldCharType="end"/>
      </w:r>
      <w:r w:rsidR="00107A1A" w:rsidRPr="00945ED6">
        <w:rPr>
          <w:lang w:val="bg-BG"/>
        </w:rPr>
        <w:t>.</w:t>
      </w:r>
      <w:r w:rsidR="00107A1A" w:rsidRPr="00BB4F95">
        <w:rPr>
          <w:lang w:val="en-GB"/>
        </w:rPr>
        <w:t>  </w:t>
      </w:r>
      <w:r w:rsidR="00031A04">
        <w:rPr>
          <w:lang w:val="bg-BG"/>
        </w:rPr>
        <w:t>Следователно</w:t>
      </w:r>
      <w:r w:rsidR="005C48DD">
        <w:rPr>
          <w:lang w:val="bg-BG"/>
        </w:rPr>
        <w:t xml:space="preserve"> предварителното възражение на Правителството трябва да бъде отхвърлено. </w:t>
      </w:r>
    </w:p>
    <w:p w:rsidR="00656927" w:rsidRPr="00945ED6" w:rsidRDefault="00F04C94" w:rsidP="005911E9">
      <w:pPr>
        <w:pStyle w:val="JuHIRoman"/>
        <w:rPr>
          <w:lang w:val="bg-BG"/>
        </w:rPr>
      </w:pPr>
      <w:r w:rsidRPr="00E17978">
        <w:lastRenderedPageBreak/>
        <w:t>II</w:t>
      </w:r>
      <w:r w:rsidR="005911E9" w:rsidRPr="00945ED6">
        <w:rPr>
          <w:lang w:val="bg-BG"/>
        </w:rPr>
        <w:t>.</w:t>
      </w:r>
      <w:r w:rsidR="005911E9" w:rsidRPr="00E17978">
        <w:t> </w:t>
      </w:r>
      <w:r w:rsidR="00CB476F" w:rsidRPr="000B0133">
        <w:rPr>
          <w:lang w:val="bg-BG"/>
        </w:rPr>
        <w:t>ТВЪРД</w:t>
      </w:r>
      <w:r w:rsidR="000D08D3">
        <w:rPr>
          <w:lang w:val="bg-BG"/>
        </w:rPr>
        <w:t>ЯНО</w:t>
      </w:r>
      <w:r w:rsidR="005C48DD" w:rsidRPr="000B0133">
        <w:rPr>
          <w:lang w:val="bg-BG"/>
        </w:rPr>
        <w:t xml:space="preserve"> Н</w:t>
      </w:r>
      <w:r w:rsidR="005C48DD">
        <w:rPr>
          <w:lang w:val="bg-BG"/>
        </w:rPr>
        <w:t>АРУШЕНИЕ НА ЧЛ</w:t>
      </w:r>
      <w:r w:rsidR="000D08D3">
        <w:rPr>
          <w:lang w:val="bg-BG"/>
        </w:rPr>
        <w:t>ЕН</w:t>
      </w:r>
      <w:r w:rsidR="005C48DD">
        <w:rPr>
          <w:lang w:val="bg-BG"/>
        </w:rPr>
        <w:t xml:space="preserve"> 3 ОТ ПРОТОКОЛ </w:t>
      </w:r>
      <w:r w:rsidR="005C48DD" w:rsidRPr="002B1ED6">
        <w:rPr>
          <w:szCs w:val="24"/>
          <w:cs/>
        </w:rPr>
        <w:t>№</w:t>
      </w:r>
      <w:r w:rsidR="005C48DD">
        <w:rPr>
          <w:rFonts w:hint="cs"/>
          <w:szCs w:val="24"/>
          <w:cs/>
        </w:rPr>
        <w:t xml:space="preserve"> 1</w:t>
      </w:r>
    </w:p>
    <w:p w:rsidR="005911E9"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73</w:t>
      </w:r>
      <w:r w:rsidRPr="00E17978">
        <w:fldChar w:fldCharType="end"/>
      </w:r>
      <w:r w:rsidR="005911E9" w:rsidRPr="00945ED6">
        <w:rPr>
          <w:lang w:val="bg-BG"/>
        </w:rPr>
        <w:t>.</w:t>
      </w:r>
      <w:r w:rsidR="005911E9" w:rsidRPr="00BB4F95">
        <w:rPr>
          <w:lang w:val="en-GB"/>
        </w:rPr>
        <w:t> </w:t>
      </w:r>
      <w:r w:rsidR="00354C6E">
        <w:rPr>
          <w:lang w:val="bg-BG"/>
        </w:rPr>
        <w:t>Жалбоподателката</w:t>
      </w:r>
      <w:r w:rsidR="00CB476F">
        <w:rPr>
          <w:lang w:val="bg-BG"/>
        </w:rPr>
        <w:t xml:space="preserve"> се оплаква</w:t>
      </w:r>
      <w:r w:rsidR="00031A04">
        <w:rPr>
          <w:lang w:val="bg-BG"/>
        </w:rPr>
        <w:t>, че недопускането ѝ да се кандидатира на изборите за национален</w:t>
      </w:r>
      <w:r w:rsidR="000D64DF">
        <w:rPr>
          <w:lang w:val="bg-BG"/>
        </w:rPr>
        <w:t xml:space="preserve"> парламент с мотив</w:t>
      </w:r>
      <w:r w:rsidR="00031A04">
        <w:rPr>
          <w:lang w:val="bg-BG"/>
        </w:rPr>
        <w:t>а</w:t>
      </w:r>
      <w:r w:rsidR="000D64DF">
        <w:rPr>
          <w:lang w:val="bg-BG"/>
        </w:rPr>
        <w:t>, че е участвал</w:t>
      </w:r>
      <w:r w:rsidR="00031A04">
        <w:rPr>
          <w:lang w:val="bg-BG"/>
        </w:rPr>
        <w:t>а</w:t>
      </w:r>
      <w:r w:rsidR="000D64DF">
        <w:rPr>
          <w:lang w:val="bg-BG"/>
        </w:rPr>
        <w:t xml:space="preserve"> активно в ЛКП след 13 януари 1991 г., представлява нарушение на чл</w:t>
      </w:r>
      <w:r w:rsidR="000D08D3">
        <w:rPr>
          <w:lang w:val="bg-BG"/>
        </w:rPr>
        <w:t>ен</w:t>
      </w:r>
      <w:r w:rsidR="000D64DF">
        <w:rPr>
          <w:lang w:val="bg-BG"/>
        </w:rPr>
        <w:t xml:space="preserve"> 3 от Протокол </w:t>
      </w:r>
      <w:r w:rsidR="000D64DF" w:rsidRPr="002B1ED6">
        <w:rPr>
          <w:szCs w:val="24"/>
          <w:cs/>
        </w:rPr>
        <w:t>№</w:t>
      </w:r>
      <w:r w:rsidR="000D64DF">
        <w:rPr>
          <w:rFonts w:hint="cs"/>
          <w:szCs w:val="24"/>
          <w:cs/>
        </w:rPr>
        <w:t xml:space="preserve"> 1, който гласи:</w:t>
      </w:r>
      <w:r w:rsidR="000D64DF">
        <w:rPr>
          <w:lang w:val="bg-BG"/>
        </w:rPr>
        <w:t xml:space="preserve"> </w:t>
      </w:r>
    </w:p>
    <w:p w:rsidR="005911E9" w:rsidRPr="00945ED6" w:rsidRDefault="000D08D3" w:rsidP="005911E9">
      <w:pPr>
        <w:pStyle w:val="JuQuot"/>
        <w:rPr>
          <w:lang w:val="bg-BG"/>
        </w:rPr>
      </w:pPr>
      <w:r>
        <w:rPr>
          <w:lang w:val="bg-BG"/>
        </w:rPr>
        <w:t>„</w:t>
      </w:r>
      <w:r w:rsidR="00FD30D8">
        <w:rPr>
          <w:lang w:val="bg-BG"/>
        </w:rPr>
        <w:t>Високодоговарящите страни се задължават</w:t>
      </w:r>
      <w:r w:rsidR="00FD30D8" w:rsidRPr="000B0133">
        <w:rPr>
          <w:lang w:val="bg-BG"/>
        </w:rPr>
        <w:t xml:space="preserve"> </w:t>
      </w:r>
      <w:r w:rsidR="00FD30D8">
        <w:rPr>
          <w:lang w:val="bg-BG"/>
        </w:rPr>
        <w:t>да провеждат свободни избори през разумни интервали от време</w:t>
      </w:r>
      <w:r w:rsidR="00FD30D8" w:rsidRPr="00945ED6">
        <w:rPr>
          <w:lang w:val="bg-BG"/>
        </w:rPr>
        <w:t xml:space="preserve">, </w:t>
      </w:r>
      <w:r w:rsidR="00FD30D8">
        <w:rPr>
          <w:lang w:val="bg-BG"/>
        </w:rPr>
        <w:t xml:space="preserve">с тайно гласуване, и при условия, осигуряващи </w:t>
      </w:r>
      <w:r w:rsidR="00B93196">
        <w:rPr>
          <w:lang w:val="bg-BG"/>
        </w:rPr>
        <w:t>свободното и</w:t>
      </w:r>
      <w:r w:rsidR="00031A04">
        <w:rPr>
          <w:lang w:val="bg-BG"/>
        </w:rPr>
        <w:t>зразяване на мнението на народа</w:t>
      </w:r>
      <w:r w:rsidR="00FD30D8">
        <w:rPr>
          <w:lang w:val="bg-BG"/>
        </w:rPr>
        <w:t xml:space="preserve"> при избиране на законодателното тяло</w:t>
      </w:r>
      <w:r w:rsidR="00B93196" w:rsidRPr="00031A04">
        <w:rPr>
          <w:lang w:val="bg-BG"/>
        </w:rPr>
        <w:t>.</w:t>
      </w:r>
      <w:r>
        <w:rPr>
          <w:lang w:val="bg-BG"/>
        </w:rPr>
        <w:t>“</w:t>
      </w:r>
    </w:p>
    <w:p w:rsidR="00F04C94" w:rsidRPr="00C51877" w:rsidRDefault="005A5ED0" w:rsidP="005911E9">
      <w:pPr>
        <w:pStyle w:val="JuHA"/>
        <w:rPr>
          <w:lang w:val="bg-BG"/>
        </w:rPr>
      </w:pPr>
      <w:r>
        <w:t>A</w:t>
      </w:r>
      <w:r w:rsidRPr="00945ED6">
        <w:rPr>
          <w:lang w:val="bg-BG"/>
        </w:rPr>
        <w:t>.</w:t>
      </w:r>
      <w:r>
        <w:t> </w:t>
      </w:r>
      <w:r w:rsidR="00100A12">
        <w:rPr>
          <w:lang w:val="bg-BG"/>
        </w:rPr>
        <w:t xml:space="preserve">Решението </w:t>
      </w:r>
      <w:r w:rsidR="00100A12" w:rsidRPr="00C80D15">
        <w:rPr>
          <w:lang w:val="bg-BG"/>
        </w:rPr>
        <w:t xml:space="preserve">на </w:t>
      </w:r>
      <w:r w:rsidR="000B0133" w:rsidRPr="00C51877">
        <w:rPr>
          <w:lang w:val="bg-BG"/>
        </w:rPr>
        <w:t>съ</w:t>
      </w:r>
      <w:r w:rsidR="00C80D15" w:rsidRPr="00C51877">
        <w:rPr>
          <w:lang w:val="bg-BG"/>
        </w:rPr>
        <w:t xml:space="preserve">дебния състав </w:t>
      </w:r>
    </w:p>
    <w:p w:rsidR="00381B8B" w:rsidRPr="00C51877" w:rsidRDefault="005D3E62" w:rsidP="00B8206D">
      <w:pPr>
        <w:pStyle w:val="JuPara"/>
        <w:rPr>
          <w:lang w:val="bg-BG"/>
        </w:rPr>
      </w:pPr>
      <w:r w:rsidRPr="00C51877">
        <w:fldChar w:fldCharType="begin"/>
      </w:r>
      <w:r w:rsidR="003477D3" w:rsidRPr="00C51877">
        <w:rPr>
          <w:lang w:val="bg-BG"/>
        </w:rPr>
        <w:instrText xml:space="preserve"> </w:instrText>
      </w:r>
      <w:r w:rsidR="003477D3" w:rsidRPr="00C51877">
        <w:rPr>
          <w:lang w:val="en-GB"/>
        </w:rPr>
        <w:instrText>SEQ</w:instrText>
      </w:r>
      <w:r w:rsidR="003477D3" w:rsidRPr="00C51877">
        <w:rPr>
          <w:lang w:val="bg-BG"/>
        </w:rPr>
        <w:instrText xml:space="preserve"> </w:instrText>
      </w:r>
      <w:r w:rsidR="003477D3" w:rsidRPr="00C51877">
        <w:rPr>
          <w:lang w:val="en-GB"/>
        </w:rPr>
        <w:instrText>level</w:instrText>
      </w:r>
      <w:r w:rsidR="003477D3" w:rsidRPr="00C51877">
        <w:rPr>
          <w:lang w:val="bg-BG"/>
        </w:rPr>
        <w:instrText>0 \*</w:instrText>
      </w:r>
      <w:r w:rsidR="003477D3" w:rsidRPr="00C51877">
        <w:rPr>
          <w:lang w:val="en-GB"/>
        </w:rPr>
        <w:instrText>arabic</w:instrText>
      </w:r>
      <w:r w:rsidR="003477D3" w:rsidRPr="00C51877">
        <w:rPr>
          <w:lang w:val="bg-BG"/>
        </w:rPr>
        <w:instrText xml:space="preserve"> </w:instrText>
      </w:r>
      <w:r w:rsidRPr="00C51877">
        <w:fldChar w:fldCharType="separate"/>
      </w:r>
      <w:r w:rsidR="00955550" w:rsidRPr="00C51877">
        <w:rPr>
          <w:noProof/>
          <w:lang w:val="bg-BG"/>
        </w:rPr>
        <w:t>74</w:t>
      </w:r>
      <w:r w:rsidRPr="00C51877">
        <w:fldChar w:fldCharType="end"/>
      </w:r>
      <w:r w:rsidR="00031A04" w:rsidRPr="00C51877">
        <w:rPr>
          <w:lang w:val="bg-BG"/>
        </w:rPr>
        <w:t>.</w:t>
      </w:r>
      <w:r w:rsidR="00031A04" w:rsidRPr="00C51877">
        <w:rPr>
          <w:lang w:val="en-GB"/>
        </w:rPr>
        <w:t> </w:t>
      </w:r>
      <w:r w:rsidR="00C80D15" w:rsidRPr="00C51877">
        <w:rPr>
          <w:lang w:val="bg-BG"/>
        </w:rPr>
        <w:t>Съдебният състав</w:t>
      </w:r>
      <w:r w:rsidR="00D9718F" w:rsidRPr="00C51877">
        <w:rPr>
          <w:lang w:val="bg-BG"/>
        </w:rPr>
        <w:t xml:space="preserve"> </w:t>
      </w:r>
      <w:r w:rsidR="009A1ADE" w:rsidRPr="00C51877">
        <w:rPr>
          <w:lang w:val="bg-BG"/>
        </w:rPr>
        <w:t>счита</w:t>
      </w:r>
      <w:r w:rsidR="009A1ADE">
        <w:rPr>
          <w:lang w:val="bg-BG"/>
        </w:rPr>
        <w:t xml:space="preserve">, </w:t>
      </w:r>
      <w:r w:rsidR="00A83563">
        <w:rPr>
          <w:lang w:val="bg-BG"/>
        </w:rPr>
        <w:t xml:space="preserve">още от самото начало, </w:t>
      </w:r>
      <w:r w:rsidR="009A1ADE">
        <w:rPr>
          <w:lang w:val="bg-BG"/>
        </w:rPr>
        <w:t>че задължението за полит</w:t>
      </w:r>
      <w:r w:rsidR="00031A04">
        <w:rPr>
          <w:lang w:val="bg-BG"/>
        </w:rPr>
        <w:t>ическа лоялност, установено от С</w:t>
      </w:r>
      <w:r w:rsidR="009A1ADE">
        <w:rPr>
          <w:lang w:val="bg-BG"/>
        </w:rPr>
        <w:t xml:space="preserve">ъда във връзка с ограниченията върху политическата дейност на държавните служители, не може да се приложи в същата степен </w:t>
      </w:r>
      <w:r w:rsidR="00A83563">
        <w:rPr>
          <w:lang w:val="bg-BG"/>
        </w:rPr>
        <w:t xml:space="preserve">във връзка с </w:t>
      </w:r>
      <w:r w:rsidR="009A1ADE">
        <w:rPr>
          <w:lang w:val="bg-BG"/>
        </w:rPr>
        <w:t xml:space="preserve">допустимостта </w:t>
      </w:r>
      <w:r w:rsidR="00882A34">
        <w:rPr>
          <w:lang w:val="bg-BG"/>
        </w:rPr>
        <w:t>физически</w:t>
      </w:r>
      <w:r w:rsidR="009A1ADE">
        <w:rPr>
          <w:lang w:val="bg-BG"/>
        </w:rPr>
        <w:t xml:space="preserve"> лица да се кандидатират за </w:t>
      </w:r>
      <w:r w:rsidR="009647C5">
        <w:rPr>
          <w:lang w:val="bg-BG"/>
        </w:rPr>
        <w:t xml:space="preserve">членове на </w:t>
      </w:r>
      <w:r w:rsidR="005E1FB4">
        <w:rPr>
          <w:lang w:val="bg-BG"/>
        </w:rPr>
        <w:t>п</w:t>
      </w:r>
      <w:r w:rsidR="009A1ADE">
        <w:rPr>
          <w:lang w:val="bg-BG"/>
        </w:rPr>
        <w:t xml:space="preserve">арламента. Освен това </w:t>
      </w:r>
      <w:r w:rsidR="00C51877">
        <w:rPr>
          <w:lang w:val="bg-BG"/>
        </w:rPr>
        <w:t>Съдебният състав</w:t>
      </w:r>
      <w:r w:rsidR="00C80D15">
        <w:rPr>
          <w:lang w:val="bg-BG"/>
        </w:rPr>
        <w:t xml:space="preserve"> установява</w:t>
      </w:r>
      <w:r w:rsidR="009A1ADE">
        <w:rPr>
          <w:lang w:val="bg-BG"/>
        </w:rPr>
        <w:t xml:space="preserve">, че дисквалифицирането на </w:t>
      </w:r>
      <w:r w:rsidR="00354C6E">
        <w:rPr>
          <w:lang w:val="bg-BG"/>
        </w:rPr>
        <w:t>жалбоподателката</w:t>
      </w:r>
      <w:r w:rsidR="009A1ADE">
        <w:rPr>
          <w:lang w:val="bg-BG"/>
        </w:rPr>
        <w:t xml:space="preserve"> преследва легитимни цели, а именно защита на държавната независимост, демократични</w:t>
      </w:r>
      <w:r w:rsidR="00C51877">
        <w:rPr>
          <w:lang w:val="bg-BG"/>
        </w:rPr>
        <w:t>я ред и националната сигурност. Съдебният състав</w:t>
      </w:r>
      <w:r w:rsidR="009A1ADE">
        <w:rPr>
          <w:lang w:val="bg-BG"/>
        </w:rPr>
        <w:t xml:space="preserve"> отбелязва, че за ограничението не е предвиден краен срок</w:t>
      </w:r>
      <w:r w:rsidR="00783839">
        <w:rPr>
          <w:lang w:val="bg-BG"/>
        </w:rPr>
        <w:t xml:space="preserve"> и че постоянна забрана може да бъде оправдана само в случаите на тежки криминални прояви, като военни престъпления или измяна. В </w:t>
      </w:r>
      <w:r w:rsidR="00783839" w:rsidRPr="00C51877">
        <w:rPr>
          <w:lang w:val="bg-BG"/>
        </w:rPr>
        <w:t xml:space="preserve">същото време </w:t>
      </w:r>
      <w:r w:rsidR="00212AB4" w:rsidRPr="00C51877">
        <w:rPr>
          <w:lang w:val="bg-BG"/>
        </w:rPr>
        <w:t>е на мнение</w:t>
      </w:r>
      <w:r w:rsidR="00783839" w:rsidRPr="00C51877">
        <w:rPr>
          <w:lang w:val="bg-BG"/>
        </w:rPr>
        <w:t xml:space="preserve">, </w:t>
      </w:r>
      <w:r w:rsidR="0053706A" w:rsidRPr="00C51877">
        <w:rPr>
          <w:lang w:val="bg-BG"/>
        </w:rPr>
        <w:t xml:space="preserve">че </w:t>
      </w:r>
      <w:r w:rsidR="006C2445" w:rsidRPr="00C51877">
        <w:rPr>
          <w:lang w:val="bg-BG"/>
        </w:rPr>
        <w:t>недопускането</w:t>
      </w:r>
      <w:r w:rsidR="00212AB4" w:rsidRPr="00C51877">
        <w:rPr>
          <w:lang w:val="bg-BG"/>
        </w:rPr>
        <w:t xml:space="preserve"> на</w:t>
      </w:r>
      <w:r w:rsidR="00783839" w:rsidRPr="00C51877">
        <w:rPr>
          <w:lang w:val="bg-BG"/>
        </w:rPr>
        <w:t xml:space="preserve"> водещите фигури от предишния режим да се кандидатират за парламентарни членове може да се счита за легитимна и балансирана мярка през първите години след възстановяването на независимостта на Латвия, </w:t>
      </w:r>
      <w:r w:rsidR="00212AB4" w:rsidRPr="00C51877">
        <w:rPr>
          <w:lang w:val="bg-BG"/>
        </w:rPr>
        <w:t xml:space="preserve">без да </w:t>
      </w:r>
      <w:r w:rsidR="00783839" w:rsidRPr="00C51877">
        <w:rPr>
          <w:lang w:val="bg-BG"/>
        </w:rPr>
        <w:t>е необхо</w:t>
      </w:r>
      <w:r w:rsidR="004F33D5" w:rsidRPr="00C51877">
        <w:rPr>
          <w:lang w:val="bg-BG"/>
        </w:rPr>
        <w:t>димо да се разглежда дейността</w:t>
      </w:r>
      <w:r w:rsidR="00783839" w:rsidRPr="00C51877">
        <w:rPr>
          <w:lang w:val="bg-BG"/>
        </w:rPr>
        <w:t xml:space="preserve"> на конкретно</w:t>
      </w:r>
      <w:r w:rsidR="00C25FBF" w:rsidRPr="00C51877">
        <w:rPr>
          <w:lang w:val="bg-BG"/>
        </w:rPr>
        <w:t>то</w:t>
      </w:r>
      <w:r w:rsidR="00783839" w:rsidRPr="00C51877">
        <w:rPr>
          <w:lang w:val="bg-BG"/>
        </w:rPr>
        <w:t xml:space="preserve"> лице. </w:t>
      </w:r>
      <w:r w:rsidR="009A1ADE" w:rsidRPr="00C51877">
        <w:rPr>
          <w:lang w:val="bg-BG"/>
        </w:rPr>
        <w:t xml:space="preserve">    </w:t>
      </w:r>
    </w:p>
    <w:p w:rsidR="005A5ED0" w:rsidRPr="00945ED6" w:rsidRDefault="005D3E62" w:rsidP="00B8206D">
      <w:pPr>
        <w:pStyle w:val="JuPara"/>
        <w:rPr>
          <w:lang w:val="bg-BG"/>
        </w:rPr>
      </w:pPr>
      <w:r w:rsidRPr="00C51877">
        <w:fldChar w:fldCharType="begin"/>
      </w:r>
      <w:r w:rsidR="003477D3" w:rsidRPr="00C51877">
        <w:rPr>
          <w:lang w:val="bg-BG"/>
        </w:rPr>
        <w:instrText xml:space="preserve"> </w:instrText>
      </w:r>
      <w:r w:rsidR="003477D3" w:rsidRPr="00C51877">
        <w:rPr>
          <w:lang w:val="en-GB"/>
        </w:rPr>
        <w:instrText>SEQ</w:instrText>
      </w:r>
      <w:r w:rsidR="003477D3" w:rsidRPr="00C51877">
        <w:rPr>
          <w:lang w:val="bg-BG"/>
        </w:rPr>
        <w:instrText xml:space="preserve"> </w:instrText>
      </w:r>
      <w:r w:rsidR="003477D3" w:rsidRPr="00C51877">
        <w:rPr>
          <w:lang w:val="en-GB"/>
        </w:rPr>
        <w:instrText>level</w:instrText>
      </w:r>
      <w:r w:rsidR="003477D3" w:rsidRPr="00C51877">
        <w:rPr>
          <w:lang w:val="bg-BG"/>
        </w:rPr>
        <w:instrText>0 \*</w:instrText>
      </w:r>
      <w:r w:rsidR="003477D3" w:rsidRPr="00C51877">
        <w:rPr>
          <w:lang w:val="en-GB"/>
        </w:rPr>
        <w:instrText>arabic</w:instrText>
      </w:r>
      <w:r w:rsidR="003477D3" w:rsidRPr="00C51877">
        <w:rPr>
          <w:lang w:val="bg-BG"/>
        </w:rPr>
        <w:instrText xml:space="preserve"> </w:instrText>
      </w:r>
      <w:r w:rsidRPr="00C51877">
        <w:fldChar w:fldCharType="separate"/>
      </w:r>
      <w:r w:rsidR="00955550" w:rsidRPr="00C51877">
        <w:rPr>
          <w:noProof/>
          <w:lang w:val="bg-BG"/>
        </w:rPr>
        <w:t>75</w:t>
      </w:r>
      <w:r w:rsidRPr="00C51877">
        <w:fldChar w:fldCharType="end"/>
      </w:r>
      <w:r w:rsidR="003477D3" w:rsidRPr="00C51877">
        <w:rPr>
          <w:lang w:val="bg-BG"/>
        </w:rPr>
        <w:t>.</w:t>
      </w:r>
      <w:r w:rsidR="003477D3" w:rsidRPr="00C51877">
        <w:rPr>
          <w:lang w:val="en-GB"/>
        </w:rPr>
        <w:t>  </w:t>
      </w:r>
      <w:r w:rsidR="00064BC8" w:rsidRPr="00C51877">
        <w:rPr>
          <w:lang w:val="bg-BG"/>
        </w:rPr>
        <w:t>С</w:t>
      </w:r>
      <w:r w:rsidR="00E25ADC" w:rsidRPr="00C51877">
        <w:rPr>
          <w:lang w:val="bg-BG"/>
        </w:rPr>
        <w:t>лед известно време</w:t>
      </w:r>
      <w:r w:rsidR="00064BC8" w:rsidRPr="00C51877">
        <w:rPr>
          <w:lang w:val="bg-BG"/>
        </w:rPr>
        <w:t xml:space="preserve"> обаче</w:t>
      </w:r>
      <w:r w:rsidR="00A83563" w:rsidRPr="00C51877">
        <w:rPr>
          <w:lang w:val="bg-BG"/>
        </w:rPr>
        <w:t xml:space="preserve"> става</w:t>
      </w:r>
      <w:r w:rsidR="00E25ADC" w:rsidRPr="00C51877">
        <w:rPr>
          <w:lang w:val="bg-BG"/>
        </w:rPr>
        <w:t xml:space="preserve"> наложително да се устано</w:t>
      </w:r>
      <w:r w:rsidR="000411A0" w:rsidRPr="00C51877">
        <w:rPr>
          <w:lang w:val="bg-BG"/>
        </w:rPr>
        <w:t>ви дали други фактори, по-конкретно</w:t>
      </w:r>
      <w:r w:rsidR="00E25ADC" w:rsidRPr="00C51877">
        <w:rPr>
          <w:lang w:val="bg-BG"/>
        </w:rPr>
        <w:t xml:space="preserve"> личното участие на лицето в спорните събития, все още оправдават наложената му забрана. По мнението на </w:t>
      </w:r>
      <w:r w:rsidR="004B36B6">
        <w:rPr>
          <w:lang w:val="bg-BG"/>
        </w:rPr>
        <w:t>С</w:t>
      </w:r>
      <w:r w:rsidR="00C25FBF" w:rsidRPr="00C51877">
        <w:rPr>
          <w:lang w:val="bg-BG"/>
        </w:rPr>
        <w:t>ъдебния състав</w:t>
      </w:r>
      <w:r w:rsidR="00E25ADC" w:rsidRPr="00C51877">
        <w:rPr>
          <w:lang w:val="bg-BG"/>
        </w:rPr>
        <w:t>, тъй като националните съдилища имат твърде</w:t>
      </w:r>
      <w:r w:rsidR="00A83563" w:rsidRPr="00C51877">
        <w:rPr>
          <w:lang w:val="bg-BG"/>
        </w:rPr>
        <w:t xml:space="preserve"> лимитирани правомощия в оценяване</w:t>
      </w:r>
      <w:r w:rsidR="00E25ADC" w:rsidRPr="00C51877">
        <w:rPr>
          <w:lang w:val="bg-BG"/>
        </w:rPr>
        <w:t xml:space="preserve"> </w:t>
      </w:r>
      <w:r w:rsidR="00A83563" w:rsidRPr="00C51877">
        <w:rPr>
          <w:lang w:val="bg-BG"/>
        </w:rPr>
        <w:t>на реалната заплаха, която всяко</w:t>
      </w:r>
      <w:r w:rsidR="00E25ADC" w:rsidRPr="00C51877">
        <w:rPr>
          <w:lang w:val="bg-BG"/>
        </w:rPr>
        <w:t xml:space="preserve"> засегнат</w:t>
      </w:r>
      <w:r w:rsidR="00A83563" w:rsidRPr="00C51877">
        <w:rPr>
          <w:lang w:val="bg-BG"/>
        </w:rPr>
        <w:t>о</w:t>
      </w:r>
      <w:r w:rsidR="00E25ADC" w:rsidRPr="00C51877">
        <w:rPr>
          <w:lang w:val="bg-BG"/>
        </w:rPr>
        <w:t xml:space="preserve"> </w:t>
      </w:r>
      <w:r w:rsidR="00A83563" w:rsidRPr="00C51877">
        <w:rPr>
          <w:lang w:val="bg-BG"/>
        </w:rPr>
        <w:t>от ограниченията лице</w:t>
      </w:r>
      <w:r w:rsidR="00E25ADC" w:rsidRPr="00C51877">
        <w:rPr>
          <w:lang w:val="bg-BG"/>
        </w:rPr>
        <w:t xml:space="preserve"> представлява за наст</w:t>
      </w:r>
      <w:r w:rsidR="00A83563" w:rsidRPr="00C51877">
        <w:rPr>
          <w:lang w:val="bg-BG"/>
        </w:rPr>
        <w:t>оящия демократичен ред, Съдът трябва</w:t>
      </w:r>
      <w:r w:rsidR="004F33D5" w:rsidRPr="00C51877">
        <w:rPr>
          <w:lang w:val="bg-BG"/>
        </w:rPr>
        <w:t xml:space="preserve"> сам да провери дали дейността</w:t>
      </w:r>
      <w:r w:rsidR="00E25ADC" w:rsidRPr="00C51877">
        <w:rPr>
          <w:lang w:val="bg-BG"/>
        </w:rPr>
        <w:t xml:space="preserve"> на </w:t>
      </w:r>
      <w:r w:rsidR="00354C6E" w:rsidRPr="00C51877">
        <w:rPr>
          <w:lang w:val="bg-BG"/>
        </w:rPr>
        <w:t>жалбоподателката</w:t>
      </w:r>
      <w:r w:rsidR="00E25ADC" w:rsidRPr="00C51877">
        <w:rPr>
          <w:lang w:val="bg-BG"/>
        </w:rPr>
        <w:t xml:space="preserve"> отпреди </w:t>
      </w:r>
      <w:r w:rsidR="00FE0888">
        <w:rPr>
          <w:lang w:val="bg-BG"/>
        </w:rPr>
        <w:t xml:space="preserve">повече от </w:t>
      </w:r>
      <w:r w:rsidR="00E25ADC" w:rsidRPr="00C51877">
        <w:rPr>
          <w:lang w:val="bg-BG"/>
        </w:rPr>
        <w:t>десетилетие все още пр</w:t>
      </w:r>
      <w:r w:rsidR="007C5AAF" w:rsidRPr="00C51877">
        <w:rPr>
          <w:lang w:val="bg-BG"/>
        </w:rPr>
        <w:t>едставляв</w:t>
      </w:r>
      <w:r w:rsidR="00064BC8" w:rsidRPr="00C51877">
        <w:rPr>
          <w:lang w:val="bg-BG"/>
        </w:rPr>
        <w:t>а достатъчно основание, за да ѝ се забранява</w:t>
      </w:r>
      <w:r w:rsidR="007C5AAF" w:rsidRPr="00C51877">
        <w:rPr>
          <w:lang w:val="bg-BG"/>
        </w:rPr>
        <w:t xml:space="preserve"> да се кандидатира на парламентарните избори. В тази връзка </w:t>
      </w:r>
      <w:r w:rsidR="005E1FB4">
        <w:rPr>
          <w:lang w:val="bg-BG"/>
        </w:rPr>
        <w:t>той</w:t>
      </w:r>
      <w:r w:rsidR="007C5AAF" w:rsidRPr="00C51877">
        <w:rPr>
          <w:lang w:val="bg-BG"/>
        </w:rPr>
        <w:t xml:space="preserve"> отбелязва, че макар </w:t>
      </w:r>
      <w:r w:rsidR="00354C6E" w:rsidRPr="00C51877">
        <w:rPr>
          <w:lang w:val="bg-BG"/>
        </w:rPr>
        <w:t>жалбоподателката</w:t>
      </w:r>
      <w:r w:rsidR="007C5AAF" w:rsidRPr="00C51877">
        <w:rPr>
          <w:lang w:val="bg-BG"/>
        </w:rPr>
        <w:t xml:space="preserve"> да е заемал</w:t>
      </w:r>
      <w:r w:rsidR="00064BC8" w:rsidRPr="00C51877">
        <w:rPr>
          <w:lang w:val="bg-BG"/>
        </w:rPr>
        <w:t>а</w:t>
      </w:r>
      <w:r w:rsidR="007C5AAF" w:rsidRPr="00C51877">
        <w:rPr>
          <w:lang w:val="bg-BG"/>
        </w:rPr>
        <w:t xml:space="preserve"> важен пост в структурата на ЛКП, ня</w:t>
      </w:r>
      <w:r w:rsidR="004F33D5" w:rsidRPr="00C51877">
        <w:rPr>
          <w:lang w:val="bg-BG"/>
        </w:rPr>
        <w:t>ма доказателства, че дейността</w:t>
      </w:r>
      <w:r w:rsidR="00064BC8" w:rsidRPr="00C51877">
        <w:rPr>
          <w:lang w:val="bg-BG"/>
        </w:rPr>
        <w:t xml:space="preserve"> ѝ</w:t>
      </w:r>
      <w:r w:rsidR="00C25FBF" w:rsidRPr="00C51877">
        <w:rPr>
          <w:lang w:val="bg-BG"/>
        </w:rPr>
        <w:t xml:space="preserve"> </w:t>
      </w:r>
      <w:r w:rsidR="00FE0888">
        <w:rPr>
          <w:lang w:val="bg-BG"/>
        </w:rPr>
        <w:t>към момента на настъпване на фактите</w:t>
      </w:r>
      <w:r w:rsidR="00A83563" w:rsidRPr="00C51877">
        <w:rPr>
          <w:lang w:val="bg-BG"/>
        </w:rPr>
        <w:t xml:space="preserve"> през</w:t>
      </w:r>
      <w:r w:rsidR="007C5AAF" w:rsidRPr="00C51877">
        <w:rPr>
          <w:lang w:val="bg-BG"/>
        </w:rPr>
        <w:t xml:space="preserve"> 1991 г. </w:t>
      </w:r>
      <w:r w:rsidR="007C5AAF">
        <w:rPr>
          <w:lang w:val="bg-BG"/>
        </w:rPr>
        <w:t>оправдава продължителното оставане в сила на ограничението.</w:t>
      </w:r>
      <w:r w:rsidR="00E25ADC">
        <w:rPr>
          <w:lang w:val="bg-BG"/>
        </w:rPr>
        <w:t xml:space="preserve"> </w:t>
      </w:r>
      <w:r w:rsidR="00C51877">
        <w:rPr>
          <w:lang w:val="bg-BG"/>
        </w:rPr>
        <w:t>Съдебният състав</w:t>
      </w:r>
      <w:r w:rsidR="007C5AAF">
        <w:rPr>
          <w:lang w:val="bg-BG"/>
        </w:rPr>
        <w:t xml:space="preserve"> също така счит</w:t>
      </w:r>
      <w:r w:rsidR="00064BC8">
        <w:rPr>
          <w:lang w:val="bg-BG"/>
        </w:rPr>
        <w:t>а</w:t>
      </w:r>
      <w:r w:rsidR="00C25FBF" w:rsidRPr="006C2445">
        <w:rPr>
          <w:lang w:val="bg-BG"/>
        </w:rPr>
        <w:t xml:space="preserve">, че е важно да се </w:t>
      </w:r>
      <w:r w:rsidR="00C25FBF" w:rsidRPr="006C2445">
        <w:rPr>
          <w:lang w:val="bg-BG"/>
        </w:rPr>
        <w:lastRenderedPageBreak/>
        <w:t>вземат под внимание фактите</w:t>
      </w:r>
      <w:r w:rsidR="007C5AAF" w:rsidRPr="006C2445">
        <w:rPr>
          <w:lang w:val="bg-BG"/>
        </w:rPr>
        <w:t>,</w:t>
      </w:r>
      <w:r w:rsidR="007C5AAF">
        <w:rPr>
          <w:lang w:val="bg-BG"/>
        </w:rPr>
        <w:t xml:space="preserve"> че </w:t>
      </w:r>
      <w:r w:rsidR="00354C6E">
        <w:rPr>
          <w:lang w:val="bg-BG"/>
        </w:rPr>
        <w:t>жалбоподателката</w:t>
      </w:r>
      <w:r w:rsidR="007C5AAF">
        <w:rPr>
          <w:lang w:val="bg-BG"/>
        </w:rPr>
        <w:t xml:space="preserve"> никога не е </w:t>
      </w:r>
      <w:r w:rsidR="00F07C53">
        <w:rPr>
          <w:lang w:val="bg-BG"/>
        </w:rPr>
        <w:t xml:space="preserve">била обект на </w:t>
      </w:r>
      <w:r w:rsidR="007C5AAF">
        <w:rPr>
          <w:lang w:val="bg-BG"/>
        </w:rPr>
        <w:t>наказате</w:t>
      </w:r>
      <w:r w:rsidR="00827A92">
        <w:rPr>
          <w:lang w:val="bg-BG"/>
        </w:rPr>
        <w:t>лно пр</w:t>
      </w:r>
      <w:r w:rsidR="00F07C53">
        <w:rPr>
          <w:lang w:val="bg-BG"/>
        </w:rPr>
        <w:t>еследване</w:t>
      </w:r>
      <w:r w:rsidR="007C5AAF">
        <w:rPr>
          <w:lang w:val="bg-BG"/>
        </w:rPr>
        <w:t xml:space="preserve">, че ЛКП се разпуска чак след събитията от август 1991 г. и че </w:t>
      </w:r>
      <w:r w:rsidR="009A5AD1">
        <w:rPr>
          <w:lang w:val="bg-BG"/>
        </w:rPr>
        <w:t>н</w:t>
      </w:r>
      <w:r w:rsidR="004F33D5">
        <w:rPr>
          <w:lang w:val="bg-BG"/>
        </w:rPr>
        <w:t>яма доказателство, че настоящата дейност</w:t>
      </w:r>
      <w:r w:rsidR="009A5AD1">
        <w:rPr>
          <w:lang w:val="bg-BG"/>
        </w:rPr>
        <w:t xml:space="preserve"> на </w:t>
      </w:r>
      <w:r w:rsidR="00354C6E">
        <w:rPr>
          <w:lang w:val="bg-BG"/>
        </w:rPr>
        <w:t>жалбоподателк</w:t>
      </w:r>
      <w:r w:rsidR="00064BC8">
        <w:rPr>
          <w:lang w:val="bg-BG"/>
        </w:rPr>
        <w:t>ата</w:t>
      </w:r>
      <w:r w:rsidR="009A5AD1">
        <w:rPr>
          <w:lang w:val="bg-BG"/>
        </w:rPr>
        <w:t xml:space="preserve"> оправдава оставането в сила на огр</w:t>
      </w:r>
      <w:r w:rsidR="005E1FB4">
        <w:rPr>
          <w:lang w:val="bg-BG"/>
        </w:rPr>
        <w:t xml:space="preserve">аничението. Освен това </w:t>
      </w:r>
      <w:r w:rsidR="00F07C53">
        <w:rPr>
          <w:lang w:val="bg-BG"/>
        </w:rPr>
        <w:t>С</w:t>
      </w:r>
      <w:r w:rsidR="005E1FB4">
        <w:rPr>
          <w:lang w:val="bg-BG"/>
        </w:rPr>
        <w:t>ъдебният състав</w:t>
      </w:r>
      <w:r w:rsidR="00064BC8">
        <w:rPr>
          <w:lang w:val="bg-BG"/>
        </w:rPr>
        <w:t xml:space="preserve"> </w:t>
      </w:r>
      <w:r w:rsidR="009A5AD1">
        <w:rPr>
          <w:lang w:val="bg-BG"/>
        </w:rPr>
        <w:t xml:space="preserve">критикува латвийския законодател за това, че е приел оспорваното ограничение чак през 1995 г., вместо преди проведените през 1993 г. избори. Това показва, че бившите водещи фигури на ЛКП не са били считани като потенциална опасност за демокрацията. В обобщение, и като взима предвид по-конкретно </w:t>
      </w:r>
      <w:r w:rsidR="0060317B">
        <w:rPr>
          <w:lang w:val="bg-BG"/>
        </w:rPr>
        <w:t>установените принципи</w:t>
      </w:r>
      <w:r w:rsidR="009A5AD1">
        <w:rPr>
          <w:lang w:val="bg-BG"/>
        </w:rPr>
        <w:t xml:space="preserve"> на</w:t>
      </w:r>
      <w:r w:rsidR="0060317B">
        <w:rPr>
          <w:lang w:val="bg-BG"/>
        </w:rPr>
        <w:t xml:space="preserve"> съдебната практика, </w:t>
      </w:r>
      <w:r w:rsidR="00AD37A6">
        <w:rPr>
          <w:lang w:val="bg-BG"/>
        </w:rPr>
        <w:t xml:space="preserve">произлизащи </w:t>
      </w:r>
      <w:r w:rsidR="0060317B">
        <w:rPr>
          <w:lang w:val="bg-BG"/>
        </w:rPr>
        <w:t>от чл</w:t>
      </w:r>
      <w:r w:rsidR="00F07C53">
        <w:rPr>
          <w:lang w:val="bg-BG"/>
        </w:rPr>
        <w:t>ен</w:t>
      </w:r>
      <w:r w:rsidR="0060317B">
        <w:rPr>
          <w:lang w:val="bg-BG"/>
        </w:rPr>
        <w:t xml:space="preserve"> 11 на Конвенцията, за да подкрепи обосновката и заключението си, </w:t>
      </w:r>
      <w:r w:rsidR="00AD37A6">
        <w:rPr>
          <w:lang w:val="bg-BG"/>
        </w:rPr>
        <w:t>С</w:t>
      </w:r>
      <w:r w:rsidR="005E1FB4">
        <w:rPr>
          <w:lang w:val="bg-BG"/>
        </w:rPr>
        <w:t>ъдебният състав</w:t>
      </w:r>
      <w:r w:rsidR="0060317B">
        <w:rPr>
          <w:lang w:val="bg-BG"/>
        </w:rPr>
        <w:t xml:space="preserve"> счита, че </w:t>
      </w:r>
      <w:r w:rsidR="00064BC8">
        <w:rPr>
          <w:lang w:val="bg-BG"/>
        </w:rPr>
        <w:t>недопускането</w:t>
      </w:r>
      <w:r w:rsidR="0060317B">
        <w:rPr>
          <w:lang w:val="bg-BG"/>
        </w:rPr>
        <w:t xml:space="preserve"> на </w:t>
      </w:r>
      <w:r w:rsidR="00354C6E" w:rsidRPr="00C1610D">
        <w:rPr>
          <w:lang w:val="bg-BG"/>
        </w:rPr>
        <w:t>жалбоподателката</w:t>
      </w:r>
      <w:r w:rsidR="0060317B" w:rsidRPr="00C1610D">
        <w:rPr>
          <w:lang w:val="bg-BG"/>
        </w:rPr>
        <w:t xml:space="preserve"> да се кандидатира за </w:t>
      </w:r>
      <w:r w:rsidR="00A83563" w:rsidRPr="00C1610D">
        <w:rPr>
          <w:lang w:val="bg-BG"/>
        </w:rPr>
        <w:t xml:space="preserve">член на </w:t>
      </w:r>
      <w:r w:rsidR="0060317B" w:rsidRPr="00C1610D">
        <w:rPr>
          <w:lang w:val="bg-BG"/>
        </w:rPr>
        <w:t>парла</w:t>
      </w:r>
      <w:r w:rsidR="00A83563" w:rsidRPr="00C1610D">
        <w:rPr>
          <w:lang w:val="bg-BG"/>
        </w:rPr>
        <w:t>мента</w:t>
      </w:r>
      <w:r w:rsidR="00064BC8" w:rsidRPr="00C1610D">
        <w:rPr>
          <w:lang w:val="bg-BG"/>
        </w:rPr>
        <w:t xml:space="preserve"> </w:t>
      </w:r>
      <w:r w:rsidR="007A3576">
        <w:rPr>
          <w:lang w:val="bg-BG"/>
        </w:rPr>
        <w:t xml:space="preserve">е непропорционално </w:t>
      </w:r>
      <w:r w:rsidR="0060317B" w:rsidRPr="00C1610D">
        <w:rPr>
          <w:lang w:val="bg-BG"/>
        </w:rPr>
        <w:t>и следователно</w:t>
      </w:r>
      <w:r w:rsidR="0060317B">
        <w:rPr>
          <w:lang w:val="bg-BG"/>
        </w:rPr>
        <w:t xml:space="preserve"> </w:t>
      </w:r>
      <w:r w:rsidR="00203206">
        <w:rPr>
          <w:lang w:val="bg-BG"/>
        </w:rPr>
        <w:t xml:space="preserve">е </w:t>
      </w:r>
      <w:r w:rsidR="0060317B">
        <w:rPr>
          <w:lang w:val="bg-BG"/>
        </w:rPr>
        <w:t>в нарушение на чл</w:t>
      </w:r>
      <w:r w:rsidR="00AD37A6">
        <w:rPr>
          <w:lang w:val="bg-BG"/>
        </w:rPr>
        <w:t>ен</w:t>
      </w:r>
      <w:r w:rsidR="0060317B">
        <w:rPr>
          <w:lang w:val="bg-BG"/>
        </w:rPr>
        <w:t xml:space="preserve"> 3 от Протокол </w:t>
      </w:r>
      <w:r w:rsidR="0060317B" w:rsidRPr="002B1ED6">
        <w:rPr>
          <w:szCs w:val="24"/>
          <w:cs/>
        </w:rPr>
        <w:t>№</w:t>
      </w:r>
      <w:r w:rsidR="0060317B">
        <w:rPr>
          <w:rFonts w:hint="cs"/>
          <w:szCs w:val="24"/>
          <w:cs/>
        </w:rPr>
        <w:t xml:space="preserve"> 1.</w:t>
      </w:r>
      <w:r w:rsidR="0060317B">
        <w:rPr>
          <w:lang w:val="bg-BG"/>
        </w:rPr>
        <w:t xml:space="preserve">  </w:t>
      </w:r>
      <w:r w:rsidR="009A5AD1">
        <w:rPr>
          <w:lang w:val="bg-BG"/>
        </w:rPr>
        <w:t xml:space="preserve">    </w:t>
      </w:r>
      <w:r w:rsidR="007C5AAF">
        <w:rPr>
          <w:lang w:val="bg-BG"/>
        </w:rPr>
        <w:t xml:space="preserve">  </w:t>
      </w:r>
    </w:p>
    <w:p w:rsidR="005911E9" w:rsidRPr="00945ED6" w:rsidRDefault="00F04C94" w:rsidP="005911E9">
      <w:pPr>
        <w:pStyle w:val="JuHA"/>
        <w:rPr>
          <w:lang w:val="bg-BG"/>
        </w:rPr>
      </w:pPr>
      <w:r w:rsidRPr="00E17978">
        <w:t>B</w:t>
      </w:r>
      <w:r w:rsidR="005911E9" w:rsidRPr="00945ED6">
        <w:rPr>
          <w:lang w:val="bg-BG"/>
        </w:rPr>
        <w:t>.</w:t>
      </w:r>
      <w:r w:rsidR="005911E9" w:rsidRPr="00E17978">
        <w:t> </w:t>
      </w:r>
      <w:r w:rsidR="0060317B">
        <w:rPr>
          <w:lang w:val="bg-BG"/>
        </w:rPr>
        <w:t>Становища</w:t>
      </w:r>
      <w:r w:rsidR="00AD37A6">
        <w:rPr>
          <w:lang w:val="bg-BG"/>
        </w:rPr>
        <w:t>та</w:t>
      </w:r>
      <w:r w:rsidR="0060317B">
        <w:rPr>
          <w:lang w:val="bg-BG"/>
        </w:rPr>
        <w:t xml:space="preserve"> на страните</w:t>
      </w:r>
    </w:p>
    <w:p w:rsidR="005911E9" w:rsidRPr="00945ED6" w:rsidRDefault="005911E9" w:rsidP="005911E9">
      <w:pPr>
        <w:pStyle w:val="JuH1"/>
        <w:rPr>
          <w:lang w:val="bg-BG"/>
        </w:rPr>
      </w:pPr>
      <w:r w:rsidRPr="00945ED6">
        <w:rPr>
          <w:lang w:val="bg-BG"/>
        </w:rPr>
        <w:t>1.</w:t>
      </w:r>
      <w:r w:rsidRPr="00E17978">
        <w:t>  </w:t>
      </w:r>
      <w:r w:rsidR="00354C6E">
        <w:rPr>
          <w:lang w:val="bg-BG"/>
        </w:rPr>
        <w:t>Жалбоподателката</w:t>
      </w:r>
    </w:p>
    <w:p w:rsidR="00446673" w:rsidRPr="00945ED6" w:rsidRDefault="005D3E62" w:rsidP="00B8206D">
      <w:pPr>
        <w:pStyle w:val="JuPara"/>
        <w:rPr>
          <w:lang w:val="bg-BG"/>
        </w:rPr>
      </w:pPr>
      <w:r w:rsidRPr="005E1FB4">
        <w:fldChar w:fldCharType="begin"/>
      </w:r>
      <w:r w:rsidR="003477D3" w:rsidRPr="005E1FB4">
        <w:rPr>
          <w:lang w:val="bg-BG"/>
        </w:rPr>
        <w:instrText xml:space="preserve"> </w:instrText>
      </w:r>
      <w:r w:rsidR="003477D3" w:rsidRPr="005E1FB4">
        <w:rPr>
          <w:lang w:val="en-GB"/>
        </w:rPr>
        <w:instrText>SEQ</w:instrText>
      </w:r>
      <w:r w:rsidR="003477D3" w:rsidRPr="005E1FB4">
        <w:rPr>
          <w:lang w:val="bg-BG"/>
        </w:rPr>
        <w:instrText xml:space="preserve"> </w:instrText>
      </w:r>
      <w:r w:rsidR="003477D3" w:rsidRPr="005E1FB4">
        <w:rPr>
          <w:lang w:val="en-GB"/>
        </w:rPr>
        <w:instrText>level</w:instrText>
      </w:r>
      <w:r w:rsidR="003477D3" w:rsidRPr="005E1FB4">
        <w:rPr>
          <w:lang w:val="bg-BG"/>
        </w:rPr>
        <w:instrText>0 \*</w:instrText>
      </w:r>
      <w:r w:rsidR="003477D3" w:rsidRPr="005E1FB4">
        <w:rPr>
          <w:lang w:val="en-GB"/>
        </w:rPr>
        <w:instrText>arabic</w:instrText>
      </w:r>
      <w:r w:rsidR="003477D3" w:rsidRPr="005E1FB4">
        <w:rPr>
          <w:lang w:val="bg-BG"/>
        </w:rPr>
        <w:instrText xml:space="preserve"> </w:instrText>
      </w:r>
      <w:r w:rsidRPr="005E1FB4">
        <w:fldChar w:fldCharType="separate"/>
      </w:r>
      <w:r w:rsidR="00955550" w:rsidRPr="005E1FB4">
        <w:rPr>
          <w:noProof/>
          <w:lang w:val="bg-BG"/>
        </w:rPr>
        <w:t>76</w:t>
      </w:r>
      <w:r w:rsidRPr="005E1FB4">
        <w:fldChar w:fldCharType="end"/>
      </w:r>
      <w:r w:rsidR="003477D3" w:rsidRPr="005E1FB4">
        <w:rPr>
          <w:lang w:val="bg-BG"/>
        </w:rPr>
        <w:t>.</w:t>
      </w:r>
      <w:r w:rsidR="0060317B" w:rsidRPr="005E1FB4">
        <w:rPr>
          <w:b/>
          <w:lang w:val="en-GB"/>
        </w:rPr>
        <w:t> </w:t>
      </w:r>
      <w:r w:rsidR="00354C6E" w:rsidRPr="005E1FB4">
        <w:rPr>
          <w:lang w:val="bg-BG"/>
        </w:rPr>
        <w:t>Жалбоподателката</w:t>
      </w:r>
      <w:r w:rsidR="00D7442B" w:rsidRPr="005E1FB4">
        <w:rPr>
          <w:lang w:val="bg-BG"/>
        </w:rPr>
        <w:t xml:space="preserve"> </w:t>
      </w:r>
      <w:r w:rsidR="00AD37A6">
        <w:rPr>
          <w:lang w:val="bg-BG"/>
        </w:rPr>
        <w:t>иска</w:t>
      </w:r>
      <w:r w:rsidR="00AD37A6" w:rsidRPr="005E1FB4">
        <w:rPr>
          <w:lang w:val="bg-BG"/>
        </w:rPr>
        <w:t xml:space="preserve"> </w:t>
      </w:r>
      <w:r w:rsidR="00D7442B" w:rsidRPr="005E1FB4">
        <w:rPr>
          <w:lang w:val="bg-BG"/>
        </w:rPr>
        <w:t xml:space="preserve">да се </w:t>
      </w:r>
      <w:r w:rsidR="00770114" w:rsidRPr="005E1FB4">
        <w:rPr>
          <w:lang w:val="bg-BG"/>
        </w:rPr>
        <w:t>потвърди</w:t>
      </w:r>
      <w:r w:rsidR="005E1FB4" w:rsidRPr="005E1FB4">
        <w:rPr>
          <w:lang w:val="bg-BG"/>
        </w:rPr>
        <w:t xml:space="preserve"> решението на </w:t>
      </w:r>
      <w:r w:rsidR="00AD37A6">
        <w:rPr>
          <w:lang w:val="bg-BG"/>
        </w:rPr>
        <w:t>С</w:t>
      </w:r>
      <w:r w:rsidR="00D7442B" w:rsidRPr="005E1FB4">
        <w:rPr>
          <w:lang w:val="bg-BG"/>
        </w:rPr>
        <w:t>ъдебния състав</w:t>
      </w:r>
      <w:r w:rsidR="00770114" w:rsidRPr="005E1FB4">
        <w:rPr>
          <w:lang w:val="bg-BG"/>
        </w:rPr>
        <w:t xml:space="preserve">. </w:t>
      </w:r>
      <w:r w:rsidR="00064BC8" w:rsidRPr="005E1FB4">
        <w:rPr>
          <w:lang w:val="bg-BG"/>
        </w:rPr>
        <w:t>Ж</w:t>
      </w:r>
      <w:r w:rsidR="00064BC8">
        <w:rPr>
          <w:lang w:val="bg-BG"/>
        </w:rPr>
        <w:t>албоподателката смята, че причините, посо</w:t>
      </w:r>
      <w:r w:rsidR="00D7442B">
        <w:rPr>
          <w:lang w:val="bg-BG"/>
        </w:rPr>
        <w:t>ч</w:t>
      </w:r>
      <w:r w:rsidR="00064BC8">
        <w:rPr>
          <w:lang w:val="bg-BG"/>
        </w:rPr>
        <w:t>ени</w:t>
      </w:r>
      <w:r w:rsidR="00770114">
        <w:rPr>
          <w:lang w:val="bg-BG"/>
        </w:rPr>
        <w:t xml:space="preserve"> за нейното дисквалифициране, сле</w:t>
      </w:r>
      <w:r w:rsidR="00064BC8">
        <w:rPr>
          <w:lang w:val="bg-BG"/>
        </w:rPr>
        <w:t>два да се разгледат с оглед</w:t>
      </w:r>
      <w:r w:rsidR="00770114">
        <w:rPr>
          <w:lang w:val="bg-BG"/>
        </w:rPr>
        <w:t xml:space="preserve"> на принципите и заключенията, установени от Съда</w:t>
      </w:r>
      <w:r w:rsidR="00064BC8">
        <w:rPr>
          <w:lang w:val="bg-BG"/>
        </w:rPr>
        <w:t xml:space="preserve"> по делото</w:t>
      </w:r>
      <w:r w:rsidR="00770114">
        <w:rPr>
          <w:lang w:val="bg-BG"/>
        </w:rPr>
        <w:t xml:space="preserve"> </w:t>
      </w:r>
      <w:r w:rsidR="00446673" w:rsidRPr="00BB4F95">
        <w:rPr>
          <w:i/>
          <w:iCs/>
          <w:lang w:val="en-GB"/>
        </w:rPr>
        <w:t>United</w:t>
      </w:r>
      <w:r w:rsidR="00446673" w:rsidRPr="00945ED6">
        <w:rPr>
          <w:i/>
          <w:iCs/>
          <w:lang w:val="bg-BG"/>
        </w:rPr>
        <w:t xml:space="preserve"> </w:t>
      </w:r>
      <w:r w:rsidR="00446673" w:rsidRPr="00BB4F95">
        <w:rPr>
          <w:i/>
          <w:iCs/>
          <w:lang w:val="en-GB"/>
        </w:rPr>
        <w:t>Communist</w:t>
      </w:r>
      <w:r w:rsidR="00446673" w:rsidRPr="00945ED6">
        <w:rPr>
          <w:i/>
          <w:iCs/>
          <w:lang w:val="bg-BG"/>
        </w:rPr>
        <w:t xml:space="preserve"> </w:t>
      </w:r>
      <w:r w:rsidR="00446673" w:rsidRPr="00BB4F95">
        <w:rPr>
          <w:i/>
          <w:iCs/>
          <w:lang w:val="en-GB"/>
        </w:rPr>
        <w:t>Party</w:t>
      </w:r>
      <w:r w:rsidR="00446673" w:rsidRPr="00945ED6">
        <w:rPr>
          <w:i/>
          <w:iCs/>
          <w:lang w:val="bg-BG"/>
        </w:rPr>
        <w:t xml:space="preserve"> </w:t>
      </w:r>
      <w:r w:rsidR="00446673" w:rsidRPr="00BB4F95">
        <w:rPr>
          <w:i/>
          <w:iCs/>
          <w:lang w:val="en-GB"/>
        </w:rPr>
        <w:t>of</w:t>
      </w:r>
      <w:r w:rsidR="00446673" w:rsidRPr="00945ED6">
        <w:rPr>
          <w:i/>
          <w:iCs/>
          <w:lang w:val="bg-BG"/>
        </w:rPr>
        <w:t xml:space="preserve"> </w:t>
      </w:r>
      <w:r w:rsidR="00446673" w:rsidRPr="00BB4F95">
        <w:rPr>
          <w:i/>
          <w:iCs/>
          <w:lang w:val="en-GB"/>
        </w:rPr>
        <w:t>Turkey</w:t>
      </w:r>
      <w:r w:rsidR="00446673" w:rsidRPr="00945ED6">
        <w:rPr>
          <w:i/>
          <w:iCs/>
          <w:lang w:val="bg-BG"/>
        </w:rPr>
        <w:t xml:space="preserve"> </w:t>
      </w:r>
      <w:r w:rsidR="00446673" w:rsidRPr="00BB4F95">
        <w:rPr>
          <w:i/>
          <w:iCs/>
          <w:lang w:val="en-GB"/>
        </w:rPr>
        <w:t>and</w:t>
      </w:r>
      <w:r w:rsidR="00446673" w:rsidRPr="00945ED6">
        <w:rPr>
          <w:i/>
          <w:iCs/>
          <w:lang w:val="bg-BG"/>
        </w:rPr>
        <w:t xml:space="preserve"> </w:t>
      </w:r>
      <w:r w:rsidR="00446673" w:rsidRPr="00BB4F95">
        <w:rPr>
          <w:i/>
          <w:iCs/>
          <w:lang w:val="en-GB"/>
        </w:rPr>
        <w:t>Others</w:t>
      </w:r>
      <w:r w:rsidR="00446673" w:rsidRPr="00945ED6">
        <w:rPr>
          <w:i/>
          <w:iCs/>
          <w:lang w:val="bg-BG"/>
        </w:rPr>
        <w:t xml:space="preserve"> </w:t>
      </w:r>
      <w:r w:rsidR="00446673" w:rsidRPr="00BB4F95">
        <w:rPr>
          <w:i/>
          <w:iCs/>
          <w:lang w:val="en-GB"/>
        </w:rPr>
        <w:t>v</w:t>
      </w:r>
      <w:r w:rsidR="00446673" w:rsidRPr="00945ED6">
        <w:rPr>
          <w:i/>
          <w:iCs/>
          <w:lang w:val="bg-BG"/>
        </w:rPr>
        <w:t xml:space="preserve">. </w:t>
      </w:r>
      <w:r w:rsidR="00446673" w:rsidRPr="00BB4F95">
        <w:rPr>
          <w:i/>
          <w:iCs/>
          <w:lang w:val="en-GB"/>
        </w:rPr>
        <w:t>Turkey</w:t>
      </w:r>
      <w:r w:rsidR="00414E81" w:rsidRPr="00945ED6">
        <w:rPr>
          <w:iCs/>
          <w:lang w:val="bg-BG"/>
        </w:rPr>
        <w:t xml:space="preserve"> (</w:t>
      </w:r>
      <w:r w:rsidR="00414E81" w:rsidRPr="00945ED6">
        <w:rPr>
          <w:lang w:val="bg-BG"/>
        </w:rPr>
        <w:t>30</w:t>
      </w:r>
      <w:r w:rsidR="005F37A6">
        <w:rPr>
          <w:lang w:val="en-GB"/>
        </w:rPr>
        <w:t> </w:t>
      </w:r>
      <w:r w:rsidR="00770114" w:rsidRPr="00945ED6">
        <w:rPr>
          <w:lang w:val="bg-BG"/>
        </w:rPr>
        <w:t>януари</w:t>
      </w:r>
      <w:r w:rsidR="00446673" w:rsidRPr="00945ED6">
        <w:rPr>
          <w:lang w:val="bg-BG"/>
        </w:rPr>
        <w:t xml:space="preserve"> 1998</w:t>
      </w:r>
      <w:r w:rsidR="00414E81" w:rsidRPr="00945ED6">
        <w:rPr>
          <w:iCs/>
          <w:lang w:val="bg-BG"/>
        </w:rPr>
        <w:t>,</w:t>
      </w:r>
      <w:r w:rsidR="00414E81" w:rsidRPr="00945ED6">
        <w:rPr>
          <w:i/>
          <w:iCs/>
          <w:lang w:val="bg-BG"/>
        </w:rPr>
        <w:t xml:space="preserve"> </w:t>
      </w:r>
      <w:r w:rsidR="005F37A6" w:rsidRPr="00945ED6">
        <w:rPr>
          <w:lang w:val="bg-BG"/>
        </w:rPr>
        <w:t xml:space="preserve">§§ 45-46, </w:t>
      </w:r>
      <w:r w:rsidR="00770114" w:rsidRPr="00945ED6">
        <w:rPr>
          <w:i/>
          <w:iCs/>
          <w:lang w:val="bg-BG"/>
        </w:rPr>
        <w:t>Доклади</w:t>
      </w:r>
      <w:r w:rsidR="00414E81" w:rsidRPr="00945ED6">
        <w:rPr>
          <w:lang w:val="bg-BG"/>
        </w:rPr>
        <w:t xml:space="preserve"> 1998-</w:t>
      </w:r>
      <w:r w:rsidR="00414E81">
        <w:rPr>
          <w:lang w:val="en-GB"/>
        </w:rPr>
        <w:t>I</w:t>
      </w:r>
      <w:r w:rsidR="00446673" w:rsidRPr="00945ED6">
        <w:rPr>
          <w:lang w:val="bg-BG"/>
        </w:rPr>
        <w:t>).</w:t>
      </w:r>
      <w:r w:rsidR="00770114">
        <w:rPr>
          <w:lang w:val="bg-BG"/>
        </w:rPr>
        <w:t xml:space="preserve"> </w:t>
      </w:r>
      <w:r w:rsidR="00354C6E">
        <w:rPr>
          <w:lang w:val="bg-BG"/>
        </w:rPr>
        <w:t>Жалбоподателката</w:t>
      </w:r>
      <w:r w:rsidR="00770114">
        <w:rPr>
          <w:lang w:val="bg-BG"/>
        </w:rPr>
        <w:t xml:space="preserve"> оспорва твъ</w:t>
      </w:r>
      <w:r w:rsidR="00064BC8">
        <w:rPr>
          <w:lang w:val="bg-BG"/>
        </w:rPr>
        <w:t>рденията, касаещи предполагаемия</w:t>
      </w:r>
      <w:r w:rsidR="00770114">
        <w:rPr>
          <w:lang w:val="bg-BG"/>
        </w:rPr>
        <w:t xml:space="preserve"> тоталитарен и опасен характер на ЛКП, като се позовава на официалната програма на партията, приета </w:t>
      </w:r>
      <w:r w:rsidR="00064BC8">
        <w:rPr>
          <w:lang w:val="bg-BG"/>
        </w:rPr>
        <w:t>през април 1990 г. Тя призовава към</w:t>
      </w:r>
      <w:r w:rsidR="00770114">
        <w:rPr>
          <w:lang w:val="bg-BG"/>
        </w:rPr>
        <w:t>: „конструктивно сътрудничество между различни политически сили, благоприятни за демократичната трансформация на обществото</w:t>
      </w:r>
      <w:r w:rsidR="00306991">
        <w:rPr>
          <w:lang w:val="bg-BG"/>
        </w:rPr>
        <w:t>“</w:t>
      </w:r>
      <w:r w:rsidR="00770114">
        <w:rPr>
          <w:lang w:val="bg-BG"/>
        </w:rPr>
        <w:t xml:space="preserve"> и „общество, основано на принципите на демокрацията </w:t>
      </w:r>
      <w:r w:rsidR="00770114" w:rsidRPr="00945ED6">
        <w:rPr>
          <w:lang w:val="bg-BG"/>
        </w:rPr>
        <w:t>[</w:t>
      </w:r>
      <w:r w:rsidR="00770114">
        <w:rPr>
          <w:lang w:val="bg-BG"/>
        </w:rPr>
        <w:t>и</w:t>
      </w:r>
      <w:r w:rsidR="00770114" w:rsidRPr="00945ED6">
        <w:rPr>
          <w:lang w:val="bg-BG"/>
        </w:rPr>
        <w:t>]</w:t>
      </w:r>
      <w:r w:rsidR="00770114">
        <w:rPr>
          <w:lang w:val="bg-BG"/>
        </w:rPr>
        <w:t xml:space="preserve"> хуманизма</w:t>
      </w:r>
      <w:r w:rsidR="00306991">
        <w:rPr>
          <w:lang w:val="bg-BG"/>
        </w:rPr>
        <w:t>“</w:t>
      </w:r>
      <w:r w:rsidR="00770114">
        <w:rPr>
          <w:lang w:val="bg-BG"/>
        </w:rPr>
        <w:t xml:space="preserve">. Освен това по времето на </w:t>
      </w:r>
      <w:r w:rsidR="00770114">
        <w:rPr>
          <w:lang w:val="en-US"/>
        </w:rPr>
        <w:t>XXV</w:t>
      </w:r>
      <w:r w:rsidR="00770114" w:rsidRPr="00945ED6">
        <w:rPr>
          <w:lang w:val="bg-BG"/>
        </w:rPr>
        <w:t xml:space="preserve"> </w:t>
      </w:r>
      <w:r w:rsidR="00770114">
        <w:rPr>
          <w:lang w:val="bg-BG"/>
        </w:rPr>
        <w:t xml:space="preserve">конгрес на ЛКП партията не е имала </w:t>
      </w:r>
      <w:r w:rsidR="00DF0E29">
        <w:rPr>
          <w:lang w:val="bg-BG"/>
        </w:rPr>
        <w:t>намерение да възстановява бившия тоталитарен ко</w:t>
      </w:r>
      <w:r w:rsidR="00064BC8">
        <w:rPr>
          <w:lang w:val="bg-BG"/>
        </w:rPr>
        <w:t>мунистически режим. Жалбоподателката</w:t>
      </w:r>
      <w:r w:rsidR="00DF0E29">
        <w:rPr>
          <w:lang w:val="bg-BG"/>
        </w:rPr>
        <w:t xml:space="preserve"> отбелязва още, че ЛКП е обявена за противоконституционна чак на 23 август 1991 г. и че дейността на партията преди тази дата, включително в периода след събитията от януари 1991 г., е била напълно законна.</w:t>
      </w:r>
      <w:r w:rsidR="00770114">
        <w:rPr>
          <w:lang w:val="bg-BG"/>
        </w:rPr>
        <w:t xml:space="preserve"> </w:t>
      </w:r>
      <w:r w:rsidR="00446673" w:rsidRPr="00945ED6">
        <w:rPr>
          <w:lang w:val="bg-BG"/>
        </w:rPr>
        <w:t xml:space="preserve"> </w:t>
      </w:r>
    </w:p>
    <w:p w:rsidR="00446673" w:rsidRPr="00945ED6" w:rsidRDefault="005D3E62" w:rsidP="00783F41">
      <w:pPr>
        <w:pStyle w:val="JuPara"/>
        <w:rPr>
          <w:lang w:val="bg-BG"/>
        </w:rPr>
      </w:pPr>
      <w:r w:rsidRPr="00E17978">
        <w:fldChar w:fldCharType="begin"/>
      </w:r>
      <w:r w:rsidR="003477D3" w:rsidRPr="00945ED6">
        <w:rPr>
          <w:lang w:val="bg-BG"/>
        </w:rPr>
        <w:instrText xml:space="preserve"> </w:instrText>
      </w:r>
      <w:r w:rsidR="003477D3" w:rsidRPr="00BB4F95">
        <w:rPr>
          <w:lang w:val="en-GB"/>
        </w:rPr>
        <w:instrText>SEQ</w:instrText>
      </w:r>
      <w:r w:rsidR="003477D3" w:rsidRPr="00945ED6">
        <w:rPr>
          <w:lang w:val="bg-BG"/>
        </w:rPr>
        <w:instrText xml:space="preserve"> </w:instrText>
      </w:r>
      <w:r w:rsidR="003477D3" w:rsidRPr="00BB4F95">
        <w:rPr>
          <w:lang w:val="en-GB"/>
        </w:rPr>
        <w:instrText>level</w:instrText>
      </w:r>
      <w:r w:rsidR="003477D3" w:rsidRPr="00945ED6">
        <w:rPr>
          <w:lang w:val="bg-BG"/>
        </w:rPr>
        <w:instrText>0 \*</w:instrText>
      </w:r>
      <w:r w:rsidR="003477D3" w:rsidRPr="00BB4F95">
        <w:rPr>
          <w:lang w:val="en-GB"/>
        </w:rPr>
        <w:instrText>arabic</w:instrText>
      </w:r>
      <w:r w:rsidR="003477D3" w:rsidRPr="00945ED6">
        <w:rPr>
          <w:lang w:val="bg-BG"/>
        </w:rPr>
        <w:instrText xml:space="preserve"> </w:instrText>
      </w:r>
      <w:r w:rsidRPr="00E17978">
        <w:fldChar w:fldCharType="separate"/>
      </w:r>
      <w:r w:rsidR="00955550" w:rsidRPr="00945ED6">
        <w:rPr>
          <w:noProof/>
          <w:lang w:val="bg-BG"/>
        </w:rPr>
        <w:t>77</w:t>
      </w:r>
      <w:r w:rsidRPr="00E17978">
        <w:fldChar w:fldCharType="end"/>
      </w:r>
      <w:r w:rsidR="003477D3" w:rsidRPr="00945ED6">
        <w:rPr>
          <w:lang w:val="bg-BG"/>
        </w:rPr>
        <w:t>.</w:t>
      </w:r>
      <w:r w:rsidR="003477D3" w:rsidRPr="00BB4F95">
        <w:rPr>
          <w:lang w:val="en-GB"/>
        </w:rPr>
        <w:t>  </w:t>
      </w:r>
      <w:r w:rsidR="0037635C">
        <w:rPr>
          <w:lang w:val="bg-BG"/>
        </w:rPr>
        <w:t xml:space="preserve">По-нататък </w:t>
      </w:r>
      <w:r w:rsidR="00354C6E">
        <w:rPr>
          <w:lang w:val="bg-BG"/>
        </w:rPr>
        <w:t>жалбоподателката</w:t>
      </w:r>
      <w:r w:rsidR="0037635C">
        <w:rPr>
          <w:lang w:val="bg-BG"/>
        </w:rPr>
        <w:t xml:space="preserve"> твър</w:t>
      </w:r>
      <w:r w:rsidR="00064BC8">
        <w:rPr>
          <w:lang w:val="bg-BG"/>
        </w:rPr>
        <w:t xml:space="preserve">ди, че фактите относно </w:t>
      </w:r>
      <w:r w:rsidR="0037635C">
        <w:rPr>
          <w:lang w:val="bg-BG"/>
        </w:rPr>
        <w:t>членство</w:t>
      </w:r>
      <w:r w:rsidR="00064BC8">
        <w:rPr>
          <w:lang w:val="bg-BG"/>
        </w:rPr>
        <w:t>то ѝ в ЛКП и позицията ѝ</w:t>
      </w:r>
      <w:r w:rsidR="0037635C">
        <w:rPr>
          <w:lang w:val="bg-BG"/>
        </w:rPr>
        <w:t xml:space="preserve"> в структурата на партията не са дос</w:t>
      </w:r>
      <w:r w:rsidR="00B67219">
        <w:rPr>
          <w:lang w:val="bg-BG"/>
        </w:rPr>
        <w:t>татъчни, за да се докаже липса</w:t>
      </w:r>
      <w:r w:rsidR="00FC6EA0">
        <w:rPr>
          <w:lang w:val="bg-BG"/>
        </w:rPr>
        <w:t xml:space="preserve"> на лоялност към Латвия. Факт</w:t>
      </w:r>
      <w:r w:rsidR="0037635C">
        <w:rPr>
          <w:lang w:val="bg-BG"/>
        </w:rPr>
        <w:t xml:space="preserve"> е, че от 201 члена на В</w:t>
      </w:r>
      <w:r w:rsidR="00B67219">
        <w:rPr>
          <w:lang w:val="bg-BG"/>
        </w:rPr>
        <w:t xml:space="preserve">ърховния съвет 106 </w:t>
      </w:r>
      <w:r w:rsidR="0037635C">
        <w:rPr>
          <w:lang w:val="bg-BG"/>
        </w:rPr>
        <w:t>са били</w:t>
      </w:r>
      <w:r w:rsidR="00B67219">
        <w:rPr>
          <w:lang w:val="bg-BG"/>
        </w:rPr>
        <w:t xml:space="preserve"> преди това</w:t>
      </w:r>
      <w:r w:rsidR="0037635C">
        <w:rPr>
          <w:lang w:val="bg-BG"/>
        </w:rPr>
        <w:t xml:space="preserve"> членове на ЛКП, </w:t>
      </w:r>
      <w:r w:rsidR="00FC6EA0">
        <w:rPr>
          <w:lang w:val="bg-BG"/>
        </w:rPr>
        <w:t xml:space="preserve">а разделението на членовете на </w:t>
      </w:r>
      <w:r w:rsidR="00192325">
        <w:rPr>
          <w:lang w:val="bg-BG"/>
        </w:rPr>
        <w:t>п</w:t>
      </w:r>
      <w:r w:rsidR="0037635C">
        <w:rPr>
          <w:lang w:val="bg-BG"/>
        </w:rPr>
        <w:t>арламента на два лагера е</w:t>
      </w:r>
      <w:r w:rsidR="00FC6EA0">
        <w:rPr>
          <w:lang w:val="bg-BG"/>
        </w:rPr>
        <w:t xml:space="preserve"> било</w:t>
      </w:r>
      <w:r w:rsidR="0037635C">
        <w:rPr>
          <w:lang w:val="bg-BG"/>
        </w:rPr>
        <w:t xml:space="preserve"> основано единствено на отношението им към </w:t>
      </w:r>
      <w:r w:rsidR="00192325">
        <w:rPr>
          <w:lang w:val="bg-BG"/>
        </w:rPr>
        <w:t xml:space="preserve">обявяването </w:t>
      </w:r>
      <w:r w:rsidR="0037635C">
        <w:rPr>
          <w:lang w:val="bg-BG"/>
        </w:rPr>
        <w:t>н</w:t>
      </w:r>
      <w:r w:rsidR="00FC6EA0">
        <w:rPr>
          <w:lang w:val="bg-BG"/>
        </w:rPr>
        <w:t xml:space="preserve">а независимостта, не </w:t>
      </w:r>
      <w:r w:rsidR="0037635C">
        <w:rPr>
          <w:lang w:val="bg-BG"/>
        </w:rPr>
        <w:t>на това дали са членували във въпро</w:t>
      </w:r>
      <w:r w:rsidR="00FC6EA0">
        <w:rPr>
          <w:lang w:val="bg-BG"/>
        </w:rPr>
        <w:t xml:space="preserve">сната партия. </w:t>
      </w:r>
      <w:r w:rsidR="00B67219">
        <w:rPr>
          <w:lang w:val="bg-BG"/>
        </w:rPr>
        <w:t xml:space="preserve">Според жалбоподателката </w:t>
      </w:r>
      <w:r w:rsidR="00FC6EA0">
        <w:rPr>
          <w:lang w:val="bg-BG"/>
        </w:rPr>
        <w:t>ЛКП не може да бъде обвинена</w:t>
      </w:r>
      <w:r w:rsidR="0037635C">
        <w:rPr>
          <w:lang w:val="bg-BG"/>
        </w:rPr>
        <w:t xml:space="preserve"> в опит за </w:t>
      </w:r>
      <w:r w:rsidR="0037635C">
        <w:rPr>
          <w:lang w:val="bg-BG"/>
        </w:rPr>
        <w:lastRenderedPageBreak/>
        <w:t xml:space="preserve">сваляне на демократичния режим. Във връзка със събитията от януари 1991 г. </w:t>
      </w:r>
      <w:r w:rsidR="00B67219">
        <w:rPr>
          <w:lang w:val="bg-BG"/>
        </w:rPr>
        <w:t>тя</w:t>
      </w:r>
      <w:r w:rsidR="00FC6EA0">
        <w:rPr>
          <w:lang w:val="bg-BG"/>
        </w:rPr>
        <w:t xml:space="preserve"> повтаря своята </w:t>
      </w:r>
      <w:r w:rsidR="00783F41">
        <w:rPr>
          <w:lang w:val="bg-BG"/>
        </w:rPr>
        <w:t>версия за случилот</w:t>
      </w:r>
      <w:r w:rsidR="000F4F9E">
        <w:rPr>
          <w:lang w:val="bg-BG"/>
        </w:rPr>
        <w:t>о се (вж</w:t>
      </w:r>
      <w:r w:rsidR="00192325">
        <w:rPr>
          <w:lang w:val="bg-BG"/>
        </w:rPr>
        <w:t>.</w:t>
      </w:r>
      <w:r w:rsidR="000F4F9E">
        <w:rPr>
          <w:lang w:val="bg-BG"/>
        </w:rPr>
        <w:t xml:space="preserve"> параграфи 21 и 23 – </w:t>
      </w:r>
      <w:r w:rsidR="00783F41">
        <w:rPr>
          <w:lang w:val="bg-BG"/>
        </w:rPr>
        <w:t xml:space="preserve">24 по-горе). </w:t>
      </w:r>
      <w:r w:rsidR="00354C6E">
        <w:rPr>
          <w:lang w:val="bg-BG"/>
        </w:rPr>
        <w:t>Жалбоподателката</w:t>
      </w:r>
      <w:r w:rsidR="00783F41">
        <w:rPr>
          <w:lang w:val="bg-BG"/>
        </w:rPr>
        <w:t xml:space="preserve"> представя копие от публикуваната на 21 януари 1991 г. жалба от парламентарната група на ЛКП, в която се </w:t>
      </w:r>
      <w:r w:rsidR="00583309">
        <w:rPr>
          <w:lang w:val="bg-BG"/>
        </w:rPr>
        <w:t>отрича партията да е била организатор или участник във</w:t>
      </w:r>
      <w:r w:rsidR="00783F41">
        <w:rPr>
          <w:lang w:val="bg-BG"/>
        </w:rPr>
        <w:t xml:space="preserve"> въоръжените </w:t>
      </w:r>
      <w:r w:rsidR="00192325">
        <w:rPr>
          <w:lang w:val="bg-BG"/>
        </w:rPr>
        <w:t xml:space="preserve">нападения </w:t>
      </w:r>
      <w:r w:rsidR="00783F41">
        <w:rPr>
          <w:lang w:val="bg-BG"/>
        </w:rPr>
        <w:t xml:space="preserve">и се </w:t>
      </w:r>
      <w:r w:rsidR="00557FE0">
        <w:rPr>
          <w:lang w:val="bg-BG"/>
        </w:rPr>
        <w:t>осъжда</w:t>
      </w:r>
      <w:r w:rsidR="00783F41">
        <w:rPr>
          <w:lang w:val="bg-BG"/>
        </w:rPr>
        <w:t xml:space="preserve"> „полит</w:t>
      </w:r>
      <w:r w:rsidR="00583309">
        <w:rPr>
          <w:lang w:val="bg-BG"/>
        </w:rPr>
        <w:t xml:space="preserve">ическа провокация ... която подвежда </w:t>
      </w:r>
      <w:r w:rsidR="00783F41">
        <w:rPr>
          <w:lang w:val="bg-BG"/>
        </w:rPr>
        <w:t>световното обществено мнение</w:t>
      </w:r>
      <w:r w:rsidR="00F67CDC">
        <w:rPr>
          <w:lang w:val="bg-BG"/>
        </w:rPr>
        <w:t>”</w:t>
      </w:r>
      <w:r w:rsidR="00583309">
        <w:rPr>
          <w:lang w:val="bg-BG"/>
        </w:rPr>
        <w:t>. При всички положения</w:t>
      </w:r>
      <w:r w:rsidR="00783F41">
        <w:rPr>
          <w:lang w:val="bg-BG"/>
        </w:rPr>
        <w:t xml:space="preserve"> </w:t>
      </w:r>
      <w:r w:rsidR="00354C6E">
        <w:rPr>
          <w:lang w:val="bg-BG"/>
        </w:rPr>
        <w:t>жалбоподателката</w:t>
      </w:r>
      <w:r w:rsidR="00783F41">
        <w:rPr>
          <w:lang w:val="bg-BG"/>
        </w:rPr>
        <w:t xml:space="preserve"> никога не е членувал</w:t>
      </w:r>
      <w:r w:rsidR="00583309">
        <w:rPr>
          <w:lang w:val="bg-BG"/>
        </w:rPr>
        <w:t>а</w:t>
      </w:r>
      <w:r w:rsidR="00783F41">
        <w:rPr>
          <w:lang w:val="bg-BG"/>
        </w:rPr>
        <w:t xml:space="preserve"> в Латвийския комитет за обще</w:t>
      </w:r>
      <w:r w:rsidR="00CB5D81">
        <w:rPr>
          <w:lang w:val="bg-BG"/>
        </w:rPr>
        <w:t>ствено спасение. Относно събитията от 19 август 1991 г.</w:t>
      </w:r>
      <w:r w:rsidR="00583309">
        <w:rPr>
          <w:lang w:val="bg-BG"/>
        </w:rPr>
        <w:t>, тя</w:t>
      </w:r>
      <w:r w:rsidR="00783F41">
        <w:rPr>
          <w:lang w:val="bg-BG"/>
        </w:rPr>
        <w:t xml:space="preserve"> твърди, че има доказателства, оневиняващи ЛКП.    </w:t>
      </w:r>
      <w:r w:rsidR="0037635C">
        <w:rPr>
          <w:lang w:val="bg-BG"/>
        </w:rPr>
        <w:t xml:space="preserve">  </w:t>
      </w:r>
      <w:r w:rsidR="0037635C" w:rsidRPr="00945ED6">
        <w:rPr>
          <w:lang w:val="bg-BG"/>
        </w:rPr>
        <w:t xml:space="preserve"> </w:t>
      </w:r>
    </w:p>
    <w:p w:rsidR="00783F41" w:rsidRPr="00945ED6" w:rsidRDefault="005D3E62" w:rsidP="00B8206D">
      <w:pPr>
        <w:pStyle w:val="JuPara"/>
        <w:rPr>
          <w:lang w:val="bg-BG"/>
        </w:rPr>
      </w:pPr>
      <w:r w:rsidRPr="00E17978">
        <w:fldChar w:fldCharType="begin"/>
      </w:r>
      <w:r w:rsidR="00446673" w:rsidRPr="00945ED6">
        <w:rPr>
          <w:lang w:val="bg-BG"/>
        </w:rPr>
        <w:instrText xml:space="preserve"> </w:instrText>
      </w:r>
      <w:r w:rsidR="00446673" w:rsidRPr="00BB4F95">
        <w:rPr>
          <w:lang w:val="en-GB"/>
        </w:rPr>
        <w:instrText>SEQ</w:instrText>
      </w:r>
      <w:r w:rsidR="00446673" w:rsidRPr="00945ED6">
        <w:rPr>
          <w:lang w:val="bg-BG"/>
        </w:rPr>
        <w:instrText xml:space="preserve"> </w:instrText>
      </w:r>
      <w:r w:rsidR="00446673" w:rsidRPr="00BB4F95">
        <w:rPr>
          <w:lang w:val="en-GB"/>
        </w:rPr>
        <w:instrText>level</w:instrText>
      </w:r>
      <w:r w:rsidR="00446673" w:rsidRPr="00945ED6">
        <w:rPr>
          <w:lang w:val="bg-BG"/>
        </w:rPr>
        <w:instrText>0 \*</w:instrText>
      </w:r>
      <w:r w:rsidR="00446673" w:rsidRPr="00BB4F95">
        <w:rPr>
          <w:lang w:val="en-GB"/>
        </w:rPr>
        <w:instrText>arabic</w:instrText>
      </w:r>
      <w:r w:rsidR="00446673" w:rsidRPr="00945ED6">
        <w:rPr>
          <w:lang w:val="bg-BG"/>
        </w:rPr>
        <w:instrText xml:space="preserve"> </w:instrText>
      </w:r>
      <w:r w:rsidRPr="00E17978">
        <w:fldChar w:fldCharType="separate"/>
      </w:r>
      <w:r w:rsidR="00955550" w:rsidRPr="00945ED6">
        <w:rPr>
          <w:noProof/>
          <w:lang w:val="bg-BG"/>
        </w:rPr>
        <w:t>78</w:t>
      </w:r>
      <w:r w:rsidRPr="00E17978">
        <w:fldChar w:fldCharType="end"/>
      </w:r>
      <w:r w:rsidR="00446673" w:rsidRPr="00945ED6">
        <w:rPr>
          <w:lang w:val="bg-BG"/>
        </w:rPr>
        <w:t>.</w:t>
      </w:r>
      <w:r w:rsidR="00511291">
        <w:rPr>
          <w:lang w:val="bg-BG"/>
        </w:rPr>
        <w:t xml:space="preserve"> </w:t>
      </w:r>
      <w:r w:rsidR="00354C6E">
        <w:rPr>
          <w:lang w:val="bg-BG"/>
        </w:rPr>
        <w:t>Жалбоподателката</w:t>
      </w:r>
      <w:r w:rsidR="00511291">
        <w:rPr>
          <w:lang w:val="bg-BG"/>
        </w:rPr>
        <w:t xml:space="preserve"> счита, че </w:t>
      </w:r>
      <w:r w:rsidR="000F4F9E">
        <w:rPr>
          <w:lang w:val="bg-BG"/>
        </w:rPr>
        <w:t xml:space="preserve">неясният </w:t>
      </w:r>
      <w:r w:rsidR="00F65887">
        <w:rPr>
          <w:lang w:val="bg-BG"/>
        </w:rPr>
        <w:t>конституционен статут</w:t>
      </w:r>
      <w:r w:rsidR="00511291">
        <w:rPr>
          <w:lang w:val="bg-BG"/>
        </w:rPr>
        <w:t xml:space="preserve"> на Латвия във въпросния период е важен фактор, който трябва да се в</w:t>
      </w:r>
      <w:r w:rsidR="00583309">
        <w:rPr>
          <w:lang w:val="bg-BG"/>
        </w:rPr>
        <w:t>з</w:t>
      </w:r>
      <w:r w:rsidR="00511291">
        <w:rPr>
          <w:lang w:val="bg-BG"/>
        </w:rPr>
        <w:t xml:space="preserve">еме предвид. В тази връзка </w:t>
      </w:r>
      <w:r w:rsidR="00354C6E">
        <w:rPr>
          <w:lang w:val="bg-BG"/>
        </w:rPr>
        <w:t>жалбоподателката</w:t>
      </w:r>
      <w:r w:rsidR="00511291">
        <w:rPr>
          <w:lang w:val="bg-BG"/>
        </w:rPr>
        <w:t xml:space="preserve"> изтъква, че </w:t>
      </w:r>
      <w:r w:rsidR="00557FE0">
        <w:rPr>
          <w:lang w:val="bg-BG"/>
        </w:rPr>
        <w:t>провъзгласяването</w:t>
      </w:r>
      <w:r w:rsidR="00511291">
        <w:rPr>
          <w:lang w:val="bg-BG"/>
        </w:rPr>
        <w:t xml:space="preserve"> на независимостта </w:t>
      </w:r>
      <w:r w:rsidR="002E32C6">
        <w:rPr>
          <w:lang w:val="bg-BG"/>
        </w:rPr>
        <w:t xml:space="preserve">на </w:t>
      </w:r>
      <w:r w:rsidR="00511291">
        <w:rPr>
          <w:lang w:val="bg-BG"/>
        </w:rPr>
        <w:t>4 май 1990 г. е установил</w:t>
      </w:r>
      <w:r w:rsidR="002E32C6">
        <w:rPr>
          <w:lang w:val="bg-BG"/>
        </w:rPr>
        <w:t>о</w:t>
      </w:r>
      <w:r w:rsidR="00511291">
        <w:rPr>
          <w:lang w:val="bg-BG"/>
        </w:rPr>
        <w:t xml:space="preserve"> преходен период, за да могат институционалните връзки със </w:t>
      </w:r>
      <w:r w:rsidR="00583309">
        <w:rPr>
          <w:lang w:val="bg-BG"/>
        </w:rPr>
        <w:t>СССР постепенно да се пре</w:t>
      </w:r>
      <w:r w:rsidR="002E32C6">
        <w:rPr>
          <w:lang w:val="bg-BG"/>
        </w:rPr>
        <w:t>къс</w:t>
      </w:r>
      <w:r w:rsidR="00583309">
        <w:rPr>
          <w:lang w:val="bg-BG"/>
        </w:rPr>
        <w:t>нат. В действителност това е бил</w:t>
      </w:r>
      <w:r w:rsidR="00511291">
        <w:rPr>
          <w:lang w:val="bg-BG"/>
        </w:rPr>
        <w:t xml:space="preserve"> период на </w:t>
      </w:r>
      <w:r w:rsidR="000F4F9E" w:rsidRPr="000F4F9E">
        <w:rPr>
          <w:lang w:val="bg-BG"/>
        </w:rPr>
        <w:t>диархичн</w:t>
      </w:r>
      <w:r w:rsidR="000F4F9E">
        <w:rPr>
          <w:lang w:val="bg-BG"/>
        </w:rPr>
        <w:t>о управление</w:t>
      </w:r>
      <w:r w:rsidR="00511291">
        <w:rPr>
          <w:lang w:val="bg-BG"/>
        </w:rPr>
        <w:t xml:space="preserve">, по време на който съветски и латвийски конституционни и законодателни текстове, дори някои съветски и латвийски институции, съществуват едновременно и функционират паралелно на територията на страната. </w:t>
      </w:r>
      <w:r w:rsidR="00354C6E">
        <w:rPr>
          <w:lang w:val="bg-BG"/>
        </w:rPr>
        <w:t>Жалбоподателката</w:t>
      </w:r>
      <w:r w:rsidR="00511291">
        <w:rPr>
          <w:lang w:val="bg-BG"/>
        </w:rPr>
        <w:t xml:space="preserve"> признава, че Конституционния</w:t>
      </w:r>
      <w:r w:rsidR="00583309">
        <w:rPr>
          <w:lang w:val="bg-BG"/>
        </w:rPr>
        <w:t>т</w:t>
      </w:r>
      <w:r w:rsidR="00511291">
        <w:rPr>
          <w:lang w:val="bg-BG"/>
        </w:rPr>
        <w:t xml:space="preserve"> закон от 21 август 1991 г. слага край на преходния период; </w:t>
      </w:r>
      <w:r w:rsidR="00EE108F">
        <w:rPr>
          <w:lang w:val="bg-BG"/>
        </w:rPr>
        <w:t xml:space="preserve">въпреки това не е възможно да се </w:t>
      </w:r>
      <w:r w:rsidR="007F4915" w:rsidRPr="007F4915">
        <w:rPr>
          <w:lang w:val="bg-BG"/>
        </w:rPr>
        <w:t xml:space="preserve">обяви </w:t>
      </w:r>
      <w:r w:rsidR="007F4915">
        <w:rPr>
          <w:lang w:val="bg-BG"/>
        </w:rPr>
        <w:t>за недействително</w:t>
      </w:r>
      <w:r w:rsidR="00511291">
        <w:rPr>
          <w:lang w:val="bg-BG"/>
        </w:rPr>
        <w:t xml:space="preserve"> </w:t>
      </w:r>
      <w:r w:rsidR="00EE108F">
        <w:rPr>
          <w:lang w:val="bg-BG"/>
        </w:rPr>
        <w:t>самото съществуване на този период. Тъй като легитимността на институциите, които по онова време са функционирали на територията на Латвия, не е била ясно установена, не е коректно да се говори за „преврат</w:t>
      </w:r>
      <w:r w:rsidR="00F67CDC">
        <w:rPr>
          <w:lang w:val="bg-BG"/>
        </w:rPr>
        <w:t>”</w:t>
      </w:r>
      <w:r w:rsidR="00EE108F">
        <w:rPr>
          <w:lang w:val="bg-BG"/>
        </w:rPr>
        <w:t xml:space="preserve"> в пълния смисъл на това понятие.</w:t>
      </w:r>
      <w:r w:rsidR="00511291">
        <w:rPr>
          <w:lang w:val="bg-BG"/>
        </w:rPr>
        <w:t xml:space="preserve"> </w:t>
      </w:r>
      <w:r w:rsidR="00446673" w:rsidRPr="00BB4F95">
        <w:rPr>
          <w:lang w:val="en-GB"/>
        </w:rPr>
        <w:t>  </w:t>
      </w:r>
    </w:p>
    <w:p w:rsidR="00EE108F" w:rsidRDefault="005D3E62" w:rsidP="00B8206D">
      <w:pPr>
        <w:pStyle w:val="JuPara"/>
        <w:rPr>
          <w:lang w:val="bg-BG"/>
        </w:rPr>
      </w:pPr>
      <w:r w:rsidRPr="00E17978">
        <w:fldChar w:fldCharType="begin"/>
      </w:r>
      <w:r w:rsidR="006C198A" w:rsidRPr="00945ED6">
        <w:rPr>
          <w:lang w:val="bg-BG"/>
        </w:rPr>
        <w:instrText xml:space="preserve"> </w:instrText>
      </w:r>
      <w:r w:rsidR="006C198A" w:rsidRPr="00BB4F95">
        <w:rPr>
          <w:lang w:val="en-GB"/>
        </w:rPr>
        <w:instrText>SEQ</w:instrText>
      </w:r>
      <w:r w:rsidR="006C198A" w:rsidRPr="00945ED6">
        <w:rPr>
          <w:lang w:val="bg-BG"/>
        </w:rPr>
        <w:instrText xml:space="preserve"> </w:instrText>
      </w:r>
      <w:r w:rsidR="006C198A" w:rsidRPr="00BB4F95">
        <w:rPr>
          <w:lang w:val="en-GB"/>
        </w:rPr>
        <w:instrText>level</w:instrText>
      </w:r>
      <w:r w:rsidR="006C198A" w:rsidRPr="00945ED6">
        <w:rPr>
          <w:lang w:val="bg-BG"/>
        </w:rPr>
        <w:instrText>0 \*</w:instrText>
      </w:r>
      <w:r w:rsidR="006C198A" w:rsidRPr="00BB4F95">
        <w:rPr>
          <w:lang w:val="en-GB"/>
        </w:rPr>
        <w:instrText>arabic</w:instrText>
      </w:r>
      <w:r w:rsidR="006C198A" w:rsidRPr="00945ED6">
        <w:rPr>
          <w:lang w:val="bg-BG"/>
        </w:rPr>
        <w:instrText xml:space="preserve"> </w:instrText>
      </w:r>
      <w:r w:rsidRPr="00E17978">
        <w:fldChar w:fldCharType="separate"/>
      </w:r>
      <w:r w:rsidR="00955550" w:rsidRPr="00945ED6">
        <w:rPr>
          <w:noProof/>
          <w:lang w:val="bg-BG"/>
        </w:rPr>
        <w:t>79</w:t>
      </w:r>
      <w:r w:rsidRPr="00E17978">
        <w:fldChar w:fldCharType="end"/>
      </w:r>
      <w:r w:rsidR="006C198A" w:rsidRPr="00945ED6">
        <w:rPr>
          <w:lang w:val="bg-BG"/>
        </w:rPr>
        <w:t>.</w:t>
      </w:r>
      <w:r w:rsidR="006C198A" w:rsidRPr="00BB4F95">
        <w:rPr>
          <w:lang w:val="en-GB"/>
        </w:rPr>
        <w:t>  </w:t>
      </w:r>
      <w:r w:rsidR="00583309">
        <w:rPr>
          <w:lang w:val="bg-BG"/>
        </w:rPr>
        <w:t>ЛКП не може да се осъжда</w:t>
      </w:r>
      <w:r w:rsidR="00EE108F">
        <w:rPr>
          <w:lang w:val="bg-BG"/>
        </w:rPr>
        <w:t xml:space="preserve"> и за това, че по време на преходния период </w:t>
      </w:r>
      <w:r w:rsidR="00583309">
        <w:rPr>
          <w:lang w:val="bg-BG"/>
        </w:rPr>
        <w:t xml:space="preserve">е </w:t>
      </w:r>
      <w:r w:rsidR="00EE108F">
        <w:rPr>
          <w:lang w:val="bg-BG"/>
        </w:rPr>
        <w:t>заема</w:t>
      </w:r>
      <w:r w:rsidR="00583309">
        <w:rPr>
          <w:lang w:val="bg-BG"/>
        </w:rPr>
        <w:t>ла</w:t>
      </w:r>
      <w:r w:rsidR="00EE108F">
        <w:rPr>
          <w:lang w:val="bg-BG"/>
        </w:rPr>
        <w:t xml:space="preserve"> просъветски и насочени срещу независимостта позиции. Макар да признава</w:t>
      </w:r>
      <w:r w:rsidR="00583309">
        <w:rPr>
          <w:lang w:val="bg-BG"/>
        </w:rPr>
        <w:t>, че ЛКП и самата тя са обявили</w:t>
      </w:r>
      <w:r w:rsidR="00EE108F">
        <w:rPr>
          <w:lang w:val="bg-BG"/>
        </w:rPr>
        <w:t xml:space="preserve"> твърдата си подкрепа за </w:t>
      </w:r>
      <w:r w:rsidR="00583309">
        <w:rPr>
          <w:lang w:val="bg-BG"/>
        </w:rPr>
        <w:t xml:space="preserve">създаването на </w:t>
      </w:r>
      <w:r w:rsidR="00EE108F">
        <w:rPr>
          <w:lang w:val="bg-BG"/>
        </w:rPr>
        <w:t>една Латвия</w:t>
      </w:r>
      <w:r w:rsidR="007F4915">
        <w:rPr>
          <w:lang w:val="bg-BG"/>
        </w:rPr>
        <w:t>, която се ползва с</w:t>
      </w:r>
      <w:r w:rsidR="00EE108F">
        <w:rPr>
          <w:lang w:val="bg-BG"/>
        </w:rPr>
        <w:t xml:space="preserve"> по-гол</w:t>
      </w:r>
      <w:r w:rsidR="007F4915">
        <w:rPr>
          <w:lang w:val="bg-BG"/>
        </w:rPr>
        <w:t>ям суверенитет, но остава неразделна</w:t>
      </w:r>
      <w:r w:rsidR="00EE108F">
        <w:rPr>
          <w:lang w:val="bg-BG"/>
        </w:rPr>
        <w:t xml:space="preserve"> ч</w:t>
      </w:r>
      <w:r w:rsidR="007F4915">
        <w:rPr>
          <w:lang w:val="bg-BG"/>
        </w:rPr>
        <w:t>аст от</w:t>
      </w:r>
      <w:r w:rsidR="00EE108F">
        <w:rPr>
          <w:lang w:val="bg-BG"/>
        </w:rPr>
        <w:t xml:space="preserve"> СССР, </w:t>
      </w:r>
      <w:r w:rsidR="00354C6E">
        <w:rPr>
          <w:lang w:val="bg-BG"/>
        </w:rPr>
        <w:t>жалбоподателката</w:t>
      </w:r>
      <w:r w:rsidR="00F65887">
        <w:rPr>
          <w:lang w:val="bg-BG"/>
        </w:rPr>
        <w:t xml:space="preserve"> отбелязва</w:t>
      </w:r>
      <w:r w:rsidR="00C1610D">
        <w:rPr>
          <w:lang w:val="bg-BG"/>
        </w:rPr>
        <w:t xml:space="preserve">, че по това време </w:t>
      </w:r>
      <w:r w:rsidR="00583309">
        <w:rPr>
          <w:lang w:val="bg-BG"/>
        </w:rPr>
        <w:t>дори сред парламентарните членове, които са подкрепяли принципите на независимостта,</w:t>
      </w:r>
      <w:r w:rsidR="00EE108F">
        <w:rPr>
          <w:lang w:val="bg-BG"/>
        </w:rPr>
        <w:t xml:space="preserve"> са съществували разнородни мнения по въпроса как </w:t>
      </w:r>
      <w:r w:rsidR="00FE7134">
        <w:rPr>
          <w:lang w:val="bg-BG"/>
        </w:rPr>
        <w:t xml:space="preserve">трябва да се развива </w:t>
      </w:r>
      <w:r w:rsidR="00EE108F">
        <w:rPr>
          <w:lang w:val="bg-BG"/>
        </w:rPr>
        <w:t xml:space="preserve">страната </w:t>
      </w:r>
      <w:r w:rsidR="007F4915">
        <w:rPr>
          <w:lang w:val="bg-BG"/>
        </w:rPr>
        <w:t>политически</w:t>
      </w:r>
      <w:r w:rsidR="00A26D62">
        <w:rPr>
          <w:lang w:val="bg-BG"/>
        </w:rPr>
        <w:t>.</w:t>
      </w:r>
      <w:r w:rsidR="00583309">
        <w:rPr>
          <w:lang w:val="bg-BG"/>
        </w:rPr>
        <w:t xml:space="preserve"> Лидерите на други</w:t>
      </w:r>
      <w:r w:rsidR="007F4915">
        <w:rPr>
          <w:lang w:val="bg-BG"/>
        </w:rPr>
        <w:t xml:space="preserve"> държави също </w:t>
      </w:r>
      <w:r w:rsidR="00632D6A">
        <w:rPr>
          <w:lang w:val="bg-BG"/>
        </w:rPr>
        <w:t>са заемали различни позиции по въпр</w:t>
      </w:r>
      <w:r w:rsidR="00583309">
        <w:rPr>
          <w:lang w:val="bg-BG"/>
        </w:rPr>
        <w:t xml:space="preserve">оса: някои са се отнасяли </w:t>
      </w:r>
      <w:r w:rsidR="00632D6A">
        <w:rPr>
          <w:lang w:val="bg-BG"/>
        </w:rPr>
        <w:t xml:space="preserve">скептично </w:t>
      </w:r>
      <w:r w:rsidR="00FE7134">
        <w:rPr>
          <w:lang w:val="bg-BG"/>
        </w:rPr>
        <w:t xml:space="preserve">към </w:t>
      </w:r>
      <w:r w:rsidR="00632D6A">
        <w:rPr>
          <w:lang w:val="bg-BG"/>
        </w:rPr>
        <w:t xml:space="preserve">освобождението на прибалтийските държави и са предпочели да възприемат подход, базиран на ненамеса във вътрешните </w:t>
      </w:r>
      <w:r w:rsidR="00FE7134">
        <w:rPr>
          <w:lang w:val="bg-BG"/>
        </w:rPr>
        <w:t>работи</w:t>
      </w:r>
      <w:r w:rsidR="00632D6A">
        <w:rPr>
          <w:lang w:val="bg-BG"/>
        </w:rPr>
        <w:t xml:space="preserve"> на Съветския съюз. Накратко, като е подкрепяла един от възможните път</w:t>
      </w:r>
      <w:r w:rsidR="00B261F4">
        <w:rPr>
          <w:lang w:val="bg-BG"/>
        </w:rPr>
        <w:t xml:space="preserve">ища за развитие, ЛКП </w:t>
      </w:r>
      <w:r w:rsidR="00632D6A">
        <w:rPr>
          <w:lang w:val="bg-BG"/>
        </w:rPr>
        <w:t xml:space="preserve">е упражнявала правото си на политически плурализъм – право, което е присъщо на демократичното общество.   </w:t>
      </w:r>
      <w:r w:rsidR="00A26D62">
        <w:rPr>
          <w:lang w:val="bg-BG"/>
        </w:rPr>
        <w:t xml:space="preserve"> </w:t>
      </w:r>
      <w:r w:rsidR="00EE108F">
        <w:rPr>
          <w:lang w:val="bg-BG"/>
        </w:rPr>
        <w:t xml:space="preserve">  </w:t>
      </w:r>
    </w:p>
    <w:p w:rsidR="005A5ED0" w:rsidRPr="00945ED6" w:rsidRDefault="005D3E62" w:rsidP="00A7728D">
      <w:pPr>
        <w:pStyle w:val="JuPara"/>
        <w:rPr>
          <w:lang w:val="bg-BG"/>
        </w:rPr>
      </w:pPr>
      <w:r w:rsidRPr="00E17978">
        <w:fldChar w:fldCharType="begin"/>
      </w:r>
      <w:r w:rsidR="00446673" w:rsidRPr="00945ED6">
        <w:rPr>
          <w:lang w:val="bg-BG"/>
        </w:rPr>
        <w:instrText xml:space="preserve"> </w:instrText>
      </w:r>
      <w:r w:rsidR="00446673" w:rsidRPr="00BB4F95">
        <w:rPr>
          <w:lang w:val="en-GB"/>
        </w:rPr>
        <w:instrText>SEQ</w:instrText>
      </w:r>
      <w:r w:rsidR="00446673" w:rsidRPr="00945ED6">
        <w:rPr>
          <w:lang w:val="bg-BG"/>
        </w:rPr>
        <w:instrText xml:space="preserve"> </w:instrText>
      </w:r>
      <w:r w:rsidR="00446673" w:rsidRPr="00BB4F95">
        <w:rPr>
          <w:lang w:val="en-GB"/>
        </w:rPr>
        <w:instrText>level</w:instrText>
      </w:r>
      <w:r w:rsidR="00446673" w:rsidRPr="00945ED6">
        <w:rPr>
          <w:lang w:val="bg-BG"/>
        </w:rPr>
        <w:instrText>0 \*</w:instrText>
      </w:r>
      <w:r w:rsidR="00446673" w:rsidRPr="00BB4F95">
        <w:rPr>
          <w:lang w:val="en-GB"/>
        </w:rPr>
        <w:instrText>arabic</w:instrText>
      </w:r>
      <w:r w:rsidR="00446673" w:rsidRPr="00945ED6">
        <w:rPr>
          <w:lang w:val="bg-BG"/>
        </w:rPr>
        <w:instrText xml:space="preserve"> </w:instrText>
      </w:r>
      <w:r w:rsidRPr="00E17978">
        <w:fldChar w:fldCharType="separate"/>
      </w:r>
      <w:r w:rsidR="00955550" w:rsidRPr="00945ED6">
        <w:rPr>
          <w:noProof/>
          <w:lang w:val="bg-BG"/>
        </w:rPr>
        <w:t>80</w:t>
      </w:r>
      <w:r w:rsidRPr="00E17978">
        <w:fldChar w:fldCharType="end"/>
      </w:r>
      <w:r w:rsidR="00446673" w:rsidRPr="00945ED6">
        <w:rPr>
          <w:lang w:val="bg-BG"/>
        </w:rPr>
        <w:t>.</w:t>
      </w:r>
      <w:r w:rsidR="00632D6A">
        <w:rPr>
          <w:lang w:val="bg-BG"/>
        </w:rPr>
        <w:t xml:space="preserve"> </w:t>
      </w:r>
      <w:r w:rsidR="00354C6E">
        <w:rPr>
          <w:lang w:val="bg-BG"/>
        </w:rPr>
        <w:t>Жалбоподателката</w:t>
      </w:r>
      <w:r w:rsidR="00632D6A">
        <w:rPr>
          <w:lang w:val="bg-BG"/>
        </w:rPr>
        <w:t xml:space="preserve"> счита за необосновано и недоказано твърдението на Правите</w:t>
      </w:r>
      <w:r w:rsidR="0047157A">
        <w:rPr>
          <w:lang w:val="bg-BG"/>
        </w:rPr>
        <w:t>лството, че допускането на лица, които</w:t>
      </w:r>
      <w:r w:rsidR="0047157A" w:rsidRPr="0047157A">
        <w:rPr>
          <w:lang w:val="bg-BG"/>
        </w:rPr>
        <w:t xml:space="preserve"> </w:t>
      </w:r>
      <w:r w:rsidR="0047157A">
        <w:rPr>
          <w:lang w:val="bg-BG"/>
        </w:rPr>
        <w:t>са членували в ЛКП след 13 януари 1991 г.</w:t>
      </w:r>
      <w:r w:rsidR="00195D68">
        <w:rPr>
          <w:lang w:val="bg-BG"/>
        </w:rPr>
        <w:t>,</w:t>
      </w:r>
      <w:r w:rsidR="0047157A">
        <w:rPr>
          <w:lang w:val="bg-BG"/>
        </w:rPr>
        <w:t xml:space="preserve"> </w:t>
      </w:r>
      <w:r w:rsidR="00195D68">
        <w:rPr>
          <w:lang w:val="bg-BG"/>
        </w:rPr>
        <w:t xml:space="preserve">да станат </w:t>
      </w:r>
      <w:r w:rsidR="00B261F4">
        <w:rPr>
          <w:lang w:val="bg-BG"/>
        </w:rPr>
        <w:t>ч</w:t>
      </w:r>
      <w:r w:rsidR="00195D68">
        <w:rPr>
          <w:lang w:val="bg-BG"/>
        </w:rPr>
        <w:t xml:space="preserve">ленове на </w:t>
      </w:r>
      <w:r w:rsidR="00195D68">
        <w:rPr>
          <w:lang w:val="bg-BG"/>
        </w:rPr>
        <w:lastRenderedPageBreak/>
        <w:t xml:space="preserve">националния парламент, </w:t>
      </w:r>
      <w:r w:rsidR="00FA02FE">
        <w:rPr>
          <w:lang w:val="bg-BG"/>
        </w:rPr>
        <w:t xml:space="preserve">вероятно </w:t>
      </w:r>
      <w:r w:rsidR="0047157A">
        <w:rPr>
          <w:lang w:val="bg-BG"/>
        </w:rPr>
        <w:t xml:space="preserve">би </w:t>
      </w:r>
      <w:r w:rsidR="00FA02FE">
        <w:rPr>
          <w:lang w:val="bg-BG"/>
        </w:rPr>
        <w:t>застраши</w:t>
      </w:r>
      <w:r w:rsidR="0047157A">
        <w:rPr>
          <w:lang w:val="bg-BG"/>
        </w:rPr>
        <w:t>ло</w:t>
      </w:r>
      <w:r w:rsidR="00FA02FE">
        <w:rPr>
          <w:lang w:val="bg-BG"/>
        </w:rPr>
        <w:t xml:space="preserve"> националната сигурност. </w:t>
      </w:r>
      <w:r w:rsidR="00354C6E">
        <w:rPr>
          <w:lang w:val="bg-BG"/>
        </w:rPr>
        <w:t>Жалбоподателката</w:t>
      </w:r>
      <w:r w:rsidR="00FA02FE">
        <w:rPr>
          <w:lang w:val="bg-BG"/>
        </w:rPr>
        <w:t xml:space="preserve"> изтъква, че оспорваното ограничение не е съществувало преди 1995 г. и че на първите парламентарни избори след възстановяването на Конституцията от 1922 г. три лица, нам</w:t>
      </w:r>
      <w:r w:rsidR="00B00B6F">
        <w:rPr>
          <w:lang w:val="bg-BG"/>
        </w:rPr>
        <w:t>иращи се в идентично на нейното</w:t>
      </w:r>
      <w:r w:rsidR="00FA02FE">
        <w:rPr>
          <w:lang w:val="bg-BG"/>
        </w:rPr>
        <w:t xml:space="preserve"> положение, са били избрани за членове на Латвийския пар</w:t>
      </w:r>
      <w:r w:rsidR="00827A92">
        <w:rPr>
          <w:lang w:val="bg-BG"/>
        </w:rPr>
        <w:t>лам</w:t>
      </w:r>
      <w:r w:rsidR="00B00B6F">
        <w:rPr>
          <w:lang w:val="bg-BG"/>
        </w:rPr>
        <w:t>ент. Ж</w:t>
      </w:r>
      <w:r w:rsidR="00354C6E">
        <w:rPr>
          <w:lang w:val="bg-BG"/>
        </w:rPr>
        <w:t>албоподателката</w:t>
      </w:r>
      <w:r w:rsidR="00B00B6F">
        <w:rPr>
          <w:lang w:val="bg-BG"/>
        </w:rPr>
        <w:t xml:space="preserve"> не вижда как избирането ѝ</w:t>
      </w:r>
      <w:r w:rsidR="00A7728D">
        <w:rPr>
          <w:lang w:val="bg-BG"/>
        </w:rPr>
        <w:t xml:space="preserve"> би могло да застраши</w:t>
      </w:r>
      <w:r w:rsidR="00FA02FE">
        <w:rPr>
          <w:lang w:val="bg-BG"/>
        </w:rPr>
        <w:t xml:space="preserve"> националната сигурност</w:t>
      </w:r>
      <w:r w:rsidR="00A7728D">
        <w:rPr>
          <w:lang w:val="bg-BG"/>
        </w:rPr>
        <w:t>, след като е минало толкова м</w:t>
      </w:r>
      <w:r w:rsidR="00B00B6F">
        <w:rPr>
          <w:lang w:val="bg-BG"/>
        </w:rPr>
        <w:t>ного време от фактите, използвани срещу нея</w:t>
      </w:r>
      <w:r w:rsidR="00FA02FE">
        <w:rPr>
          <w:lang w:val="bg-BG"/>
        </w:rPr>
        <w:t>.</w:t>
      </w:r>
      <w:r w:rsidR="00446673" w:rsidRPr="00BB4F95">
        <w:rPr>
          <w:lang w:val="en-GB"/>
        </w:rPr>
        <w:t>  </w:t>
      </w:r>
    </w:p>
    <w:p w:rsidR="00446673" w:rsidRPr="00945ED6" w:rsidRDefault="005D3E62" w:rsidP="00A7728D">
      <w:pPr>
        <w:pStyle w:val="JuPara"/>
        <w:rPr>
          <w:lang w:val="bg-BG"/>
        </w:rPr>
      </w:pPr>
      <w:r w:rsidRPr="00E17978">
        <w:fldChar w:fldCharType="begin"/>
      </w:r>
      <w:r w:rsidR="00446673" w:rsidRPr="00945ED6">
        <w:rPr>
          <w:lang w:val="bg-BG"/>
        </w:rPr>
        <w:instrText xml:space="preserve"> </w:instrText>
      </w:r>
      <w:r w:rsidR="00446673" w:rsidRPr="00BB4F95">
        <w:rPr>
          <w:lang w:val="en-GB"/>
        </w:rPr>
        <w:instrText>SEQ</w:instrText>
      </w:r>
      <w:r w:rsidR="00446673" w:rsidRPr="00945ED6">
        <w:rPr>
          <w:lang w:val="bg-BG"/>
        </w:rPr>
        <w:instrText xml:space="preserve"> </w:instrText>
      </w:r>
      <w:r w:rsidR="00446673" w:rsidRPr="00BB4F95">
        <w:rPr>
          <w:lang w:val="en-GB"/>
        </w:rPr>
        <w:instrText>level</w:instrText>
      </w:r>
      <w:r w:rsidR="00446673" w:rsidRPr="00945ED6">
        <w:rPr>
          <w:lang w:val="bg-BG"/>
        </w:rPr>
        <w:instrText>0 \*</w:instrText>
      </w:r>
      <w:r w:rsidR="00446673" w:rsidRPr="00BB4F95">
        <w:rPr>
          <w:lang w:val="en-GB"/>
        </w:rPr>
        <w:instrText>arabic</w:instrText>
      </w:r>
      <w:r w:rsidR="00446673" w:rsidRPr="00945ED6">
        <w:rPr>
          <w:lang w:val="bg-BG"/>
        </w:rPr>
        <w:instrText xml:space="preserve"> </w:instrText>
      </w:r>
      <w:r w:rsidRPr="00E17978">
        <w:fldChar w:fldCharType="separate"/>
      </w:r>
      <w:r w:rsidR="00955550" w:rsidRPr="00945ED6">
        <w:rPr>
          <w:noProof/>
          <w:lang w:val="bg-BG"/>
        </w:rPr>
        <w:t>81</w:t>
      </w:r>
      <w:r w:rsidRPr="00E17978">
        <w:fldChar w:fldCharType="end"/>
      </w:r>
      <w:r w:rsidR="00446673" w:rsidRPr="00945ED6">
        <w:rPr>
          <w:lang w:val="bg-BG"/>
        </w:rPr>
        <w:t>.</w:t>
      </w:r>
      <w:r w:rsidR="00A7728D">
        <w:rPr>
          <w:lang w:val="bg-BG"/>
        </w:rPr>
        <w:t xml:space="preserve"> Във връзка с позоваването от страна на Правителството на </w:t>
      </w:r>
      <w:r w:rsidR="0090568C">
        <w:rPr>
          <w:lang w:val="bg-BG"/>
        </w:rPr>
        <w:t>р</w:t>
      </w:r>
      <w:r w:rsidR="00A7728D">
        <w:rPr>
          <w:lang w:val="bg-BG"/>
        </w:rPr>
        <w:t xml:space="preserve">ешението на Конституционния съд от 30 август 2000 г., </w:t>
      </w:r>
      <w:r w:rsidR="00354C6E">
        <w:rPr>
          <w:lang w:val="bg-BG"/>
        </w:rPr>
        <w:t>жалбоподателката</w:t>
      </w:r>
      <w:r w:rsidR="00A7728D">
        <w:rPr>
          <w:lang w:val="bg-BG"/>
        </w:rPr>
        <w:t xml:space="preserve"> се позова</w:t>
      </w:r>
      <w:r w:rsidR="00B00B6F">
        <w:rPr>
          <w:lang w:val="bg-BG"/>
        </w:rPr>
        <w:t>ва на особеното мнение</w:t>
      </w:r>
      <w:r w:rsidR="00A7728D">
        <w:rPr>
          <w:lang w:val="bg-BG"/>
        </w:rPr>
        <w:t>, подписано от трима от седмината съдии, които са</w:t>
      </w:r>
      <w:r w:rsidR="00BF1947">
        <w:rPr>
          <w:lang w:val="bg-BG"/>
        </w:rPr>
        <w:t xml:space="preserve"> разгледали делото и са приели, че ограничението </w:t>
      </w:r>
      <w:r w:rsidR="007A3576">
        <w:rPr>
          <w:lang w:val="bg-BG"/>
        </w:rPr>
        <w:t>е непропорционално</w:t>
      </w:r>
      <w:r w:rsidR="00A7728D">
        <w:rPr>
          <w:lang w:val="bg-BG"/>
        </w:rPr>
        <w:t>. Във връзка с ограничителното тълкуване на</w:t>
      </w:r>
      <w:r w:rsidR="008833E9">
        <w:rPr>
          <w:lang w:val="bg-BG"/>
        </w:rPr>
        <w:t xml:space="preserve"> изборния</w:t>
      </w:r>
      <w:r w:rsidR="00A7728D">
        <w:rPr>
          <w:lang w:val="bg-BG"/>
        </w:rPr>
        <w:t xml:space="preserve"> закон от страна на Конституционния съд, предполагащо оценка на индивидуалната отговорност на всяко засегнато лице, </w:t>
      </w:r>
      <w:r w:rsidR="00354C6E">
        <w:rPr>
          <w:lang w:val="bg-BG"/>
        </w:rPr>
        <w:t>жалбоподателката</w:t>
      </w:r>
      <w:r w:rsidR="00A7728D">
        <w:rPr>
          <w:lang w:val="bg-BG"/>
        </w:rPr>
        <w:t xml:space="preserve"> </w:t>
      </w:r>
      <w:r w:rsidR="004F33D5">
        <w:rPr>
          <w:lang w:val="bg-BG"/>
        </w:rPr>
        <w:t>твърди, че собствената ѝ дейност</w:t>
      </w:r>
      <w:r w:rsidR="00A7728D">
        <w:rPr>
          <w:lang w:val="bg-BG"/>
        </w:rPr>
        <w:t xml:space="preserve"> не оправдава оспорваната мярка, тъй като никога не се е опитвал</w:t>
      </w:r>
      <w:r w:rsidR="00B00B6F">
        <w:rPr>
          <w:lang w:val="bg-BG"/>
        </w:rPr>
        <w:t>а</w:t>
      </w:r>
      <w:r w:rsidR="00A7728D">
        <w:rPr>
          <w:lang w:val="bg-BG"/>
        </w:rPr>
        <w:t xml:space="preserve"> да възстанови тоталитарния режим или да свали легитимните власти. Напротив, </w:t>
      </w:r>
      <w:r w:rsidR="00AF2125">
        <w:rPr>
          <w:lang w:val="bg-BG"/>
        </w:rPr>
        <w:t>борил</w:t>
      </w:r>
      <w:r w:rsidR="00B00B6F">
        <w:rPr>
          <w:lang w:val="bg-BG"/>
        </w:rPr>
        <w:t>а</w:t>
      </w:r>
      <w:r w:rsidR="00AF2125">
        <w:rPr>
          <w:lang w:val="bg-BG"/>
        </w:rPr>
        <w:t xml:space="preserve"> се е за демократизация и реформа в рамките на КПСС, ЛКП и обществото като цяло.</w:t>
      </w:r>
      <w:r w:rsidR="00A7728D">
        <w:rPr>
          <w:lang w:val="bg-BG"/>
        </w:rPr>
        <w:t xml:space="preserve">  </w:t>
      </w:r>
    </w:p>
    <w:p w:rsidR="00446673" w:rsidRPr="00945ED6" w:rsidRDefault="005D3E62" w:rsidP="00AF2125">
      <w:pPr>
        <w:pStyle w:val="JuPara"/>
        <w:rPr>
          <w:lang w:val="bg-BG"/>
        </w:rPr>
      </w:pPr>
      <w:r w:rsidRPr="00E17978">
        <w:fldChar w:fldCharType="begin"/>
      </w:r>
      <w:r w:rsidR="003477D3" w:rsidRPr="00945ED6">
        <w:rPr>
          <w:lang w:val="bg-BG"/>
        </w:rPr>
        <w:instrText xml:space="preserve"> </w:instrText>
      </w:r>
      <w:r w:rsidR="003477D3" w:rsidRPr="00BB4F95">
        <w:rPr>
          <w:lang w:val="en-GB"/>
        </w:rPr>
        <w:instrText>SEQ</w:instrText>
      </w:r>
      <w:r w:rsidR="003477D3" w:rsidRPr="00945ED6">
        <w:rPr>
          <w:lang w:val="bg-BG"/>
        </w:rPr>
        <w:instrText xml:space="preserve"> </w:instrText>
      </w:r>
      <w:r w:rsidR="003477D3" w:rsidRPr="00BB4F95">
        <w:rPr>
          <w:lang w:val="en-GB"/>
        </w:rPr>
        <w:instrText>level</w:instrText>
      </w:r>
      <w:r w:rsidR="003477D3" w:rsidRPr="00945ED6">
        <w:rPr>
          <w:lang w:val="bg-BG"/>
        </w:rPr>
        <w:instrText>0 \*</w:instrText>
      </w:r>
      <w:r w:rsidR="003477D3" w:rsidRPr="00BB4F95">
        <w:rPr>
          <w:lang w:val="en-GB"/>
        </w:rPr>
        <w:instrText>arabic</w:instrText>
      </w:r>
      <w:r w:rsidR="003477D3" w:rsidRPr="00945ED6">
        <w:rPr>
          <w:lang w:val="bg-BG"/>
        </w:rPr>
        <w:instrText xml:space="preserve"> </w:instrText>
      </w:r>
      <w:r w:rsidRPr="00E17978">
        <w:fldChar w:fldCharType="separate"/>
      </w:r>
      <w:r w:rsidR="00955550" w:rsidRPr="00945ED6">
        <w:rPr>
          <w:noProof/>
          <w:lang w:val="bg-BG"/>
        </w:rPr>
        <w:t>82</w:t>
      </w:r>
      <w:r w:rsidRPr="00E17978">
        <w:fldChar w:fldCharType="end"/>
      </w:r>
      <w:r w:rsidR="003477D3" w:rsidRPr="00945ED6">
        <w:rPr>
          <w:lang w:val="bg-BG"/>
        </w:rPr>
        <w:t>.</w:t>
      </w:r>
      <w:r w:rsidR="00AF2125">
        <w:rPr>
          <w:lang w:val="bg-BG"/>
        </w:rPr>
        <w:t xml:space="preserve"> </w:t>
      </w:r>
      <w:r w:rsidR="00354C6E">
        <w:rPr>
          <w:lang w:val="bg-BG"/>
        </w:rPr>
        <w:t>Жалбоподателката</w:t>
      </w:r>
      <w:r w:rsidR="00B00B6F">
        <w:rPr>
          <w:lang w:val="bg-BG"/>
        </w:rPr>
        <w:t xml:space="preserve"> твърди</w:t>
      </w:r>
      <w:r w:rsidR="004F33D5">
        <w:rPr>
          <w:lang w:val="bg-BG"/>
        </w:rPr>
        <w:t>, че собствената ѝ дейност</w:t>
      </w:r>
      <w:r w:rsidR="00AF2125">
        <w:rPr>
          <w:lang w:val="bg-BG"/>
        </w:rPr>
        <w:t xml:space="preserve"> не оправдава ограничени</w:t>
      </w:r>
      <w:r w:rsidR="00B00B6F">
        <w:rPr>
          <w:lang w:val="bg-BG"/>
        </w:rPr>
        <w:t>ето, наложено върху пасивните ѝ</w:t>
      </w:r>
      <w:r w:rsidR="00AF2125">
        <w:rPr>
          <w:lang w:val="bg-BG"/>
        </w:rPr>
        <w:t xml:space="preserve"> избирателни права. След януари 1990 г. е членувал</w:t>
      </w:r>
      <w:r w:rsidR="00B00B6F">
        <w:rPr>
          <w:lang w:val="bg-BG"/>
        </w:rPr>
        <w:t>а</w:t>
      </w:r>
      <w:r w:rsidR="00AF2125">
        <w:rPr>
          <w:lang w:val="bg-BG"/>
        </w:rPr>
        <w:t xml:space="preserve"> в неправителствена организация – Латвийският комитет за човешки права </w:t>
      </w:r>
      <w:r w:rsidR="00AF2125" w:rsidRPr="00945ED6">
        <w:rPr>
          <w:iCs/>
          <w:lang w:val="bg-BG"/>
        </w:rPr>
        <w:t>(</w:t>
      </w:r>
      <w:r w:rsidR="00AF2125">
        <w:rPr>
          <w:i/>
          <w:iCs/>
          <w:lang w:val="en-GB"/>
        </w:rPr>
        <w:t>Latvijas</w:t>
      </w:r>
      <w:r w:rsidR="00AF2125" w:rsidRPr="00945ED6">
        <w:rPr>
          <w:i/>
          <w:iCs/>
          <w:lang w:val="bg-BG"/>
        </w:rPr>
        <w:t xml:space="preserve"> </w:t>
      </w:r>
      <w:r w:rsidR="00AF2125">
        <w:rPr>
          <w:i/>
          <w:iCs/>
          <w:lang w:val="en-GB"/>
        </w:rPr>
        <w:t>Cilv</w:t>
      </w:r>
      <w:r w:rsidR="00AF2125" w:rsidRPr="00945ED6">
        <w:rPr>
          <w:i/>
          <w:iCs/>
          <w:lang w:val="bg-BG"/>
        </w:rPr>
        <w:t>ē</w:t>
      </w:r>
      <w:r w:rsidR="00AF2125">
        <w:rPr>
          <w:i/>
          <w:iCs/>
          <w:lang w:val="en-GB"/>
        </w:rPr>
        <w:t>kties</w:t>
      </w:r>
      <w:r w:rsidR="00AF2125" w:rsidRPr="00945ED6">
        <w:rPr>
          <w:i/>
          <w:iCs/>
          <w:lang w:val="bg-BG"/>
        </w:rPr>
        <w:t>ī</w:t>
      </w:r>
      <w:r w:rsidR="00AF2125">
        <w:rPr>
          <w:i/>
          <w:iCs/>
          <w:lang w:val="en-GB"/>
        </w:rPr>
        <w:t>bu</w:t>
      </w:r>
      <w:r w:rsidR="00AF2125" w:rsidRPr="00945ED6">
        <w:rPr>
          <w:i/>
          <w:iCs/>
          <w:lang w:val="bg-BG"/>
        </w:rPr>
        <w:t xml:space="preserve"> </w:t>
      </w:r>
      <w:r w:rsidR="00AF2125">
        <w:rPr>
          <w:i/>
          <w:iCs/>
          <w:lang w:val="en-GB"/>
        </w:rPr>
        <w:t>komiteja</w:t>
      </w:r>
      <w:r w:rsidR="00AF2125" w:rsidRPr="00945ED6">
        <w:rPr>
          <w:iCs/>
          <w:lang w:val="bg-BG"/>
        </w:rPr>
        <w:t>)</w:t>
      </w:r>
      <w:r w:rsidR="00AF2125">
        <w:rPr>
          <w:iCs/>
          <w:lang w:val="bg-BG"/>
        </w:rPr>
        <w:t xml:space="preserve"> </w:t>
      </w:r>
      <w:r w:rsidR="00AF2125">
        <w:rPr>
          <w:lang w:val="bg-BG"/>
        </w:rPr>
        <w:t>– и до 1997 г. е бил</w:t>
      </w:r>
      <w:r w:rsidR="00B00B6F">
        <w:rPr>
          <w:lang w:val="bg-BG"/>
        </w:rPr>
        <w:t>а</w:t>
      </w:r>
      <w:r w:rsidR="00AF2125">
        <w:rPr>
          <w:lang w:val="bg-BG"/>
        </w:rPr>
        <w:t xml:space="preserve"> съпредседател на организацията. По време на рабо</w:t>
      </w:r>
      <w:r w:rsidR="00B00B6F">
        <w:rPr>
          <w:lang w:val="bg-BG"/>
        </w:rPr>
        <w:t>тата си за комитета е била известна</w:t>
      </w:r>
      <w:r w:rsidR="00AF2125">
        <w:rPr>
          <w:lang w:val="bg-BG"/>
        </w:rPr>
        <w:t xml:space="preserve"> със своята дейност, насочена към предоставянето на правна помощ на хиляди хора; помага</w:t>
      </w:r>
      <w:r w:rsidR="00B00B6F">
        <w:rPr>
          <w:lang w:val="bg-BG"/>
        </w:rPr>
        <w:t>ла е да се утвърди зачитането</w:t>
      </w:r>
      <w:r w:rsidR="00AF2125">
        <w:rPr>
          <w:lang w:val="bg-BG"/>
        </w:rPr>
        <w:t xml:space="preserve"> на човешките права в Латвия и </w:t>
      </w:r>
      <w:r w:rsidR="00B00B6F">
        <w:rPr>
          <w:lang w:val="bg-BG"/>
        </w:rPr>
        <w:t xml:space="preserve">е </w:t>
      </w:r>
      <w:r w:rsidR="00AF2125">
        <w:rPr>
          <w:lang w:val="bg-BG"/>
        </w:rPr>
        <w:t>отговаря</w:t>
      </w:r>
      <w:r w:rsidR="00B00B6F">
        <w:rPr>
          <w:lang w:val="bg-BG"/>
        </w:rPr>
        <w:t>ла</w:t>
      </w:r>
      <w:r w:rsidR="00AF2125">
        <w:rPr>
          <w:lang w:val="bg-BG"/>
        </w:rPr>
        <w:t xml:space="preserve"> за </w:t>
      </w:r>
      <w:r w:rsidR="0090568C">
        <w:rPr>
          <w:lang w:val="bg-BG"/>
        </w:rPr>
        <w:t xml:space="preserve">изпълнението </w:t>
      </w:r>
      <w:r w:rsidR="00AF2125">
        <w:rPr>
          <w:lang w:val="bg-BG"/>
        </w:rPr>
        <w:t xml:space="preserve">на три програми на Съвета на Европа.  </w:t>
      </w:r>
      <w:r w:rsidR="003477D3" w:rsidRPr="00BB4F95">
        <w:rPr>
          <w:lang w:val="en-GB"/>
        </w:rPr>
        <w:t>  </w:t>
      </w:r>
    </w:p>
    <w:p w:rsidR="00AF2125" w:rsidRPr="00945ED6" w:rsidRDefault="005D3E62" w:rsidP="00B8206D">
      <w:pPr>
        <w:pStyle w:val="JuPara"/>
        <w:rPr>
          <w:lang w:val="bg-BG"/>
        </w:rPr>
      </w:pPr>
      <w:r w:rsidRPr="00E17978">
        <w:fldChar w:fldCharType="begin"/>
      </w:r>
      <w:r w:rsidR="003477D3" w:rsidRPr="00945ED6">
        <w:rPr>
          <w:lang w:val="bg-BG"/>
        </w:rPr>
        <w:instrText xml:space="preserve"> </w:instrText>
      </w:r>
      <w:r w:rsidR="003477D3" w:rsidRPr="00BB4F95">
        <w:rPr>
          <w:lang w:val="en-GB"/>
        </w:rPr>
        <w:instrText>SEQ</w:instrText>
      </w:r>
      <w:r w:rsidR="003477D3" w:rsidRPr="00945ED6">
        <w:rPr>
          <w:lang w:val="bg-BG"/>
        </w:rPr>
        <w:instrText xml:space="preserve"> </w:instrText>
      </w:r>
      <w:r w:rsidR="003477D3" w:rsidRPr="00BB4F95">
        <w:rPr>
          <w:lang w:val="en-GB"/>
        </w:rPr>
        <w:instrText>level</w:instrText>
      </w:r>
      <w:r w:rsidR="003477D3" w:rsidRPr="00945ED6">
        <w:rPr>
          <w:lang w:val="bg-BG"/>
        </w:rPr>
        <w:instrText>0 \*</w:instrText>
      </w:r>
      <w:r w:rsidR="003477D3" w:rsidRPr="00BB4F95">
        <w:rPr>
          <w:lang w:val="en-GB"/>
        </w:rPr>
        <w:instrText>arabic</w:instrText>
      </w:r>
      <w:r w:rsidR="003477D3" w:rsidRPr="00945ED6">
        <w:rPr>
          <w:lang w:val="bg-BG"/>
        </w:rPr>
        <w:instrText xml:space="preserve"> </w:instrText>
      </w:r>
      <w:r w:rsidRPr="00E17978">
        <w:fldChar w:fldCharType="separate"/>
      </w:r>
      <w:r w:rsidR="00955550" w:rsidRPr="00945ED6">
        <w:rPr>
          <w:noProof/>
          <w:lang w:val="bg-BG"/>
        </w:rPr>
        <w:t>83</w:t>
      </w:r>
      <w:r w:rsidRPr="00E17978">
        <w:fldChar w:fldCharType="end"/>
      </w:r>
      <w:r w:rsidR="003477D3" w:rsidRPr="00945ED6">
        <w:rPr>
          <w:lang w:val="bg-BG"/>
        </w:rPr>
        <w:t>.</w:t>
      </w:r>
      <w:r w:rsidR="003477D3" w:rsidRPr="00BB4F95">
        <w:rPr>
          <w:lang w:val="en-GB"/>
        </w:rPr>
        <w:t> </w:t>
      </w:r>
      <w:r w:rsidR="00AF2125">
        <w:rPr>
          <w:lang w:val="bg-BG"/>
        </w:rPr>
        <w:t xml:space="preserve">Накрая, противно на становището на Правителството, </w:t>
      </w:r>
      <w:r w:rsidR="00354C6E">
        <w:rPr>
          <w:lang w:val="bg-BG"/>
        </w:rPr>
        <w:t>жалбоподателката</w:t>
      </w:r>
      <w:r w:rsidR="00AF2125">
        <w:rPr>
          <w:lang w:val="bg-BG"/>
        </w:rPr>
        <w:t xml:space="preserve"> счита, че оспорваното </w:t>
      </w:r>
      <w:r w:rsidR="006C658D">
        <w:rPr>
          <w:lang w:val="bg-BG"/>
        </w:rPr>
        <w:t xml:space="preserve">ограничение не е временно. В тази връзка изтъква, че макар </w:t>
      </w:r>
      <w:r w:rsidR="003F5C4C">
        <w:rPr>
          <w:lang w:val="bg-BG"/>
        </w:rPr>
        <w:t>п</w:t>
      </w:r>
      <w:r w:rsidR="006C658D">
        <w:rPr>
          <w:lang w:val="bg-BG"/>
        </w:rPr>
        <w:t>арламентът действително</w:t>
      </w:r>
      <w:r w:rsidR="008833E9">
        <w:rPr>
          <w:lang w:val="bg-BG"/>
        </w:rPr>
        <w:t xml:space="preserve"> да е преразглеждал изборния</w:t>
      </w:r>
      <w:r w:rsidR="006C658D">
        <w:rPr>
          <w:lang w:val="bg-BG"/>
        </w:rPr>
        <w:t xml:space="preserve"> закон преди всички избори, резултатът от това преразглеждане винаги е бил увеличаване, вместо намаляване на броя</w:t>
      </w:r>
      <w:r w:rsidR="00B00B6F">
        <w:rPr>
          <w:lang w:val="bg-BG"/>
        </w:rPr>
        <w:t xml:space="preserve"> на</w:t>
      </w:r>
      <w:r w:rsidR="006C658D">
        <w:rPr>
          <w:lang w:val="bg-BG"/>
        </w:rPr>
        <w:t xml:space="preserve"> обстоятелства</w:t>
      </w:r>
      <w:r w:rsidR="00B00B6F">
        <w:rPr>
          <w:lang w:val="bg-BG"/>
        </w:rPr>
        <w:t>та</w:t>
      </w:r>
      <w:r w:rsidR="006C658D">
        <w:rPr>
          <w:lang w:val="bg-BG"/>
        </w:rPr>
        <w:t>, водещи до дисквалифициране. Следова</w:t>
      </w:r>
      <w:r w:rsidR="00B00B6F">
        <w:rPr>
          <w:lang w:val="bg-BG"/>
        </w:rPr>
        <w:t xml:space="preserve">телно </w:t>
      </w:r>
      <w:r w:rsidR="006C658D">
        <w:rPr>
          <w:lang w:val="bg-BG"/>
        </w:rPr>
        <w:t>трябва да с</w:t>
      </w:r>
      <w:r w:rsidR="00B00B6F">
        <w:rPr>
          <w:lang w:val="bg-BG"/>
        </w:rPr>
        <w:t>е признае, че недопускането</w:t>
      </w:r>
      <w:r w:rsidR="006C658D">
        <w:rPr>
          <w:lang w:val="bg-BG"/>
        </w:rPr>
        <w:t xml:space="preserve"> на л</w:t>
      </w:r>
      <w:r w:rsidR="00B00B6F">
        <w:rPr>
          <w:lang w:val="bg-BG"/>
        </w:rPr>
        <w:t>ица, участвали активно в дейността</w:t>
      </w:r>
      <w:r w:rsidR="006C658D">
        <w:rPr>
          <w:lang w:val="bg-BG"/>
        </w:rPr>
        <w:t xml:space="preserve"> на ЛКП след 13 януари 1991 г., вероятно ще продължи. В заключение </w:t>
      </w:r>
      <w:r w:rsidR="00354C6E">
        <w:rPr>
          <w:lang w:val="bg-BG"/>
        </w:rPr>
        <w:t>жалбоподателката</w:t>
      </w:r>
      <w:r w:rsidR="006C658D">
        <w:rPr>
          <w:lang w:val="bg-BG"/>
        </w:rPr>
        <w:t xml:space="preserve"> подчертава, ч</w:t>
      </w:r>
      <w:r w:rsidR="00B00B6F">
        <w:rPr>
          <w:lang w:val="bg-BG"/>
        </w:rPr>
        <w:t>е възстановяването на правото ѝ</w:t>
      </w:r>
      <w:r w:rsidR="006C658D">
        <w:rPr>
          <w:lang w:val="bg-BG"/>
        </w:rPr>
        <w:t xml:space="preserve"> да се кандидатира за член на латвийския парлам</w:t>
      </w:r>
      <w:r w:rsidR="00B00B6F">
        <w:rPr>
          <w:lang w:val="bg-BG"/>
        </w:rPr>
        <w:t xml:space="preserve">ент </w:t>
      </w:r>
      <w:r w:rsidR="00DE4E91">
        <w:rPr>
          <w:lang w:val="bg-BG"/>
        </w:rPr>
        <w:t>е просрочено</w:t>
      </w:r>
      <w:r w:rsidR="006C658D">
        <w:rPr>
          <w:lang w:val="bg-BG"/>
        </w:rPr>
        <w:t xml:space="preserve"> отдавна, особ</w:t>
      </w:r>
      <w:r w:rsidR="00B00B6F">
        <w:rPr>
          <w:lang w:val="bg-BG"/>
        </w:rPr>
        <w:t>ено с оглед на неотдавнашното ѝ</w:t>
      </w:r>
      <w:r w:rsidR="006C658D">
        <w:rPr>
          <w:lang w:val="bg-BG"/>
        </w:rPr>
        <w:t xml:space="preserve"> избиране за член на Европейския парламент – факт, който потвърждава, че има доверието и подкрепата на значителна част от латвийския електорат. </w:t>
      </w:r>
      <w:r w:rsidR="003477D3" w:rsidRPr="00BB4F95">
        <w:rPr>
          <w:lang w:val="en-GB"/>
        </w:rPr>
        <w:t> </w:t>
      </w:r>
    </w:p>
    <w:p w:rsidR="005911E9" w:rsidRPr="00945ED6" w:rsidRDefault="005911E9" w:rsidP="005911E9">
      <w:pPr>
        <w:pStyle w:val="JuH1"/>
        <w:rPr>
          <w:lang w:val="bg-BG"/>
        </w:rPr>
      </w:pPr>
      <w:r w:rsidRPr="00945ED6">
        <w:rPr>
          <w:lang w:val="bg-BG"/>
        </w:rPr>
        <w:lastRenderedPageBreak/>
        <w:t>2.</w:t>
      </w:r>
      <w:r w:rsidRPr="00E17978">
        <w:t>  </w:t>
      </w:r>
      <w:r w:rsidR="006C658D">
        <w:rPr>
          <w:lang w:val="bg-BG"/>
        </w:rPr>
        <w:t>Правителството</w:t>
      </w:r>
    </w:p>
    <w:p w:rsidR="006C658D" w:rsidRDefault="005D3E62" w:rsidP="00B8206D">
      <w:pPr>
        <w:pStyle w:val="JuPara"/>
        <w:rPr>
          <w:b/>
          <w:lang w:val="en-GB"/>
        </w:rPr>
      </w:pPr>
      <w:r w:rsidRPr="00E17978">
        <w:fldChar w:fldCharType="begin"/>
      </w:r>
      <w:r w:rsidR="002D30DF" w:rsidRPr="00945ED6">
        <w:rPr>
          <w:lang w:val="bg-BG"/>
        </w:rPr>
        <w:instrText xml:space="preserve"> </w:instrText>
      </w:r>
      <w:r w:rsidR="002D30DF" w:rsidRPr="00BB4F95">
        <w:rPr>
          <w:lang w:val="en-GB"/>
        </w:rPr>
        <w:instrText>SEQ</w:instrText>
      </w:r>
      <w:r w:rsidR="002D30DF" w:rsidRPr="00945ED6">
        <w:rPr>
          <w:lang w:val="bg-BG"/>
        </w:rPr>
        <w:instrText xml:space="preserve"> </w:instrText>
      </w:r>
      <w:r w:rsidR="002D30DF" w:rsidRPr="00BB4F95">
        <w:rPr>
          <w:lang w:val="en-GB"/>
        </w:rPr>
        <w:instrText>level</w:instrText>
      </w:r>
      <w:r w:rsidR="002D30DF" w:rsidRPr="00945ED6">
        <w:rPr>
          <w:lang w:val="bg-BG"/>
        </w:rPr>
        <w:instrText>0 \*</w:instrText>
      </w:r>
      <w:r w:rsidR="002D30DF" w:rsidRPr="00BB4F95">
        <w:rPr>
          <w:lang w:val="en-GB"/>
        </w:rPr>
        <w:instrText>arabic</w:instrText>
      </w:r>
      <w:r w:rsidR="002D30DF" w:rsidRPr="00945ED6">
        <w:rPr>
          <w:lang w:val="bg-BG"/>
        </w:rPr>
        <w:instrText xml:space="preserve"> </w:instrText>
      </w:r>
      <w:r w:rsidRPr="00E17978">
        <w:fldChar w:fldCharType="separate"/>
      </w:r>
      <w:r w:rsidR="00955550" w:rsidRPr="00945ED6">
        <w:rPr>
          <w:noProof/>
          <w:lang w:val="bg-BG"/>
        </w:rPr>
        <w:t>84</w:t>
      </w:r>
      <w:r w:rsidRPr="00E17978">
        <w:fldChar w:fldCharType="end"/>
      </w:r>
      <w:r w:rsidR="002D30DF" w:rsidRPr="00945ED6">
        <w:rPr>
          <w:lang w:val="bg-BG"/>
        </w:rPr>
        <w:t>.</w:t>
      </w:r>
      <w:r w:rsidR="004707C3" w:rsidRPr="00945ED6">
        <w:rPr>
          <w:lang w:val="bg-BG"/>
        </w:rPr>
        <w:t xml:space="preserve"> </w:t>
      </w:r>
      <w:r w:rsidR="00B00B6F" w:rsidRPr="00184ED0">
        <w:rPr>
          <w:lang w:val="bg-BG"/>
        </w:rPr>
        <w:t>Прави</w:t>
      </w:r>
      <w:r w:rsidR="00975D38" w:rsidRPr="00184ED0">
        <w:rPr>
          <w:lang w:val="bg-BG"/>
        </w:rPr>
        <w:t>те</w:t>
      </w:r>
      <w:r w:rsidR="00184ED0" w:rsidRPr="00184ED0">
        <w:rPr>
          <w:lang w:val="bg-BG"/>
        </w:rPr>
        <w:t xml:space="preserve">лството </w:t>
      </w:r>
      <w:r w:rsidR="00184ED0">
        <w:rPr>
          <w:lang w:val="bg-BG"/>
        </w:rPr>
        <w:t>иска</w:t>
      </w:r>
      <w:r w:rsidR="004707C3">
        <w:rPr>
          <w:lang w:val="bg-BG"/>
        </w:rPr>
        <w:t xml:space="preserve"> Голямата камара да отсъди, че няма нарушение на чл</w:t>
      </w:r>
      <w:r w:rsidR="00DE4E91">
        <w:rPr>
          <w:lang w:val="bg-BG"/>
        </w:rPr>
        <w:t>ен</w:t>
      </w:r>
      <w:r w:rsidR="004707C3">
        <w:rPr>
          <w:lang w:val="bg-BG"/>
        </w:rPr>
        <w:t xml:space="preserve"> 3 от Протокол </w:t>
      </w:r>
      <w:r w:rsidR="004707C3" w:rsidRPr="002B1ED6">
        <w:rPr>
          <w:szCs w:val="24"/>
          <w:cs/>
        </w:rPr>
        <w:t>№</w:t>
      </w:r>
      <w:r w:rsidR="00184ED0">
        <w:rPr>
          <w:rFonts w:hint="cs"/>
          <w:szCs w:val="24"/>
          <w:cs/>
        </w:rPr>
        <w:t xml:space="preserve"> 1. </w:t>
      </w:r>
      <w:r w:rsidR="00184ED0">
        <w:rPr>
          <w:szCs w:val="24"/>
          <w:lang w:val="bg-BG"/>
        </w:rPr>
        <w:t>То п</w:t>
      </w:r>
      <w:r w:rsidR="004707C3">
        <w:rPr>
          <w:rFonts w:hint="cs"/>
          <w:szCs w:val="24"/>
          <w:cs/>
        </w:rPr>
        <w:t>редоставя подробно описание на историческите събития, довели до възстановяването на независимостта на латвийск</w:t>
      </w:r>
      <w:r w:rsidR="005E1FB4">
        <w:rPr>
          <w:rFonts w:hint="cs"/>
          <w:szCs w:val="24"/>
          <w:cs/>
        </w:rPr>
        <w:t xml:space="preserve">ата държава. Твърди, че </w:t>
      </w:r>
      <w:r w:rsidR="00DE4E91">
        <w:rPr>
          <w:szCs w:val="24"/>
          <w:lang w:val="bg-BG"/>
        </w:rPr>
        <w:t>С</w:t>
      </w:r>
      <w:r w:rsidR="005E1FB4">
        <w:rPr>
          <w:szCs w:val="24"/>
          <w:lang w:val="bg-BG"/>
        </w:rPr>
        <w:t xml:space="preserve">ъдебният състав </w:t>
      </w:r>
      <w:r w:rsidR="005E1FB4">
        <w:rPr>
          <w:rFonts w:hint="cs"/>
          <w:szCs w:val="24"/>
          <w:cs/>
        </w:rPr>
        <w:t>не е обърнал</w:t>
      </w:r>
      <w:r w:rsidR="004707C3">
        <w:rPr>
          <w:rFonts w:hint="cs"/>
          <w:szCs w:val="24"/>
          <w:cs/>
        </w:rPr>
        <w:t xml:space="preserve"> необходимото внимание на тези събития, преди да достигне до заключенията си. Освен това Правителството се позовава на историческите факти, установени от латвийските съдебни и парламентарни власти </w:t>
      </w:r>
      <w:r w:rsidR="004707C3">
        <w:rPr>
          <w:szCs w:val="24"/>
          <w:cs/>
        </w:rPr>
        <w:t>–</w:t>
      </w:r>
      <w:r w:rsidR="004707C3">
        <w:rPr>
          <w:rFonts w:hint="cs"/>
          <w:szCs w:val="24"/>
          <w:cs/>
        </w:rPr>
        <w:t xml:space="preserve"> те потвърждават, че ЛКП носи отговорност за противоконституционните опити за преврат между януари и август 1991 г. (вж</w:t>
      </w:r>
      <w:r w:rsidR="00445185">
        <w:rPr>
          <w:rFonts w:hint="cs"/>
          <w:szCs w:val="24"/>
          <w:cs/>
        </w:rPr>
        <w:t>.</w:t>
      </w:r>
      <w:r w:rsidR="004707C3">
        <w:rPr>
          <w:rFonts w:hint="cs"/>
          <w:szCs w:val="24"/>
          <w:cs/>
        </w:rPr>
        <w:t xml:space="preserve"> параграфи 20-29, 32, 37-44 и 54-55 по-горе). </w:t>
      </w:r>
      <w:r w:rsidR="00934B70">
        <w:rPr>
          <w:rFonts w:hint="cs"/>
          <w:szCs w:val="24"/>
          <w:cs/>
        </w:rPr>
        <w:t xml:space="preserve">Правителството подчертава, че </w:t>
      </w:r>
      <w:r w:rsidR="00354C6E">
        <w:rPr>
          <w:rFonts w:hint="cs"/>
          <w:szCs w:val="24"/>
          <w:cs/>
        </w:rPr>
        <w:t>жалбоподателката</w:t>
      </w:r>
      <w:r w:rsidR="00934B70">
        <w:rPr>
          <w:rFonts w:hint="cs"/>
          <w:szCs w:val="24"/>
          <w:cs/>
        </w:rPr>
        <w:t xml:space="preserve"> е бил</w:t>
      </w:r>
      <w:r w:rsidR="00B00B6F">
        <w:rPr>
          <w:rFonts w:hint="cs"/>
          <w:szCs w:val="24"/>
          <w:cs/>
        </w:rPr>
        <w:t>а</w:t>
      </w:r>
      <w:r w:rsidR="00934B70">
        <w:rPr>
          <w:rFonts w:hint="cs"/>
          <w:szCs w:val="24"/>
          <w:cs/>
        </w:rPr>
        <w:t xml:space="preserve"> съвсем наясно с мащаба на събитията, но въпреки това е избрал</w:t>
      </w:r>
      <w:r w:rsidR="00B00B6F">
        <w:rPr>
          <w:rFonts w:hint="cs"/>
          <w:szCs w:val="24"/>
          <w:cs/>
        </w:rPr>
        <w:t>а</w:t>
      </w:r>
      <w:r w:rsidR="00934B70">
        <w:rPr>
          <w:rFonts w:hint="cs"/>
          <w:szCs w:val="24"/>
          <w:cs/>
        </w:rPr>
        <w:t xml:space="preserve"> да остане деец на ЛКП, вместо да се разграничи от очевидно подривните дейности на въпросната организация.</w:t>
      </w:r>
      <w:r w:rsidR="004707C3">
        <w:rPr>
          <w:rFonts w:hint="cs"/>
          <w:szCs w:val="24"/>
          <w:cs/>
        </w:rPr>
        <w:t xml:space="preserve"> </w:t>
      </w:r>
      <w:r w:rsidR="004707C3">
        <w:rPr>
          <w:lang w:val="bg-BG"/>
        </w:rPr>
        <w:t xml:space="preserve"> </w:t>
      </w:r>
      <w:r w:rsidR="004707C3">
        <w:rPr>
          <w:lang w:val="en-GB"/>
        </w:rPr>
        <w:t xml:space="preserve"> </w:t>
      </w:r>
      <w:r w:rsidR="002D30DF" w:rsidRPr="00BB4F95">
        <w:rPr>
          <w:b/>
          <w:lang w:val="en-GB"/>
        </w:rPr>
        <w:t>  </w:t>
      </w:r>
    </w:p>
    <w:p w:rsidR="005A5ED0" w:rsidRPr="00882F30" w:rsidRDefault="005D3E62" w:rsidP="00882F30">
      <w:pPr>
        <w:pStyle w:val="JuPara"/>
        <w:rPr>
          <w:lang w:val="bg-BG"/>
        </w:rPr>
      </w:pPr>
      <w:r w:rsidRPr="00E17978">
        <w:fldChar w:fldCharType="begin"/>
      </w:r>
      <w:r w:rsidR="003477D3" w:rsidRPr="00BB4F95">
        <w:rPr>
          <w:lang w:val="en-GB"/>
        </w:rPr>
        <w:instrText xml:space="preserve"> SEQ level0 \*arabic </w:instrText>
      </w:r>
      <w:r w:rsidRPr="00E17978">
        <w:fldChar w:fldCharType="separate"/>
      </w:r>
      <w:r w:rsidR="00955550">
        <w:rPr>
          <w:noProof/>
          <w:lang w:val="en-GB"/>
        </w:rPr>
        <w:t>85</w:t>
      </w:r>
      <w:r w:rsidRPr="00E17978">
        <w:fldChar w:fldCharType="end"/>
      </w:r>
      <w:r w:rsidR="003477D3" w:rsidRPr="00184ED0">
        <w:rPr>
          <w:lang w:val="en-GB"/>
        </w:rPr>
        <w:t>.</w:t>
      </w:r>
      <w:r w:rsidR="00934B70" w:rsidRPr="00184ED0">
        <w:rPr>
          <w:lang w:val="en-GB"/>
        </w:rPr>
        <w:t xml:space="preserve"> </w:t>
      </w:r>
      <w:r w:rsidR="00934B70" w:rsidRPr="00184ED0">
        <w:rPr>
          <w:lang w:val="bg-BG"/>
        </w:rPr>
        <w:t xml:space="preserve">Правителството признава, че националният парламент не е част от </w:t>
      </w:r>
      <w:r w:rsidR="00B00B6F" w:rsidRPr="00184ED0">
        <w:rPr>
          <w:lang w:val="bg-BG"/>
        </w:rPr>
        <w:t>„държавните служби</w:t>
      </w:r>
      <w:r w:rsidR="00F67CDC" w:rsidRPr="00184ED0">
        <w:rPr>
          <w:lang w:val="bg-BG"/>
        </w:rPr>
        <w:t>”</w:t>
      </w:r>
      <w:r w:rsidR="00671587" w:rsidRPr="00184ED0">
        <w:rPr>
          <w:lang w:val="bg-BG"/>
        </w:rPr>
        <w:t xml:space="preserve"> </w:t>
      </w:r>
      <w:r w:rsidR="00934B70" w:rsidRPr="00184ED0">
        <w:rPr>
          <w:lang w:val="bg-BG"/>
        </w:rPr>
        <w:t>така, както полицията или въоръжените сили.</w:t>
      </w:r>
      <w:r w:rsidR="006B380D" w:rsidRPr="00184ED0">
        <w:rPr>
          <w:lang w:val="bg-BG"/>
        </w:rPr>
        <w:t xml:space="preserve"> </w:t>
      </w:r>
      <w:r w:rsidR="00934B70">
        <w:rPr>
          <w:lang w:val="bg-BG"/>
        </w:rPr>
        <w:t>Въпреки това по</w:t>
      </w:r>
      <w:r w:rsidR="00827A92">
        <w:rPr>
          <w:lang w:val="bg-BG"/>
        </w:rPr>
        <w:t>д</w:t>
      </w:r>
      <w:r w:rsidR="00934B70">
        <w:rPr>
          <w:lang w:val="bg-BG"/>
        </w:rPr>
        <w:t xml:space="preserve">чертава, че </w:t>
      </w:r>
      <w:r w:rsidR="00445185">
        <w:rPr>
          <w:lang w:val="bg-BG"/>
        </w:rPr>
        <w:t>п</w:t>
      </w:r>
      <w:r w:rsidR="00934B70">
        <w:rPr>
          <w:lang w:val="bg-BG"/>
        </w:rPr>
        <w:t xml:space="preserve">арламентът е обществена институция и </w:t>
      </w:r>
      <w:r w:rsidR="006B380D">
        <w:rPr>
          <w:lang w:val="bg-BG"/>
        </w:rPr>
        <w:t>като приемат</w:t>
      </w:r>
      <w:r w:rsidR="00934B70">
        <w:rPr>
          <w:lang w:val="bg-BG"/>
        </w:rPr>
        <w:t xml:space="preserve"> законодателство, парламентарните членове участват директно в упражняването на власт</w:t>
      </w:r>
      <w:r w:rsidR="006B380D">
        <w:rPr>
          <w:lang w:val="bg-BG"/>
        </w:rPr>
        <w:t>та</w:t>
      </w:r>
      <w:r w:rsidR="00934B70" w:rsidRPr="006B380D">
        <w:rPr>
          <w:lang w:val="bg-BG"/>
        </w:rPr>
        <w:t xml:space="preserve">, </w:t>
      </w:r>
      <w:r w:rsidR="006B380D" w:rsidRPr="00945ED6">
        <w:rPr>
          <w:lang w:val="bg-BG"/>
        </w:rPr>
        <w:t>предоставена им</w:t>
      </w:r>
      <w:r w:rsidR="00934B70">
        <w:rPr>
          <w:lang w:val="bg-BG"/>
        </w:rPr>
        <w:t xml:space="preserve"> от Конституцията и други закони. Следователно критериите, определени от Съда по чл</w:t>
      </w:r>
      <w:r w:rsidR="00445185">
        <w:rPr>
          <w:lang w:val="bg-BG"/>
        </w:rPr>
        <w:t>енове</w:t>
      </w:r>
      <w:r w:rsidR="00934B70">
        <w:rPr>
          <w:lang w:val="bg-BG"/>
        </w:rPr>
        <w:t xml:space="preserve"> 10 и 11 от Конвенцията</w:t>
      </w:r>
      <w:r w:rsidR="00882F30">
        <w:rPr>
          <w:lang w:val="bg-BG"/>
        </w:rPr>
        <w:t xml:space="preserve"> и отнасящи се до ограниченията върху политическата активност на </w:t>
      </w:r>
      <w:r w:rsidR="006B380D" w:rsidRPr="00945ED6">
        <w:rPr>
          <w:lang w:val="bg-BG"/>
        </w:rPr>
        <w:t>държавните служители</w:t>
      </w:r>
      <w:r w:rsidR="00882F30">
        <w:rPr>
          <w:lang w:val="bg-BG"/>
        </w:rPr>
        <w:t xml:space="preserve">, са </w:t>
      </w:r>
      <w:r w:rsidR="006B380D" w:rsidRPr="006B380D">
        <w:rPr>
          <w:lang w:val="bg-BG"/>
        </w:rPr>
        <w:t xml:space="preserve">приложими по аналогия </w:t>
      </w:r>
      <w:r w:rsidR="00882F30">
        <w:rPr>
          <w:lang w:val="bg-BG"/>
        </w:rPr>
        <w:t>към кандидатите за парламентарна служба, какт</w:t>
      </w:r>
      <w:r w:rsidR="00C21CE7">
        <w:rPr>
          <w:lang w:val="bg-BG"/>
        </w:rPr>
        <w:t xml:space="preserve">о </w:t>
      </w:r>
      <w:r w:rsidR="006B380D">
        <w:rPr>
          <w:lang w:val="bg-BG"/>
        </w:rPr>
        <w:t xml:space="preserve">и </w:t>
      </w:r>
      <w:r w:rsidR="00C21CE7">
        <w:rPr>
          <w:lang w:val="bg-BG"/>
        </w:rPr>
        <w:t>към избраните представители</w:t>
      </w:r>
      <w:r w:rsidR="00C21CE7" w:rsidRPr="005E1FB4">
        <w:rPr>
          <w:lang w:val="bg-BG"/>
        </w:rPr>
        <w:t>. Следователно</w:t>
      </w:r>
      <w:r w:rsidR="006B380D" w:rsidRPr="005E1FB4">
        <w:rPr>
          <w:lang w:val="bg-BG"/>
        </w:rPr>
        <w:t xml:space="preserve"> </w:t>
      </w:r>
      <w:r w:rsidR="00882F30" w:rsidRPr="005E1FB4">
        <w:rPr>
          <w:lang w:val="bg-BG"/>
        </w:rPr>
        <w:t>Правителс</w:t>
      </w:r>
      <w:r w:rsidR="006B380D" w:rsidRPr="005E1FB4">
        <w:rPr>
          <w:lang w:val="bg-BG"/>
        </w:rPr>
        <w:t>твото не се съгласява с</w:t>
      </w:r>
      <w:r w:rsidR="00A57129" w:rsidRPr="005E1FB4">
        <w:rPr>
          <w:lang w:val="bg-BG"/>
        </w:rPr>
        <w:t xml:space="preserve"> </w:t>
      </w:r>
      <w:r w:rsidR="00445185">
        <w:rPr>
          <w:lang w:val="bg-BG"/>
        </w:rPr>
        <w:t>констатацията</w:t>
      </w:r>
      <w:r w:rsidR="00445185" w:rsidRPr="005E1FB4">
        <w:rPr>
          <w:lang w:val="bg-BG"/>
        </w:rPr>
        <w:t xml:space="preserve"> </w:t>
      </w:r>
      <w:r w:rsidR="00882F30" w:rsidRPr="005E1FB4">
        <w:rPr>
          <w:lang w:val="bg-BG"/>
        </w:rPr>
        <w:t xml:space="preserve">на </w:t>
      </w:r>
      <w:r w:rsidR="00445185">
        <w:rPr>
          <w:lang w:val="bg-BG"/>
        </w:rPr>
        <w:t>С</w:t>
      </w:r>
      <w:r w:rsidR="005E1FB4" w:rsidRPr="005E1FB4">
        <w:rPr>
          <w:lang w:val="bg-BG"/>
        </w:rPr>
        <w:t>ъдебния състав</w:t>
      </w:r>
      <w:r w:rsidR="00882F30" w:rsidRPr="005E1FB4">
        <w:rPr>
          <w:lang w:val="bg-BG"/>
        </w:rPr>
        <w:t>, че критериите за политическа лоялност нямат връзка с правото</w:t>
      </w:r>
      <w:r w:rsidR="00882F30">
        <w:rPr>
          <w:lang w:val="bg-BG"/>
        </w:rPr>
        <w:t xml:space="preserve"> на лицата да се кандидатират на избори.   </w:t>
      </w:r>
      <w:r w:rsidR="00934B70">
        <w:rPr>
          <w:lang w:val="bg-BG"/>
        </w:rPr>
        <w:t xml:space="preserve"> </w:t>
      </w:r>
    </w:p>
    <w:p w:rsidR="00882F30"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86</w:t>
      </w:r>
      <w:r w:rsidRPr="00E17978">
        <w:fldChar w:fldCharType="end"/>
      </w:r>
      <w:r w:rsidR="00882F30" w:rsidRPr="00945ED6">
        <w:rPr>
          <w:lang w:val="bg-BG"/>
        </w:rPr>
        <w:t xml:space="preserve">. </w:t>
      </w:r>
      <w:r w:rsidR="006B380D" w:rsidRPr="00945ED6">
        <w:rPr>
          <w:lang w:val="bg-BG"/>
        </w:rPr>
        <w:t>По отношение на целта на</w:t>
      </w:r>
      <w:r w:rsidR="00882F30" w:rsidRPr="00945ED6">
        <w:rPr>
          <w:lang w:val="bg-BG"/>
        </w:rPr>
        <w:t xml:space="preserve"> оспорваното</w:t>
      </w:r>
      <w:r w:rsidR="006B380D">
        <w:rPr>
          <w:lang w:val="bg-BG"/>
        </w:rPr>
        <w:t xml:space="preserve"> ограничение</w:t>
      </w:r>
      <w:r w:rsidR="00882F30">
        <w:rPr>
          <w:lang w:val="bg-BG"/>
        </w:rPr>
        <w:t xml:space="preserve"> Правителството отб</w:t>
      </w:r>
      <w:r w:rsidR="004D1098">
        <w:rPr>
          <w:lang w:val="bg-BG"/>
        </w:rPr>
        <w:t>елязва, че недопускането</w:t>
      </w:r>
      <w:r w:rsidR="00882F30">
        <w:rPr>
          <w:lang w:val="bg-BG"/>
        </w:rPr>
        <w:t xml:space="preserve"> да се кандидатират на избори се отнася д</w:t>
      </w:r>
      <w:r w:rsidR="004D1098">
        <w:rPr>
          <w:lang w:val="bg-BG"/>
        </w:rPr>
        <w:t>о лица, участвали активно в дейността</w:t>
      </w:r>
      <w:r w:rsidR="00882F30">
        <w:rPr>
          <w:lang w:val="bg-BG"/>
        </w:rPr>
        <w:t xml:space="preserve"> на организац</w:t>
      </w:r>
      <w:r w:rsidR="004D1098">
        <w:rPr>
          <w:lang w:val="bg-BG"/>
        </w:rPr>
        <w:t xml:space="preserve">ия, която след </w:t>
      </w:r>
      <w:r w:rsidR="00B52E78" w:rsidRPr="00530E30">
        <w:rPr>
          <w:lang w:val="bg-BG"/>
        </w:rPr>
        <w:t xml:space="preserve">провъзгласяването </w:t>
      </w:r>
      <w:r w:rsidR="004D1098">
        <w:rPr>
          <w:lang w:val="bg-BG"/>
        </w:rPr>
        <w:t>н</w:t>
      </w:r>
      <w:r w:rsidR="00882F30">
        <w:rPr>
          <w:lang w:val="bg-BG"/>
        </w:rPr>
        <w:t>а независимостта на Латвия открито се е обърнала срещу новия демократичен ред и активно се е опитвала да възстанови предишния тоталитарен режим. Затова е било необходимо на тези лица да не се позволява да упражняват законодателна власт. След като не са уважавали демократичните принципи в миналото, няма гаранция, че сега ще се съобразяват с въпросните принципи.</w:t>
      </w:r>
      <w:r w:rsidR="00C21CE7">
        <w:rPr>
          <w:lang w:val="bg-BG"/>
        </w:rPr>
        <w:t xml:space="preserve"> </w:t>
      </w:r>
      <w:r w:rsidR="00B52E78">
        <w:rPr>
          <w:lang w:val="bg-BG"/>
        </w:rPr>
        <w:t>Като се позовава</w:t>
      </w:r>
      <w:r w:rsidR="00C21CE7">
        <w:rPr>
          <w:lang w:val="bg-BG"/>
        </w:rPr>
        <w:t xml:space="preserve"> на</w:t>
      </w:r>
      <w:r w:rsidR="00A12D6C">
        <w:rPr>
          <w:lang w:val="bg-BG"/>
        </w:rPr>
        <w:t xml:space="preserve"> делото</w:t>
      </w:r>
      <w:r w:rsidR="00C21CE7">
        <w:rPr>
          <w:lang w:val="bg-BG"/>
        </w:rPr>
        <w:t xml:space="preserve"> </w:t>
      </w:r>
      <w:r w:rsidR="00C21CE7" w:rsidRPr="00BB4F95">
        <w:rPr>
          <w:i/>
          <w:iCs/>
          <w:lang w:val="en-GB"/>
        </w:rPr>
        <w:t>Ahmed</w:t>
      </w:r>
      <w:r w:rsidR="00C21CE7" w:rsidRPr="00945ED6">
        <w:rPr>
          <w:i/>
          <w:iCs/>
          <w:lang w:val="bg-BG"/>
        </w:rPr>
        <w:t xml:space="preserve"> </w:t>
      </w:r>
      <w:r w:rsidR="00C21CE7" w:rsidRPr="00BB4F95">
        <w:rPr>
          <w:i/>
          <w:iCs/>
          <w:lang w:val="en-GB"/>
        </w:rPr>
        <w:t>and</w:t>
      </w:r>
      <w:r w:rsidR="00C21CE7" w:rsidRPr="00945ED6">
        <w:rPr>
          <w:i/>
          <w:iCs/>
          <w:lang w:val="bg-BG"/>
        </w:rPr>
        <w:t xml:space="preserve"> </w:t>
      </w:r>
      <w:r w:rsidR="00C21CE7" w:rsidRPr="00BB4F95">
        <w:rPr>
          <w:i/>
          <w:iCs/>
          <w:lang w:val="en-GB"/>
        </w:rPr>
        <w:t>Others</w:t>
      </w:r>
      <w:r w:rsidR="00C21CE7" w:rsidRPr="00945ED6">
        <w:rPr>
          <w:i/>
          <w:iCs/>
          <w:lang w:val="bg-BG"/>
        </w:rPr>
        <w:t xml:space="preserve"> </w:t>
      </w:r>
      <w:r w:rsidR="00C21CE7" w:rsidRPr="00BB4F95">
        <w:rPr>
          <w:i/>
          <w:iCs/>
          <w:lang w:val="en-GB"/>
        </w:rPr>
        <w:t>v</w:t>
      </w:r>
      <w:r w:rsidR="00C21CE7" w:rsidRPr="00945ED6">
        <w:rPr>
          <w:i/>
          <w:iCs/>
          <w:lang w:val="bg-BG"/>
        </w:rPr>
        <w:t xml:space="preserve">. </w:t>
      </w:r>
      <w:r w:rsidR="00C21CE7" w:rsidRPr="00BB4F95">
        <w:rPr>
          <w:i/>
          <w:iCs/>
          <w:lang w:val="en-GB"/>
        </w:rPr>
        <w:t>the</w:t>
      </w:r>
      <w:r w:rsidR="00C21CE7" w:rsidRPr="00945ED6">
        <w:rPr>
          <w:i/>
          <w:iCs/>
          <w:lang w:val="bg-BG"/>
        </w:rPr>
        <w:t xml:space="preserve"> </w:t>
      </w:r>
      <w:r w:rsidR="00C21CE7" w:rsidRPr="00BB4F95">
        <w:rPr>
          <w:i/>
          <w:iCs/>
          <w:lang w:val="en-GB"/>
        </w:rPr>
        <w:t>United</w:t>
      </w:r>
      <w:r w:rsidR="00C21CE7" w:rsidRPr="00945ED6">
        <w:rPr>
          <w:i/>
          <w:iCs/>
          <w:lang w:val="bg-BG"/>
        </w:rPr>
        <w:t xml:space="preserve"> </w:t>
      </w:r>
      <w:r w:rsidR="00C21CE7" w:rsidRPr="00BB4F95">
        <w:rPr>
          <w:i/>
          <w:iCs/>
          <w:lang w:val="en-GB"/>
        </w:rPr>
        <w:t>Kingdom</w:t>
      </w:r>
      <w:r w:rsidR="00C21CE7" w:rsidRPr="00945ED6">
        <w:rPr>
          <w:iCs/>
          <w:lang w:val="bg-BG"/>
        </w:rPr>
        <w:t xml:space="preserve"> (</w:t>
      </w:r>
      <w:r w:rsidR="00C21CE7" w:rsidRPr="00945ED6">
        <w:rPr>
          <w:lang w:val="bg-BG"/>
        </w:rPr>
        <w:t xml:space="preserve">2 септември 1998, § 52, </w:t>
      </w:r>
      <w:r w:rsidR="00C21CE7" w:rsidRPr="00BB4F95">
        <w:rPr>
          <w:i/>
          <w:iCs/>
          <w:lang w:val="en-GB"/>
        </w:rPr>
        <w:t>Reports</w:t>
      </w:r>
      <w:r w:rsidR="00C21CE7" w:rsidRPr="00945ED6">
        <w:rPr>
          <w:i/>
          <w:iCs/>
          <w:lang w:val="bg-BG"/>
        </w:rPr>
        <w:t xml:space="preserve"> </w:t>
      </w:r>
      <w:r w:rsidR="00C21CE7" w:rsidRPr="00945ED6">
        <w:rPr>
          <w:lang w:val="bg-BG"/>
        </w:rPr>
        <w:t>1998-</w:t>
      </w:r>
      <w:r w:rsidR="00C21CE7" w:rsidRPr="00BB4F95">
        <w:rPr>
          <w:lang w:val="en-GB"/>
        </w:rPr>
        <w:t>VI</w:t>
      </w:r>
      <w:r w:rsidR="00C21CE7" w:rsidRPr="00945ED6">
        <w:rPr>
          <w:lang w:val="bg-BG"/>
        </w:rPr>
        <w:t>),</w:t>
      </w:r>
      <w:r w:rsidR="00C21CE7">
        <w:rPr>
          <w:lang w:val="bg-BG"/>
        </w:rPr>
        <w:t xml:space="preserve"> Правителството твърди, че естеството</w:t>
      </w:r>
      <w:r w:rsidR="00A12D6C">
        <w:rPr>
          <w:lang w:val="bg-BG"/>
        </w:rPr>
        <w:t xml:space="preserve"> на оспорваното недопускане</w:t>
      </w:r>
      <w:r w:rsidR="00C21CE7">
        <w:rPr>
          <w:lang w:val="bg-BG"/>
        </w:rPr>
        <w:t xml:space="preserve"> е превантивно и не изисква доказателство за действителна опасност или недемократични действия от страна на тези лица. Следователно</w:t>
      </w:r>
      <w:r w:rsidR="00827A92">
        <w:rPr>
          <w:lang w:val="bg-BG"/>
        </w:rPr>
        <w:t xml:space="preserve"> Правителството не се съглас</w:t>
      </w:r>
      <w:r w:rsidR="00C21CE7">
        <w:rPr>
          <w:lang w:val="bg-BG"/>
        </w:rPr>
        <w:t xml:space="preserve">ява с мнението на </w:t>
      </w:r>
      <w:r w:rsidR="00572C57">
        <w:rPr>
          <w:lang w:val="bg-BG"/>
        </w:rPr>
        <w:t>С</w:t>
      </w:r>
      <w:r w:rsidR="005E1FB4">
        <w:rPr>
          <w:lang w:val="bg-BG"/>
        </w:rPr>
        <w:t>ъдебния състав</w:t>
      </w:r>
      <w:r w:rsidR="00267C0D">
        <w:rPr>
          <w:lang w:val="bg-BG"/>
        </w:rPr>
        <w:t xml:space="preserve"> относно твърдяното</w:t>
      </w:r>
      <w:r w:rsidR="00883AA6">
        <w:rPr>
          <w:lang w:val="bg-BG"/>
        </w:rPr>
        <w:t xml:space="preserve"> </w:t>
      </w:r>
      <w:r w:rsidR="00267C0D">
        <w:rPr>
          <w:lang w:val="bg-BG"/>
        </w:rPr>
        <w:t>наказателно</w:t>
      </w:r>
      <w:r w:rsidR="00883AA6">
        <w:rPr>
          <w:lang w:val="bg-BG"/>
        </w:rPr>
        <w:t xml:space="preserve"> естество на оспорваното ограничение.</w:t>
      </w:r>
      <w:r w:rsidR="00C21CE7">
        <w:rPr>
          <w:lang w:val="bg-BG"/>
        </w:rPr>
        <w:t xml:space="preserve">   </w:t>
      </w:r>
      <w:r w:rsidR="00C21CE7" w:rsidRPr="00945ED6">
        <w:rPr>
          <w:lang w:val="bg-BG"/>
        </w:rPr>
        <w:t xml:space="preserve"> </w:t>
      </w:r>
      <w:r w:rsidR="00C21CE7">
        <w:rPr>
          <w:lang w:val="bg-BG"/>
        </w:rPr>
        <w:t xml:space="preserve"> </w:t>
      </w:r>
      <w:r w:rsidR="00882F30">
        <w:rPr>
          <w:lang w:val="bg-BG"/>
        </w:rPr>
        <w:t xml:space="preserve">  </w:t>
      </w:r>
      <w:r w:rsidR="00882F30" w:rsidRPr="00945ED6">
        <w:rPr>
          <w:lang w:val="bg-BG"/>
        </w:rPr>
        <w:t xml:space="preserve"> </w:t>
      </w:r>
    </w:p>
    <w:p w:rsidR="005911E9" w:rsidRPr="00CB6176" w:rsidRDefault="005D3E62" w:rsidP="00CB6176">
      <w:pPr>
        <w:pStyle w:val="JuPara"/>
        <w:rPr>
          <w:lang w:val="bg-BG"/>
        </w:rPr>
      </w:pPr>
      <w:r w:rsidRPr="00E17978">
        <w:lastRenderedPageBreak/>
        <w:fldChar w:fldCharType="begin"/>
      </w:r>
      <w:r w:rsidR="006C198A" w:rsidRPr="00945ED6">
        <w:rPr>
          <w:lang w:val="bg-BG"/>
        </w:rPr>
        <w:instrText xml:space="preserve"> </w:instrText>
      </w:r>
      <w:r w:rsidR="006C198A" w:rsidRPr="00BB4F95">
        <w:rPr>
          <w:lang w:val="en-GB"/>
        </w:rPr>
        <w:instrText>SEQ</w:instrText>
      </w:r>
      <w:r w:rsidR="006C198A" w:rsidRPr="00945ED6">
        <w:rPr>
          <w:lang w:val="bg-BG"/>
        </w:rPr>
        <w:instrText xml:space="preserve"> </w:instrText>
      </w:r>
      <w:r w:rsidR="006C198A" w:rsidRPr="00BB4F95">
        <w:rPr>
          <w:lang w:val="en-GB"/>
        </w:rPr>
        <w:instrText>level</w:instrText>
      </w:r>
      <w:r w:rsidR="006C198A" w:rsidRPr="00945ED6">
        <w:rPr>
          <w:lang w:val="bg-BG"/>
        </w:rPr>
        <w:instrText>0 \*</w:instrText>
      </w:r>
      <w:r w:rsidR="006C198A" w:rsidRPr="00BB4F95">
        <w:rPr>
          <w:lang w:val="en-GB"/>
        </w:rPr>
        <w:instrText>arabic</w:instrText>
      </w:r>
      <w:r w:rsidR="006C198A" w:rsidRPr="00945ED6">
        <w:rPr>
          <w:lang w:val="bg-BG"/>
        </w:rPr>
        <w:instrText xml:space="preserve"> </w:instrText>
      </w:r>
      <w:r w:rsidRPr="00E17978">
        <w:fldChar w:fldCharType="separate"/>
      </w:r>
      <w:r w:rsidR="00955550" w:rsidRPr="00945ED6">
        <w:rPr>
          <w:noProof/>
          <w:lang w:val="bg-BG"/>
        </w:rPr>
        <w:t>87</w:t>
      </w:r>
      <w:r w:rsidRPr="00E17978">
        <w:fldChar w:fldCharType="end"/>
      </w:r>
      <w:r w:rsidR="00883AA6" w:rsidRPr="00945ED6">
        <w:rPr>
          <w:lang w:val="bg-BG"/>
        </w:rPr>
        <w:t xml:space="preserve">. </w:t>
      </w:r>
      <w:r w:rsidR="00572C57">
        <w:rPr>
          <w:lang w:val="bg-BG"/>
        </w:rPr>
        <w:t>Като се позовава</w:t>
      </w:r>
      <w:r w:rsidR="00DF0C7D">
        <w:rPr>
          <w:lang w:val="bg-BG"/>
        </w:rPr>
        <w:t xml:space="preserve"> на</w:t>
      </w:r>
      <w:r w:rsidR="00A12D6C">
        <w:rPr>
          <w:lang w:val="bg-BG"/>
        </w:rPr>
        <w:t xml:space="preserve"> делото</w:t>
      </w:r>
      <w:r w:rsidR="00883AA6" w:rsidRPr="00945ED6">
        <w:rPr>
          <w:lang w:val="bg-BG"/>
        </w:rPr>
        <w:t xml:space="preserve"> </w:t>
      </w:r>
      <w:r w:rsidR="00883AA6" w:rsidRPr="00BB4F95">
        <w:rPr>
          <w:i/>
          <w:iCs/>
          <w:lang w:val="en-GB"/>
        </w:rPr>
        <w:t>Rekv</w:t>
      </w:r>
      <w:r w:rsidR="00883AA6" w:rsidRPr="00945ED6">
        <w:rPr>
          <w:i/>
          <w:iCs/>
          <w:lang w:val="bg-BG"/>
        </w:rPr>
        <w:t>é</w:t>
      </w:r>
      <w:r w:rsidR="00883AA6" w:rsidRPr="00BB4F95">
        <w:rPr>
          <w:i/>
          <w:iCs/>
          <w:lang w:val="en-GB"/>
        </w:rPr>
        <w:t>nyi</w:t>
      </w:r>
      <w:r w:rsidR="00CB6176" w:rsidRPr="00945ED6">
        <w:rPr>
          <w:lang w:val="bg-BG"/>
        </w:rPr>
        <w:t xml:space="preserve"> </w:t>
      </w:r>
      <w:r w:rsidR="006C198A" w:rsidRPr="00945ED6">
        <w:rPr>
          <w:lang w:val="bg-BG"/>
        </w:rPr>
        <w:t>(</w:t>
      </w:r>
      <w:r w:rsidR="00883AA6">
        <w:rPr>
          <w:lang w:val="bg-BG"/>
        </w:rPr>
        <w:t>посочено по-горе</w:t>
      </w:r>
      <w:r w:rsidR="00CD7E2A" w:rsidRPr="00945ED6">
        <w:rPr>
          <w:lang w:val="bg-BG"/>
        </w:rPr>
        <w:t>,</w:t>
      </w:r>
      <w:r w:rsidR="00CD7E2A" w:rsidRPr="00945ED6">
        <w:rPr>
          <w:i/>
          <w:lang w:val="bg-BG"/>
        </w:rPr>
        <w:t xml:space="preserve"> </w:t>
      </w:r>
      <w:r w:rsidR="00CD7E2A" w:rsidRPr="00945ED6">
        <w:rPr>
          <w:lang w:val="bg-BG"/>
        </w:rPr>
        <w:t xml:space="preserve">§ </w:t>
      </w:r>
      <w:r w:rsidR="006C198A" w:rsidRPr="00945ED6">
        <w:rPr>
          <w:lang w:val="bg-BG"/>
        </w:rPr>
        <w:t>41),</w:t>
      </w:r>
      <w:r w:rsidR="00CB6176">
        <w:rPr>
          <w:lang w:val="bg-BG"/>
        </w:rPr>
        <w:t xml:space="preserve"> Правителството подчертава, че принципът за </w:t>
      </w:r>
      <w:r w:rsidR="00572C57">
        <w:rPr>
          <w:lang w:val="bg-BG"/>
        </w:rPr>
        <w:t>„</w:t>
      </w:r>
      <w:r w:rsidR="00DF0C7D" w:rsidRPr="00945ED6">
        <w:rPr>
          <w:lang w:val="bg-BG"/>
        </w:rPr>
        <w:t>демокрация, която е в състояние да се защитава</w:t>
      </w:r>
      <w:r w:rsidR="00572C57">
        <w:rPr>
          <w:lang w:val="bg-BG"/>
        </w:rPr>
        <w:t>“</w:t>
      </w:r>
      <w:r w:rsidR="00CB6176">
        <w:rPr>
          <w:lang w:val="bg-BG"/>
        </w:rPr>
        <w:t xml:space="preserve"> е съвместим с Конвенцията, особено в контекста на п</w:t>
      </w:r>
      <w:r w:rsidR="0029722C">
        <w:rPr>
          <w:lang w:val="bg-BG"/>
        </w:rPr>
        <w:t>осткомунистическите общества в Централна и И</w:t>
      </w:r>
      <w:r w:rsidR="00CB6176">
        <w:rPr>
          <w:lang w:val="bg-BG"/>
        </w:rPr>
        <w:t xml:space="preserve">зточна Европа. </w:t>
      </w:r>
    </w:p>
    <w:p w:rsidR="00CB6176" w:rsidRPr="00CB6176" w:rsidRDefault="005D3E62" w:rsidP="00CB6176">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88</w:t>
      </w:r>
      <w:r w:rsidRPr="00E17978">
        <w:fldChar w:fldCharType="end"/>
      </w:r>
      <w:r w:rsidR="005911E9" w:rsidRPr="00945ED6">
        <w:rPr>
          <w:lang w:val="bg-BG"/>
        </w:rPr>
        <w:t>.</w:t>
      </w:r>
      <w:r w:rsidR="00CB6176">
        <w:rPr>
          <w:lang w:val="bg-BG"/>
        </w:rPr>
        <w:t xml:space="preserve"> Освен това не е подходящо позоваването на</w:t>
      </w:r>
      <w:r w:rsidR="00A12D6C">
        <w:rPr>
          <w:lang w:val="bg-BG"/>
        </w:rPr>
        <w:t xml:space="preserve"> делото</w:t>
      </w:r>
      <w:r w:rsidR="00CB6176">
        <w:rPr>
          <w:lang w:val="bg-BG"/>
        </w:rPr>
        <w:t xml:space="preserve"> </w:t>
      </w:r>
      <w:r w:rsidR="005911E9" w:rsidRPr="00BB4F95">
        <w:rPr>
          <w:i/>
          <w:iCs/>
          <w:lang w:val="en-GB"/>
        </w:rPr>
        <w:t>Vogt</w:t>
      </w:r>
      <w:r w:rsidR="005911E9" w:rsidRPr="00945ED6">
        <w:rPr>
          <w:i/>
          <w:iCs/>
          <w:lang w:val="bg-BG"/>
        </w:rPr>
        <w:t xml:space="preserve"> </w:t>
      </w:r>
      <w:r w:rsidR="00CD7E2A" w:rsidRPr="00945ED6">
        <w:rPr>
          <w:lang w:val="bg-BG"/>
        </w:rPr>
        <w:t>(</w:t>
      </w:r>
      <w:r w:rsidR="00CB6176">
        <w:rPr>
          <w:lang w:val="bg-BG"/>
        </w:rPr>
        <w:t xml:space="preserve">посочено по-горе) в подкрепа на становищата на </w:t>
      </w:r>
      <w:r w:rsidR="00354C6E">
        <w:rPr>
          <w:lang w:val="bg-BG"/>
        </w:rPr>
        <w:t>жалбоподателката</w:t>
      </w:r>
      <w:r w:rsidR="00CB6176">
        <w:rPr>
          <w:lang w:val="bg-BG"/>
        </w:rPr>
        <w:t xml:space="preserve">. Действията на г-жа </w:t>
      </w:r>
      <w:r w:rsidR="00184ED0">
        <w:rPr>
          <w:lang w:val="en-US"/>
        </w:rPr>
        <w:t>Vogt</w:t>
      </w:r>
      <w:r w:rsidR="00CB6176">
        <w:rPr>
          <w:lang w:val="bg-BG"/>
        </w:rPr>
        <w:t xml:space="preserve"> в рамките на </w:t>
      </w:r>
      <w:r w:rsidR="00A12D6C" w:rsidRPr="00A12D6C">
        <w:rPr>
          <w:lang w:val="bg-BG"/>
        </w:rPr>
        <w:t>Германската</w:t>
      </w:r>
      <w:r w:rsidR="00CB6176" w:rsidRPr="00A12D6C">
        <w:rPr>
          <w:lang w:val="bg-BG"/>
        </w:rPr>
        <w:t xml:space="preserve"> комунистическа парти</w:t>
      </w:r>
      <w:r w:rsidR="00CB6176">
        <w:rPr>
          <w:lang w:val="bg-BG"/>
        </w:rPr>
        <w:t>я са били законни действия в рамките на законна организация.</w:t>
      </w:r>
      <w:r w:rsidR="00A12D6C">
        <w:rPr>
          <w:lang w:val="bg-BG"/>
        </w:rPr>
        <w:t xml:space="preserve"> В</w:t>
      </w:r>
      <w:r w:rsidR="00CB6176">
        <w:rPr>
          <w:lang w:val="bg-BG"/>
        </w:rPr>
        <w:t xml:space="preserve"> настоящия случай приемането на 4 май 1990 г. на Декларацията на независимостта създава в Латвия нов конституционен ред, основан на въпросната Декларация.</w:t>
      </w:r>
      <w:r w:rsidR="006F08BC">
        <w:rPr>
          <w:lang w:val="bg-BG"/>
        </w:rPr>
        <w:t xml:space="preserve"> Съответно в периода от 4 май 1990 г. до 6 юни 1993 г. – датата, на която Конституцията от 1922 г. е напълно възстановена – всяко действие срещу споменатата Декларация или срещу основаната чрез нея държавна система трябва да се счита за противоконституционно. Правителството оспорва и </w:t>
      </w:r>
      <w:r w:rsidR="00A12D6C" w:rsidRPr="00945ED6">
        <w:rPr>
          <w:lang w:val="bg-BG"/>
        </w:rPr>
        <w:t>твърдението</w:t>
      </w:r>
      <w:r w:rsidR="006F08BC">
        <w:rPr>
          <w:lang w:val="bg-BG"/>
        </w:rPr>
        <w:t xml:space="preserve"> на </w:t>
      </w:r>
      <w:r w:rsidR="00354C6E">
        <w:rPr>
          <w:lang w:val="bg-BG"/>
        </w:rPr>
        <w:t>жалбоподателката</w:t>
      </w:r>
      <w:r w:rsidR="006F08BC">
        <w:rPr>
          <w:lang w:val="bg-BG"/>
        </w:rPr>
        <w:t xml:space="preserve"> относно </w:t>
      </w:r>
      <w:r w:rsidR="00827A92">
        <w:rPr>
          <w:lang w:val="bg-BG"/>
        </w:rPr>
        <w:t>съществуването на конституционно диархично управление</w:t>
      </w:r>
      <w:r w:rsidR="006F08BC">
        <w:rPr>
          <w:lang w:val="bg-BG"/>
        </w:rPr>
        <w:t xml:space="preserve"> по време на събитията през 1991 г. </w:t>
      </w:r>
      <w:r w:rsidR="00CB6176">
        <w:rPr>
          <w:lang w:val="bg-BG"/>
        </w:rPr>
        <w:t xml:space="preserve">     </w:t>
      </w:r>
    </w:p>
    <w:p w:rsidR="005911E9" w:rsidRPr="002B3C75" w:rsidRDefault="005D3E62" w:rsidP="002B3C75">
      <w:pPr>
        <w:pStyle w:val="JuPara"/>
        <w:rPr>
          <w:highlight w:val="yellow"/>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89</w:t>
      </w:r>
      <w:r w:rsidRPr="00E17978">
        <w:fldChar w:fldCharType="end"/>
      </w:r>
      <w:r w:rsidR="005911E9" w:rsidRPr="00945ED6">
        <w:rPr>
          <w:lang w:val="bg-BG"/>
        </w:rPr>
        <w:t>.</w:t>
      </w:r>
      <w:r w:rsidR="00671587">
        <w:rPr>
          <w:lang w:val="bg-BG"/>
        </w:rPr>
        <w:t xml:space="preserve"> Освен това дисквалифицирането на </w:t>
      </w:r>
      <w:r w:rsidR="00354C6E">
        <w:rPr>
          <w:lang w:val="bg-BG"/>
        </w:rPr>
        <w:t>жалбоподателката</w:t>
      </w:r>
      <w:r w:rsidR="00671587">
        <w:rPr>
          <w:lang w:val="bg-BG"/>
        </w:rPr>
        <w:t xml:space="preserve"> има за цел да защити независимостта и националната сигурност на държавата. </w:t>
      </w:r>
      <w:r w:rsidR="008A38FF">
        <w:rPr>
          <w:lang w:val="bg-BG"/>
        </w:rPr>
        <w:t>Като се позовава</w:t>
      </w:r>
      <w:r w:rsidR="00044098">
        <w:rPr>
          <w:lang w:val="bg-BG"/>
        </w:rPr>
        <w:t xml:space="preserve"> в тази връзка на </w:t>
      </w:r>
      <w:r w:rsidR="00A12D6C" w:rsidRPr="00945ED6">
        <w:rPr>
          <w:lang w:val="bg-BG"/>
        </w:rPr>
        <w:t>решения</w:t>
      </w:r>
      <w:r w:rsidR="00044098">
        <w:rPr>
          <w:lang w:val="bg-BG"/>
        </w:rPr>
        <w:t xml:space="preserve">, приети през април 1990 г. от </w:t>
      </w:r>
      <w:r w:rsidR="00044098">
        <w:rPr>
          <w:lang w:val="en-US"/>
        </w:rPr>
        <w:t>XXV</w:t>
      </w:r>
      <w:r w:rsidR="00044098" w:rsidRPr="00945ED6">
        <w:rPr>
          <w:lang w:val="bg-BG"/>
        </w:rPr>
        <w:t xml:space="preserve"> </w:t>
      </w:r>
      <w:r w:rsidR="00044098">
        <w:rPr>
          <w:lang w:val="bg-BG"/>
        </w:rPr>
        <w:t xml:space="preserve">конгрес на ЛКП, Правителството изтъква, че партията винаги се е отнасяла враждебно към възстановяването на независимостта на Латвия и че една от основните ѝ цели е била да задържи страната в рамките на Съветския съюз. </w:t>
      </w:r>
      <w:r w:rsidR="00044098" w:rsidRPr="00C1610D">
        <w:rPr>
          <w:lang w:val="bg-BG"/>
        </w:rPr>
        <w:t>Следователно</w:t>
      </w:r>
      <w:r w:rsidR="002B3C75" w:rsidRPr="00C1610D">
        <w:rPr>
          <w:lang w:val="bg-BG"/>
        </w:rPr>
        <w:t xml:space="preserve"> </w:t>
      </w:r>
      <w:r w:rsidR="00A12D6C" w:rsidRPr="00C1610D">
        <w:rPr>
          <w:lang w:val="bg-BG"/>
        </w:rPr>
        <w:t xml:space="preserve">самото съществуване на </w:t>
      </w:r>
      <w:r w:rsidR="002B3C75" w:rsidRPr="00C1610D">
        <w:rPr>
          <w:lang w:val="bg-BG"/>
        </w:rPr>
        <w:t>държава</w:t>
      </w:r>
      <w:r w:rsidR="00167AE8" w:rsidRPr="00C1610D">
        <w:rPr>
          <w:lang w:val="bg-BG"/>
        </w:rPr>
        <w:t>та</w:t>
      </w:r>
      <w:r w:rsidR="002B3C75" w:rsidRPr="00C1610D">
        <w:rPr>
          <w:lang w:val="bg-BG"/>
        </w:rPr>
        <w:t xml:space="preserve">, страна по Конвенцията, в случая представлява опасност за тази страна </w:t>
      </w:r>
      <w:r w:rsidR="002B3C75" w:rsidRPr="00C1610D">
        <w:rPr>
          <w:spacing w:val="-3"/>
          <w:lang w:val="bg-BG"/>
        </w:rPr>
        <w:t>и предоставянето</w:t>
      </w:r>
      <w:r w:rsidR="002B3C75">
        <w:rPr>
          <w:spacing w:val="-3"/>
          <w:lang w:val="bg-BG"/>
        </w:rPr>
        <w:t xml:space="preserve"> на</w:t>
      </w:r>
      <w:r w:rsidR="00044098">
        <w:rPr>
          <w:spacing w:val="-3"/>
          <w:lang w:val="bg-BG"/>
        </w:rPr>
        <w:t xml:space="preserve"> достъп до върховната държавна власт на лица, които са се отнасяли враждебно към независимостт</w:t>
      </w:r>
      <w:r w:rsidR="002B3C75">
        <w:rPr>
          <w:spacing w:val="-3"/>
          <w:lang w:val="bg-BG"/>
        </w:rPr>
        <w:t>а на държавата, вероятно би</w:t>
      </w:r>
      <w:r w:rsidR="00044098">
        <w:rPr>
          <w:spacing w:val="-3"/>
          <w:lang w:val="bg-BG"/>
        </w:rPr>
        <w:t xml:space="preserve"> застраши</w:t>
      </w:r>
      <w:r w:rsidR="002B3C75">
        <w:rPr>
          <w:spacing w:val="-3"/>
          <w:lang w:val="bg-BG"/>
        </w:rPr>
        <w:t>ло</w:t>
      </w:r>
      <w:r w:rsidR="00044098">
        <w:rPr>
          <w:spacing w:val="-3"/>
          <w:lang w:val="bg-BG"/>
        </w:rPr>
        <w:t xml:space="preserve"> националната сигурност. </w:t>
      </w:r>
      <w:r w:rsidR="00044098">
        <w:rPr>
          <w:lang w:val="bg-BG"/>
        </w:rPr>
        <w:t xml:space="preserve">   </w:t>
      </w:r>
      <w:r w:rsidR="005911E9" w:rsidRPr="00BB4F95">
        <w:rPr>
          <w:lang w:val="en-GB"/>
        </w:rPr>
        <w:t> </w:t>
      </w:r>
      <w:r w:rsidR="00736DEB">
        <w:rPr>
          <w:lang w:val="en-GB"/>
        </w:rPr>
        <w:t> </w:t>
      </w:r>
    </w:p>
    <w:p w:rsidR="005911E9" w:rsidRPr="00945ED6" w:rsidRDefault="005D3E62" w:rsidP="00B8206D">
      <w:pPr>
        <w:pStyle w:val="JuPara"/>
        <w:rPr>
          <w:spacing w:val="-3"/>
          <w:lang w:val="bg-BG"/>
        </w:rPr>
      </w:pPr>
      <w:r w:rsidRPr="00E17978">
        <w:rPr>
          <w:spacing w:val="-3"/>
        </w:rPr>
        <w:fldChar w:fldCharType="begin"/>
      </w:r>
      <w:r w:rsidR="006C198A" w:rsidRPr="00945ED6">
        <w:rPr>
          <w:spacing w:val="-3"/>
          <w:lang w:val="bg-BG"/>
        </w:rPr>
        <w:instrText xml:space="preserve"> </w:instrText>
      </w:r>
      <w:r w:rsidR="006C198A" w:rsidRPr="00BB4F95">
        <w:rPr>
          <w:spacing w:val="-3"/>
          <w:lang w:val="en-GB"/>
        </w:rPr>
        <w:instrText>SEQ</w:instrText>
      </w:r>
      <w:r w:rsidR="006C198A" w:rsidRPr="00945ED6">
        <w:rPr>
          <w:spacing w:val="-3"/>
          <w:lang w:val="bg-BG"/>
        </w:rPr>
        <w:instrText xml:space="preserve"> </w:instrText>
      </w:r>
      <w:r w:rsidR="006C198A" w:rsidRPr="00BB4F95">
        <w:rPr>
          <w:spacing w:val="-3"/>
          <w:lang w:val="en-GB"/>
        </w:rPr>
        <w:instrText>level</w:instrText>
      </w:r>
      <w:r w:rsidR="006C198A" w:rsidRPr="00945ED6">
        <w:rPr>
          <w:spacing w:val="-3"/>
          <w:lang w:val="bg-BG"/>
        </w:rPr>
        <w:instrText>0 \*</w:instrText>
      </w:r>
      <w:r w:rsidR="006C198A" w:rsidRPr="00BB4F95">
        <w:rPr>
          <w:spacing w:val="-3"/>
          <w:lang w:val="en-GB"/>
        </w:rPr>
        <w:instrText>arabic</w:instrText>
      </w:r>
      <w:r w:rsidR="006C198A" w:rsidRPr="00945ED6">
        <w:rPr>
          <w:spacing w:val="-3"/>
          <w:lang w:val="bg-BG"/>
        </w:rPr>
        <w:instrText xml:space="preserve"> </w:instrText>
      </w:r>
      <w:r w:rsidRPr="00E17978">
        <w:rPr>
          <w:spacing w:val="-3"/>
        </w:rPr>
        <w:fldChar w:fldCharType="separate"/>
      </w:r>
      <w:r w:rsidR="00955550" w:rsidRPr="00945ED6">
        <w:rPr>
          <w:noProof/>
          <w:spacing w:val="-3"/>
          <w:lang w:val="bg-BG"/>
        </w:rPr>
        <w:t>90</w:t>
      </w:r>
      <w:r w:rsidRPr="00E17978">
        <w:rPr>
          <w:spacing w:val="-3"/>
        </w:rPr>
        <w:fldChar w:fldCharType="end"/>
      </w:r>
      <w:r w:rsidR="006C198A" w:rsidRPr="00945ED6">
        <w:rPr>
          <w:spacing w:val="-3"/>
          <w:lang w:val="bg-BG"/>
        </w:rPr>
        <w:t>.</w:t>
      </w:r>
      <w:r w:rsidR="00044098">
        <w:rPr>
          <w:spacing w:val="-3"/>
          <w:lang w:val="bg-BG"/>
        </w:rPr>
        <w:t xml:space="preserve"> Освен това</w:t>
      </w:r>
      <w:r w:rsidR="00457392">
        <w:rPr>
          <w:spacing w:val="-3"/>
          <w:lang w:val="bg-BG"/>
        </w:rPr>
        <w:t>, оспорваното</w:t>
      </w:r>
      <w:r w:rsidR="00044098">
        <w:rPr>
          <w:spacing w:val="-3"/>
          <w:lang w:val="bg-BG"/>
        </w:rPr>
        <w:t xml:space="preserve"> ограни</w:t>
      </w:r>
      <w:r w:rsidR="00457392">
        <w:rPr>
          <w:spacing w:val="-3"/>
          <w:lang w:val="bg-BG"/>
        </w:rPr>
        <w:t xml:space="preserve">чение </w:t>
      </w:r>
      <w:r w:rsidR="007A3576">
        <w:rPr>
          <w:spacing w:val="-3"/>
          <w:lang w:val="bg-BG"/>
        </w:rPr>
        <w:t>е пропорционално</w:t>
      </w:r>
      <w:r w:rsidR="00044098" w:rsidRPr="00167AE8">
        <w:rPr>
          <w:spacing w:val="-3"/>
          <w:lang w:val="bg-BG"/>
        </w:rPr>
        <w:t xml:space="preserve"> на </w:t>
      </w:r>
      <w:r w:rsidR="00647061">
        <w:rPr>
          <w:spacing w:val="-3"/>
          <w:lang w:val="bg-BG"/>
        </w:rPr>
        <w:t>следваните</w:t>
      </w:r>
      <w:r w:rsidR="00167AE8" w:rsidRPr="00167AE8">
        <w:rPr>
          <w:spacing w:val="-3"/>
          <w:lang w:val="bg-BG"/>
        </w:rPr>
        <w:t xml:space="preserve"> легитимни</w:t>
      </w:r>
      <w:r w:rsidR="002B3C75" w:rsidRPr="00167AE8">
        <w:rPr>
          <w:spacing w:val="-3"/>
          <w:lang w:val="bg-BG"/>
        </w:rPr>
        <w:t xml:space="preserve"> </w:t>
      </w:r>
      <w:r w:rsidR="00044098" w:rsidRPr="00167AE8">
        <w:rPr>
          <w:spacing w:val="-3"/>
          <w:lang w:val="bg-BG"/>
        </w:rPr>
        <w:t>це</w:t>
      </w:r>
      <w:r w:rsidR="00457392" w:rsidRPr="00167AE8">
        <w:rPr>
          <w:spacing w:val="-3"/>
          <w:lang w:val="bg-BG"/>
        </w:rPr>
        <w:t>ли.</w:t>
      </w:r>
      <w:r w:rsidR="00457392">
        <w:rPr>
          <w:spacing w:val="-3"/>
          <w:lang w:val="bg-BG"/>
        </w:rPr>
        <w:t xml:space="preserve"> </w:t>
      </w:r>
      <w:r w:rsidR="008A38FF">
        <w:rPr>
          <w:spacing w:val="-3"/>
          <w:lang w:val="bg-BG"/>
        </w:rPr>
        <w:t xml:space="preserve">Оспорваното дисквалифициране </w:t>
      </w:r>
      <w:r w:rsidR="00044098">
        <w:rPr>
          <w:spacing w:val="-3"/>
          <w:lang w:val="bg-BG"/>
        </w:rPr>
        <w:t>не се е прилагало спрямо всички лица, които са членували официално в ЛКП след 13 януари 1991 г., а само с</w:t>
      </w:r>
      <w:r w:rsidR="00457392">
        <w:rPr>
          <w:spacing w:val="-3"/>
          <w:lang w:val="bg-BG"/>
        </w:rPr>
        <w:t xml:space="preserve">прямо онези, които са </w:t>
      </w:r>
      <w:r w:rsidR="009344D3">
        <w:rPr>
          <w:spacing w:val="-3"/>
          <w:lang w:val="bg-BG"/>
        </w:rPr>
        <w:t>„</w:t>
      </w:r>
      <w:r w:rsidR="00044098">
        <w:rPr>
          <w:spacing w:val="-3"/>
          <w:lang w:val="bg-BG"/>
        </w:rPr>
        <w:t>участвали активно</w:t>
      </w:r>
      <w:r w:rsidR="009344D3">
        <w:rPr>
          <w:spacing w:val="-3"/>
          <w:lang w:val="bg-BG"/>
        </w:rPr>
        <w:t>“</w:t>
      </w:r>
      <w:r w:rsidR="00044098">
        <w:rPr>
          <w:spacing w:val="-3"/>
          <w:lang w:val="bg-BG"/>
        </w:rPr>
        <w:t xml:space="preserve"> в дейността на партията след гореспоменатата дата, т.е. спрямо лица</w:t>
      </w:r>
      <w:r w:rsidR="00562966">
        <w:rPr>
          <w:spacing w:val="-3"/>
          <w:lang w:val="bg-BG"/>
        </w:rPr>
        <w:t xml:space="preserve">, които са застрашавали демократичния ред и суверенитета на Латвия чрез своите административни или представителни функции. </w:t>
      </w:r>
      <w:r w:rsidR="00B6597D" w:rsidRPr="00B6597D">
        <w:rPr>
          <w:spacing w:val="-3"/>
          <w:lang w:val="bg-BG"/>
        </w:rPr>
        <w:t>Ограничаващото тълкуване</w:t>
      </w:r>
      <w:r w:rsidR="008833E9" w:rsidRPr="00B6597D">
        <w:rPr>
          <w:spacing w:val="-3"/>
          <w:lang w:val="bg-BG"/>
        </w:rPr>
        <w:t xml:space="preserve"> на изборното</w:t>
      </w:r>
      <w:r w:rsidR="00562966" w:rsidRPr="00B6597D">
        <w:rPr>
          <w:spacing w:val="-3"/>
          <w:lang w:val="bg-BG"/>
        </w:rPr>
        <w:t xml:space="preserve"> законодателство фактически е </w:t>
      </w:r>
      <w:r w:rsidR="00B6597D" w:rsidRPr="00B6597D">
        <w:rPr>
          <w:spacing w:val="-3"/>
          <w:lang w:val="bg-BG"/>
        </w:rPr>
        <w:t>наложено</w:t>
      </w:r>
      <w:r w:rsidR="00B0226E" w:rsidRPr="00B6597D">
        <w:rPr>
          <w:spacing w:val="-3"/>
          <w:lang w:val="bg-BG"/>
        </w:rPr>
        <w:t xml:space="preserve"> от Конституционния съд с</w:t>
      </w:r>
      <w:r w:rsidR="00562966" w:rsidRPr="00B6597D">
        <w:rPr>
          <w:spacing w:val="-3"/>
          <w:lang w:val="bg-BG"/>
        </w:rPr>
        <w:t xml:space="preserve"> р</w:t>
      </w:r>
      <w:r w:rsidR="00B6597D" w:rsidRPr="00B6597D">
        <w:rPr>
          <w:spacing w:val="-3"/>
          <w:lang w:val="bg-BG"/>
        </w:rPr>
        <w:t>ешението му от 30 август 2000 г</w:t>
      </w:r>
      <w:r w:rsidR="00457392" w:rsidRPr="00B6597D">
        <w:rPr>
          <w:spacing w:val="-3"/>
          <w:lang w:val="bg-BG"/>
        </w:rPr>
        <w:t>.</w:t>
      </w:r>
      <w:r w:rsidR="00562966">
        <w:rPr>
          <w:spacing w:val="-3"/>
          <w:lang w:val="bg-BG"/>
        </w:rPr>
        <w:t xml:space="preserve"> </w:t>
      </w:r>
      <w:r w:rsidR="00044098">
        <w:rPr>
          <w:spacing w:val="-3"/>
          <w:lang w:val="bg-BG"/>
        </w:rPr>
        <w:t xml:space="preserve"> </w:t>
      </w:r>
      <w:r w:rsidR="006C198A" w:rsidRPr="00BB4F95">
        <w:rPr>
          <w:spacing w:val="-3"/>
          <w:lang w:val="en-GB"/>
        </w:rPr>
        <w:t>  </w:t>
      </w:r>
    </w:p>
    <w:p w:rsidR="00562966" w:rsidRPr="00945ED6" w:rsidRDefault="005D3E62" w:rsidP="00B8206D">
      <w:pPr>
        <w:pStyle w:val="JuPara"/>
        <w:rPr>
          <w:spacing w:val="-3"/>
          <w:lang w:val="bg-BG"/>
        </w:rPr>
      </w:pPr>
      <w:r w:rsidRPr="00E17978">
        <w:rPr>
          <w:spacing w:val="-3"/>
        </w:rPr>
        <w:fldChar w:fldCharType="begin"/>
      </w:r>
      <w:r w:rsidR="005911E9" w:rsidRPr="00945ED6">
        <w:rPr>
          <w:spacing w:val="-3"/>
          <w:lang w:val="bg-BG"/>
        </w:rPr>
        <w:instrText xml:space="preserve"> </w:instrText>
      </w:r>
      <w:r w:rsidR="005911E9" w:rsidRPr="00BB4F95">
        <w:rPr>
          <w:spacing w:val="-3"/>
          <w:lang w:val="en-GB"/>
        </w:rPr>
        <w:instrText>SEQ</w:instrText>
      </w:r>
      <w:r w:rsidR="005911E9" w:rsidRPr="00945ED6">
        <w:rPr>
          <w:spacing w:val="-3"/>
          <w:lang w:val="bg-BG"/>
        </w:rPr>
        <w:instrText xml:space="preserve"> </w:instrText>
      </w:r>
      <w:r w:rsidR="005911E9" w:rsidRPr="00BB4F95">
        <w:rPr>
          <w:spacing w:val="-3"/>
          <w:lang w:val="en-GB"/>
        </w:rPr>
        <w:instrText>level</w:instrText>
      </w:r>
      <w:r w:rsidR="005911E9" w:rsidRPr="00945ED6">
        <w:rPr>
          <w:spacing w:val="-3"/>
          <w:lang w:val="bg-BG"/>
        </w:rPr>
        <w:instrText>0 \*</w:instrText>
      </w:r>
      <w:r w:rsidR="005911E9" w:rsidRPr="00BB4F95">
        <w:rPr>
          <w:spacing w:val="-3"/>
          <w:lang w:val="en-GB"/>
        </w:rPr>
        <w:instrText>arabic</w:instrText>
      </w:r>
      <w:r w:rsidR="005911E9" w:rsidRPr="00945ED6">
        <w:rPr>
          <w:spacing w:val="-3"/>
          <w:lang w:val="bg-BG"/>
        </w:rPr>
        <w:instrText xml:space="preserve"> </w:instrText>
      </w:r>
      <w:r w:rsidRPr="00E17978">
        <w:rPr>
          <w:spacing w:val="-3"/>
        </w:rPr>
        <w:fldChar w:fldCharType="separate"/>
      </w:r>
      <w:r w:rsidR="00955550" w:rsidRPr="00945ED6">
        <w:rPr>
          <w:noProof/>
          <w:spacing w:val="-3"/>
          <w:lang w:val="bg-BG"/>
        </w:rPr>
        <w:t>91</w:t>
      </w:r>
      <w:r w:rsidRPr="00E17978">
        <w:rPr>
          <w:spacing w:val="-3"/>
        </w:rPr>
        <w:fldChar w:fldCharType="end"/>
      </w:r>
      <w:r w:rsidR="005911E9" w:rsidRPr="00945ED6">
        <w:rPr>
          <w:spacing w:val="-3"/>
          <w:lang w:val="bg-BG"/>
        </w:rPr>
        <w:t>.</w:t>
      </w:r>
      <w:r w:rsidR="00562966" w:rsidRPr="00945ED6">
        <w:rPr>
          <w:spacing w:val="-3"/>
          <w:lang w:val="bg-BG"/>
        </w:rPr>
        <w:t xml:space="preserve"> </w:t>
      </w:r>
      <w:r w:rsidR="00457392">
        <w:rPr>
          <w:spacing w:val="-3"/>
          <w:lang w:val="bg-BG"/>
        </w:rPr>
        <w:t>В случая</w:t>
      </w:r>
      <w:r w:rsidR="00562966">
        <w:rPr>
          <w:spacing w:val="-3"/>
          <w:lang w:val="bg-BG"/>
        </w:rPr>
        <w:t xml:space="preserve"> враждебното отношение на </w:t>
      </w:r>
      <w:r w:rsidR="00354C6E">
        <w:rPr>
          <w:spacing w:val="-3"/>
          <w:lang w:val="bg-BG"/>
        </w:rPr>
        <w:t>жалбоподателката</w:t>
      </w:r>
      <w:r w:rsidR="00562966">
        <w:rPr>
          <w:spacing w:val="-3"/>
          <w:lang w:val="bg-BG"/>
        </w:rPr>
        <w:t xml:space="preserve"> към демокрация</w:t>
      </w:r>
      <w:r w:rsidR="00457392">
        <w:rPr>
          <w:spacing w:val="-3"/>
          <w:lang w:val="bg-BG"/>
        </w:rPr>
        <w:t>та и независимостта на Латвия се доказва</w:t>
      </w:r>
      <w:r w:rsidR="00562966">
        <w:rPr>
          <w:spacing w:val="-3"/>
          <w:lang w:val="bg-BG"/>
        </w:rPr>
        <w:t xml:space="preserve"> от </w:t>
      </w:r>
      <w:r w:rsidR="00562966">
        <w:rPr>
          <w:spacing w:val="-3"/>
          <w:lang w:val="en-US"/>
        </w:rPr>
        <w:t>XXV</w:t>
      </w:r>
      <w:r w:rsidR="00562966" w:rsidRPr="00945ED6">
        <w:rPr>
          <w:spacing w:val="-3"/>
          <w:lang w:val="bg-BG"/>
        </w:rPr>
        <w:t xml:space="preserve"> </w:t>
      </w:r>
      <w:r w:rsidR="00562966">
        <w:rPr>
          <w:spacing w:val="-3"/>
          <w:lang w:val="bg-BG"/>
        </w:rPr>
        <w:t>конгр</w:t>
      </w:r>
      <w:r w:rsidR="00457392">
        <w:rPr>
          <w:spacing w:val="-3"/>
          <w:lang w:val="bg-BG"/>
        </w:rPr>
        <w:t>ес на ЛКП, по време на който тя</w:t>
      </w:r>
      <w:r w:rsidR="00562966">
        <w:rPr>
          <w:spacing w:val="-3"/>
          <w:lang w:val="bg-BG"/>
        </w:rPr>
        <w:t xml:space="preserve"> избира да не се присъедини към </w:t>
      </w:r>
      <w:r w:rsidR="00457392">
        <w:rPr>
          <w:spacing w:val="-3"/>
          <w:lang w:val="bg-BG"/>
        </w:rPr>
        <w:t>оттеглилите се от партията</w:t>
      </w:r>
      <w:r w:rsidR="00B6597D">
        <w:rPr>
          <w:spacing w:val="-3"/>
          <w:lang w:val="bg-BG"/>
        </w:rPr>
        <w:t xml:space="preserve"> </w:t>
      </w:r>
      <w:r w:rsidR="00562966">
        <w:rPr>
          <w:spacing w:val="-3"/>
          <w:lang w:val="bg-BG"/>
        </w:rPr>
        <w:t>делегати</w:t>
      </w:r>
      <w:r w:rsidR="00B6597D">
        <w:rPr>
          <w:spacing w:val="-3"/>
          <w:lang w:val="bg-BG"/>
        </w:rPr>
        <w:t xml:space="preserve"> дисиденти с прогресивно мнение, а вместо това продължава да поддържа</w:t>
      </w:r>
      <w:r w:rsidR="00562966">
        <w:rPr>
          <w:spacing w:val="-3"/>
          <w:lang w:val="bg-BG"/>
        </w:rPr>
        <w:t xml:space="preserve"> онези, които подкрепят </w:t>
      </w:r>
      <w:r w:rsidR="00147536">
        <w:rPr>
          <w:spacing w:val="-3"/>
          <w:lang w:val="bg-BG"/>
        </w:rPr>
        <w:t>„</w:t>
      </w:r>
      <w:r w:rsidR="00457392">
        <w:rPr>
          <w:spacing w:val="-3"/>
          <w:lang w:val="bg-BG"/>
        </w:rPr>
        <w:t>твърдата</w:t>
      </w:r>
      <w:r w:rsidR="00147536">
        <w:rPr>
          <w:spacing w:val="-3"/>
          <w:lang w:val="bg-BG"/>
        </w:rPr>
        <w:t>“</w:t>
      </w:r>
      <w:r w:rsidR="00562966">
        <w:rPr>
          <w:spacing w:val="-3"/>
          <w:lang w:val="bg-BG"/>
        </w:rPr>
        <w:t xml:space="preserve"> съветска политика (вж</w:t>
      </w:r>
      <w:r w:rsidR="00147536">
        <w:rPr>
          <w:spacing w:val="-3"/>
          <w:lang w:val="bg-BG"/>
        </w:rPr>
        <w:t>.</w:t>
      </w:r>
      <w:r w:rsidR="00562966">
        <w:rPr>
          <w:spacing w:val="-3"/>
          <w:lang w:val="bg-BG"/>
        </w:rPr>
        <w:t xml:space="preserve"> параграф 17 по-горе).</w:t>
      </w:r>
      <w:r w:rsidR="00457392" w:rsidRPr="00945ED6">
        <w:rPr>
          <w:spacing w:val="-3"/>
          <w:lang w:val="bg-BG"/>
        </w:rPr>
        <w:t xml:space="preserve"> Освен</w:t>
      </w:r>
      <w:r w:rsidR="00562966">
        <w:rPr>
          <w:spacing w:val="-3"/>
          <w:lang w:val="bg-BG"/>
        </w:rPr>
        <w:t xml:space="preserve"> това </w:t>
      </w:r>
      <w:r w:rsidR="00562966">
        <w:rPr>
          <w:iCs/>
          <w:lang w:val="bg-BG"/>
        </w:rPr>
        <w:t xml:space="preserve">Централният комитет за </w:t>
      </w:r>
      <w:r w:rsidR="00562966">
        <w:rPr>
          <w:iCs/>
          <w:lang w:val="bg-BG"/>
        </w:rPr>
        <w:lastRenderedPageBreak/>
        <w:t>на</w:t>
      </w:r>
      <w:r w:rsidR="00147536">
        <w:rPr>
          <w:iCs/>
          <w:lang w:val="bg-BG"/>
        </w:rPr>
        <w:t>дзор</w:t>
      </w:r>
      <w:r w:rsidR="00562966">
        <w:rPr>
          <w:iCs/>
          <w:lang w:val="bg-BG"/>
        </w:rPr>
        <w:t xml:space="preserve"> и проверка </w:t>
      </w:r>
      <w:r w:rsidR="00704036">
        <w:rPr>
          <w:iCs/>
          <w:lang w:val="bg-BG"/>
        </w:rPr>
        <w:t xml:space="preserve">е заемал водеща позиция във вътрешната структура на ЛКП, а </w:t>
      </w:r>
      <w:r w:rsidR="00354C6E">
        <w:rPr>
          <w:iCs/>
          <w:lang w:val="bg-BG"/>
        </w:rPr>
        <w:t>жалбоподателката</w:t>
      </w:r>
      <w:r w:rsidR="00704036">
        <w:rPr>
          <w:iCs/>
          <w:lang w:val="bg-BG"/>
        </w:rPr>
        <w:t xml:space="preserve"> е бил</w:t>
      </w:r>
      <w:r w:rsidR="00457392">
        <w:rPr>
          <w:iCs/>
          <w:lang w:val="bg-BG"/>
        </w:rPr>
        <w:t>а</w:t>
      </w:r>
      <w:r w:rsidR="00704036">
        <w:rPr>
          <w:iCs/>
          <w:lang w:val="bg-BG"/>
        </w:rPr>
        <w:t xml:space="preserve"> член на подкомит</w:t>
      </w:r>
      <w:r w:rsidR="00DA6E63">
        <w:rPr>
          <w:iCs/>
          <w:lang w:val="bg-BG"/>
        </w:rPr>
        <w:t>ета, който е отговарял за контрола</w:t>
      </w:r>
      <w:r w:rsidR="00B6597D">
        <w:rPr>
          <w:iCs/>
          <w:lang w:val="bg-BG"/>
        </w:rPr>
        <w:t xml:space="preserve"> при прилагането</w:t>
      </w:r>
      <w:r w:rsidR="00704036">
        <w:rPr>
          <w:iCs/>
          <w:lang w:val="bg-BG"/>
        </w:rPr>
        <w:t xml:space="preserve"> на партийните решения и политики. Повечето решения, взети от органите на ЛКП, отразяват изключително враждебно</w:t>
      </w:r>
      <w:r w:rsidR="00457392">
        <w:rPr>
          <w:iCs/>
          <w:lang w:val="bg-BG"/>
        </w:rPr>
        <w:t>то</w:t>
      </w:r>
      <w:r w:rsidR="00704036">
        <w:rPr>
          <w:iCs/>
          <w:lang w:val="bg-BG"/>
        </w:rPr>
        <w:t xml:space="preserve"> отношение към възстановяването на демократична и независима република. В тази връзка Правителството още веднъж се позовава на изявлението на Централния комитет на ЛКП от 13 януари 1991 г., с което се създава </w:t>
      </w:r>
      <w:r w:rsidR="00704036">
        <w:rPr>
          <w:lang w:val="bg-BG"/>
        </w:rPr>
        <w:t>Латвийският комитет за обществено спасение и се цели</w:t>
      </w:r>
      <w:r w:rsidR="00457392">
        <w:rPr>
          <w:lang w:val="bg-BG"/>
        </w:rPr>
        <w:t xml:space="preserve"> узурпиране на властта, макар и</w:t>
      </w:r>
      <w:r w:rsidR="00704036">
        <w:rPr>
          <w:lang w:val="bg-BG"/>
        </w:rPr>
        <w:t xml:space="preserve"> Правителството</w:t>
      </w:r>
      <w:r w:rsidR="00457392">
        <w:rPr>
          <w:lang w:val="bg-BG"/>
        </w:rPr>
        <w:t xml:space="preserve"> да</w:t>
      </w:r>
      <w:r w:rsidR="00704036">
        <w:rPr>
          <w:lang w:val="bg-BG"/>
        </w:rPr>
        <w:t xml:space="preserve"> признава, че </w:t>
      </w:r>
      <w:r w:rsidR="00354C6E">
        <w:rPr>
          <w:lang w:val="bg-BG"/>
        </w:rPr>
        <w:t>жалбоподателката</w:t>
      </w:r>
      <w:r w:rsidR="00704036">
        <w:rPr>
          <w:lang w:val="bg-BG"/>
        </w:rPr>
        <w:t xml:space="preserve"> не е присъствал</w:t>
      </w:r>
      <w:r w:rsidR="00457392">
        <w:rPr>
          <w:lang w:val="bg-BG"/>
        </w:rPr>
        <w:t>а</w:t>
      </w:r>
      <w:r w:rsidR="00B6597D">
        <w:rPr>
          <w:lang w:val="bg-BG"/>
        </w:rPr>
        <w:t xml:space="preserve"> лично на заседанието</w:t>
      </w:r>
      <w:r w:rsidR="00704036">
        <w:rPr>
          <w:lang w:val="bg-BG"/>
        </w:rPr>
        <w:t xml:space="preserve"> на тази дата. Накратко, като лице, което е отговаряло за</w:t>
      </w:r>
      <w:r w:rsidR="00DA6E63">
        <w:rPr>
          <w:lang w:val="bg-BG"/>
        </w:rPr>
        <w:t xml:space="preserve"> контрола </w:t>
      </w:r>
      <w:r w:rsidR="00B6597D">
        <w:rPr>
          <w:lang w:val="bg-BG"/>
        </w:rPr>
        <w:t xml:space="preserve">при прилагането </w:t>
      </w:r>
      <w:r w:rsidR="00DA6E63">
        <w:rPr>
          <w:lang w:val="bg-BG"/>
        </w:rPr>
        <w:t xml:space="preserve">на решенията на ЛКП, </w:t>
      </w:r>
      <w:r w:rsidR="00457392">
        <w:rPr>
          <w:lang w:val="bg-BG"/>
        </w:rPr>
        <w:t xml:space="preserve">във въпросния период </w:t>
      </w:r>
      <w:r w:rsidR="00354C6E">
        <w:rPr>
          <w:lang w:val="bg-BG"/>
        </w:rPr>
        <w:t>жалбоподателката</w:t>
      </w:r>
      <w:r w:rsidR="00DA6E63">
        <w:rPr>
          <w:lang w:val="bg-BG"/>
        </w:rPr>
        <w:t xml:space="preserve"> се е противопоставял</w:t>
      </w:r>
      <w:r w:rsidR="00457392">
        <w:rPr>
          <w:lang w:val="bg-BG"/>
        </w:rPr>
        <w:t>а</w:t>
      </w:r>
      <w:r w:rsidR="00DA6E63">
        <w:rPr>
          <w:lang w:val="bg-BG"/>
        </w:rPr>
        <w:t xml:space="preserve"> на незави</w:t>
      </w:r>
      <w:r w:rsidR="00457392">
        <w:rPr>
          <w:lang w:val="bg-BG"/>
        </w:rPr>
        <w:t>сима Латвия</w:t>
      </w:r>
      <w:r w:rsidR="00DA6E63">
        <w:rPr>
          <w:lang w:val="bg-BG"/>
        </w:rPr>
        <w:t>.</w:t>
      </w:r>
      <w:r w:rsidR="00704036">
        <w:rPr>
          <w:lang w:val="bg-BG"/>
        </w:rPr>
        <w:t xml:space="preserve"> </w:t>
      </w:r>
      <w:r w:rsidR="00562966">
        <w:rPr>
          <w:spacing w:val="-3"/>
          <w:lang w:val="bg-BG"/>
        </w:rPr>
        <w:t xml:space="preserve">  </w:t>
      </w:r>
      <w:r w:rsidR="00562966" w:rsidRPr="00945ED6">
        <w:rPr>
          <w:spacing w:val="-3"/>
          <w:lang w:val="bg-BG"/>
        </w:rPr>
        <w:t xml:space="preserve"> </w:t>
      </w:r>
      <w:r w:rsidR="00562966">
        <w:rPr>
          <w:spacing w:val="-3"/>
          <w:lang w:val="bg-BG"/>
        </w:rPr>
        <w:t xml:space="preserve">  </w:t>
      </w:r>
      <w:r w:rsidR="005911E9" w:rsidRPr="00BB4F95">
        <w:rPr>
          <w:spacing w:val="-3"/>
          <w:lang w:val="en-GB"/>
        </w:rPr>
        <w:t>  </w:t>
      </w:r>
    </w:p>
    <w:p w:rsidR="00DA6E63" w:rsidRPr="00945ED6" w:rsidRDefault="005D3E62" w:rsidP="00B8206D">
      <w:pPr>
        <w:pStyle w:val="JuPara"/>
        <w:rPr>
          <w:lang w:val="bg-BG"/>
        </w:rPr>
      </w:pPr>
      <w:r w:rsidRPr="00E17978">
        <w:fldChar w:fldCharType="begin"/>
      </w:r>
      <w:r w:rsidR="00446673" w:rsidRPr="00945ED6">
        <w:rPr>
          <w:lang w:val="bg-BG"/>
        </w:rPr>
        <w:instrText xml:space="preserve"> </w:instrText>
      </w:r>
      <w:r w:rsidR="00446673" w:rsidRPr="00BB4F95">
        <w:rPr>
          <w:lang w:val="en-GB"/>
        </w:rPr>
        <w:instrText>SEQ</w:instrText>
      </w:r>
      <w:r w:rsidR="00446673" w:rsidRPr="00945ED6">
        <w:rPr>
          <w:lang w:val="bg-BG"/>
        </w:rPr>
        <w:instrText xml:space="preserve"> </w:instrText>
      </w:r>
      <w:r w:rsidR="00446673" w:rsidRPr="00BB4F95">
        <w:rPr>
          <w:lang w:val="en-GB"/>
        </w:rPr>
        <w:instrText>level</w:instrText>
      </w:r>
      <w:r w:rsidR="00446673" w:rsidRPr="00945ED6">
        <w:rPr>
          <w:lang w:val="bg-BG"/>
        </w:rPr>
        <w:instrText>0 \*</w:instrText>
      </w:r>
      <w:r w:rsidR="00446673" w:rsidRPr="00BB4F95">
        <w:rPr>
          <w:lang w:val="en-GB"/>
        </w:rPr>
        <w:instrText>arabic</w:instrText>
      </w:r>
      <w:r w:rsidR="00446673" w:rsidRPr="00945ED6">
        <w:rPr>
          <w:lang w:val="bg-BG"/>
        </w:rPr>
        <w:instrText xml:space="preserve"> </w:instrText>
      </w:r>
      <w:r w:rsidRPr="00E17978">
        <w:fldChar w:fldCharType="separate"/>
      </w:r>
      <w:r w:rsidR="00955550" w:rsidRPr="00945ED6">
        <w:rPr>
          <w:noProof/>
          <w:lang w:val="bg-BG"/>
        </w:rPr>
        <w:t>92</w:t>
      </w:r>
      <w:r w:rsidRPr="00E17978">
        <w:fldChar w:fldCharType="end"/>
      </w:r>
      <w:r w:rsidR="00446673" w:rsidRPr="00945ED6">
        <w:rPr>
          <w:lang w:val="bg-BG"/>
        </w:rPr>
        <w:t>.</w:t>
      </w:r>
      <w:r w:rsidR="00DA6E63">
        <w:rPr>
          <w:lang w:val="bg-BG"/>
        </w:rPr>
        <w:t xml:space="preserve"> Въпреки че позицията на </w:t>
      </w:r>
      <w:r w:rsidR="00354C6E">
        <w:rPr>
          <w:lang w:val="bg-BG"/>
        </w:rPr>
        <w:t>жалбоподателката</w:t>
      </w:r>
      <w:r w:rsidR="00DA6E63">
        <w:rPr>
          <w:lang w:val="bg-BG"/>
        </w:rPr>
        <w:t xml:space="preserve"> в рамките на ЛКП сама по себе си е доста</w:t>
      </w:r>
      <w:r w:rsidR="00457392">
        <w:rPr>
          <w:lang w:val="bg-BG"/>
        </w:rPr>
        <w:t>тъчна, за да покаже активното ѝ</w:t>
      </w:r>
      <w:r w:rsidR="00DA6E63">
        <w:rPr>
          <w:lang w:val="bg-BG"/>
        </w:rPr>
        <w:t xml:space="preserve"> участие в дейността на партията, националните съдилища са основали доводите си по</w:t>
      </w:r>
      <w:r w:rsidR="00457392">
        <w:rPr>
          <w:lang w:val="bg-BG"/>
        </w:rPr>
        <w:t>-скоро на степента на личната ѝ</w:t>
      </w:r>
      <w:r w:rsidR="00DA6E63">
        <w:rPr>
          <w:lang w:val="bg-BG"/>
        </w:rPr>
        <w:t xml:space="preserve"> отговорност, отколкото на формално з</w:t>
      </w:r>
      <w:r w:rsidR="00F65887">
        <w:rPr>
          <w:lang w:val="bg-BG"/>
        </w:rPr>
        <w:t>аключение по отношение на статут</w:t>
      </w:r>
      <w:r w:rsidR="00457392">
        <w:rPr>
          <w:lang w:val="bg-BG"/>
        </w:rPr>
        <w:t>а ѝ</w:t>
      </w:r>
      <w:r w:rsidR="00DA6E63">
        <w:rPr>
          <w:lang w:val="bg-BG"/>
        </w:rPr>
        <w:t xml:space="preserve"> в организационната структура на партията. Следователно П</w:t>
      </w:r>
      <w:r w:rsidR="00B6597D">
        <w:rPr>
          <w:lang w:val="bg-BG"/>
        </w:rPr>
        <w:t xml:space="preserve">равителството не се съгласява със заключението </w:t>
      </w:r>
      <w:r w:rsidR="00DA6E63">
        <w:rPr>
          <w:lang w:val="bg-BG"/>
        </w:rPr>
        <w:t xml:space="preserve">на </w:t>
      </w:r>
      <w:r w:rsidR="00A9269D">
        <w:rPr>
          <w:lang w:val="bg-BG"/>
        </w:rPr>
        <w:t>С</w:t>
      </w:r>
      <w:r w:rsidR="005E1FB4">
        <w:rPr>
          <w:lang w:val="bg-BG"/>
        </w:rPr>
        <w:t>ъдебния състав</w:t>
      </w:r>
      <w:r w:rsidR="00DA6E63">
        <w:rPr>
          <w:lang w:val="bg-BG"/>
        </w:rPr>
        <w:t xml:space="preserve">, че разглеждането на делото на </w:t>
      </w:r>
      <w:r w:rsidR="00354C6E">
        <w:rPr>
          <w:lang w:val="bg-BG"/>
        </w:rPr>
        <w:t>жалбоподателката</w:t>
      </w:r>
      <w:r w:rsidR="00DA6E63">
        <w:rPr>
          <w:lang w:val="bg-BG"/>
        </w:rPr>
        <w:t xml:space="preserve"> от националните съдилища е било до голяма степен формално и недостатъчно. </w:t>
      </w:r>
      <w:r w:rsidR="00446673" w:rsidRPr="00BB4F95">
        <w:rPr>
          <w:lang w:val="en-GB"/>
        </w:rPr>
        <w:t>  </w:t>
      </w:r>
    </w:p>
    <w:p w:rsidR="002259EA"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93</w:t>
      </w:r>
      <w:r w:rsidRPr="00E17978">
        <w:fldChar w:fldCharType="end"/>
      </w:r>
      <w:r w:rsidR="005911E9" w:rsidRPr="00945ED6">
        <w:rPr>
          <w:lang w:val="bg-BG"/>
        </w:rPr>
        <w:t>.</w:t>
      </w:r>
      <w:r w:rsidR="002259EA">
        <w:rPr>
          <w:lang w:val="bg-BG"/>
        </w:rPr>
        <w:t xml:space="preserve"> </w:t>
      </w:r>
      <w:r w:rsidR="004F33D5" w:rsidRPr="00B6597D">
        <w:rPr>
          <w:lang w:val="bg-BG"/>
        </w:rPr>
        <w:t>Още повече настоящата дейност</w:t>
      </w:r>
      <w:r w:rsidR="002259EA">
        <w:rPr>
          <w:lang w:val="bg-BG"/>
        </w:rPr>
        <w:t xml:space="preserve"> на </w:t>
      </w:r>
      <w:r w:rsidR="00354C6E">
        <w:rPr>
          <w:lang w:val="bg-BG"/>
        </w:rPr>
        <w:t>жалбоподателката</w:t>
      </w:r>
      <w:r w:rsidR="002259EA">
        <w:rPr>
          <w:lang w:val="bg-BG"/>
        </w:rPr>
        <w:t xml:space="preserve"> продължава да</w:t>
      </w:r>
      <w:r w:rsidR="00457392">
        <w:rPr>
          <w:lang w:val="bg-BG"/>
        </w:rPr>
        <w:t xml:space="preserve"> оправдава</w:t>
      </w:r>
      <w:r w:rsidR="006B0DF9">
        <w:rPr>
          <w:lang w:val="bg-BG"/>
        </w:rPr>
        <w:t xml:space="preserve"> основанието за</w:t>
      </w:r>
      <w:r w:rsidR="00457392">
        <w:rPr>
          <w:lang w:val="bg-BG"/>
        </w:rPr>
        <w:t xml:space="preserve"> недопускането ѝ да се кандидатира на изборите</w:t>
      </w:r>
      <w:r w:rsidR="00A34191">
        <w:rPr>
          <w:lang w:val="bg-BG"/>
        </w:rPr>
        <w:t xml:space="preserve">. </w:t>
      </w:r>
      <w:r w:rsidR="00A9269D">
        <w:rPr>
          <w:lang w:val="bg-BG"/>
        </w:rPr>
        <w:t>Като се позовава</w:t>
      </w:r>
      <w:r w:rsidR="002259EA">
        <w:rPr>
          <w:lang w:val="bg-BG"/>
        </w:rPr>
        <w:t xml:space="preserve"> на многобройни</w:t>
      </w:r>
      <w:r w:rsidR="00A34191">
        <w:rPr>
          <w:lang w:val="bg-BG"/>
        </w:rPr>
        <w:t xml:space="preserve"> печатни статии, Правителството твърди</w:t>
      </w:r>
      <w:r w:rsidR="002259EA">
        <w:rPr>
          <w:lang w:val="bg-BG"/>
        </w:rPr>
        <w:t xml:space="preserve">, че политическите действия на </w:t>
      </w:r>
      <w:r w:rsidR="00354C6E">
        <w:rPr>
          <w:lang w:val="bg-BG"/>
        </w:rPr>
        <w:t>жалбоподателката</w:t>
      </w:r>
      <w:r w:rsidR="002259EA">
        <w:rPr>
          <w:lang w:val="bg-BG"/>
        </w:rPr>
        <w:t xml:space="preserve"> са част от „внимателно изготвен сценарий</w:t>
      </w:r>
      <w:r w:rsidR="00A9269D">
        <w:rPr>
          <w:lang w:val="bg-BG"/>
        </w:rPr>
        <w:t>“</w:t>
      </w:r>
      <w:r w:rsidR="002259EA">
        <w:rPr>
          <w:lang w:val="bg-BG"/>
        </w:rPr>
        <w:t>, който има за цел да накърни интересите на Латвия, като я отдалечи от Европейския съюз и НАТО и я сближи с</w:t>
      </w:r>
      <w:r w:rsidR="00A34191">
        <w:rPr>
          <w:lang w:val="bg-BG"/>
        </w:rPr>
        <w:t xml:space="preserve"> Общността на независимите държави</w:t>
      </w:r>
      <w:r w:rsidR="002259EA">
        <w:rPr>
          <w:lang w:val="bg-BG"/>
        </w:rPr>
        <w:t xml:space="preserve">. Правителството се позовава на конкретни изявления, в които </w:t>
      </w:r>
      <w:r w:rsidR="00354C6E">
        <w:rPr>
          <w:lang w:val="bg-BG"/>
        </w:rPr>
        <w:t>жалбоподателката</w:t>
      </w:r>
      <w:r w:rsidR="002259EA">
        <w:rPr>
          <w:lang w:val="bg-BG"/>
        </w:rPr>
        <w:t xml:space="preserve"> критикува настоящата политика на държавата спрямо рус</w:t>
      </w:r>
      <w:r w:rsidR="00A34191">
        <w:rPr>
          <w:lang w:val="bg-BG"/>
        </w:rPr>
        <w:t>коговорящото мнозинство и новия</w:t>
      </w:r>
      <w:r w:rsidR="002259EA">
        <w:rPr>
          <w:lang w:val="bg-BG"/>
        </w:rPr>
        <w:t xml:space="preserve"> </w:t>
      </w:r>
      <w:r w:rsidR="00A34191" w:rsidRPr="00A34191">
        <w:rPr>
          <w:lang w:val="bg-BG"/>
        </w:rPr>
        <w:t>Закон за езика</w:t>
      </w:r>
      <w:r w:rsidR="00A34191">
        <w:rPr>
          <w:lang w:val="bg-BG"/>
        </w:rPr>
        <w:t>; Правителството осъжда</w:t>
      </w:r>
      <w:r w:rsidR="002259EA">
        <w:rPr>
          <w:lang w:val="bg-BG"/>
        </w:rPr>
        <w:t xml:space="preserve"> и ролята на </w:t>
      </w:r>
      <w:r w:rsidR="00354C6E">
        <w:rPr>
          <w:lang w:val="bg-BG"/>
        </w:rPr>
        <w:t>жалбоподателката</w:t>
      </w:r>
      <w:r w:rsidR="00A34191">
        <w:rPr>
          <w:lang w:val="bg-BG"/>
        </w:rPr>
        <w:t xml:space="preserve"> за</w:t>
      </w:r>
      <w:r w:rsidR="006B0DF9">
        <w:rPr>
          <w:lang w:val="bg-BG"/>
        </w:rPr>
        <w:t xml:space="preserve"> организиране </w:t>
      </w:r>
      <w:r w:rsidR="002259EA">
        <w:rPr>
          <w:lang w:val="bg-BG"/>
        </w:rPr>
        <w:t>на обществен</w:t>
      </w:r>
      <w:r w:rsidR="00A34191">
        <w:rPr>
          <w:lang w:val="bg-BG"/>
        </w:rPr>
        <w:t>и митинги на датите, на които преди това са</w:t>
      </w:r>
      <w:r w:rsidR="006B0DF9">
        <w:rPr>
          <w:lang w:val="bg-BG"/>
        </w:rPr>
        <w:t xml:space="preserve"> се отбелязвали</w:t>
      </w:r>
      <w:r w:rsidR="00A34191">
        <w:rPr>
          <w:lang w:val="bg-BG"/>
        </w:rPr>
        <w:t xml:space="preserve"> </w:t>
      </w:r>
      <w:r w:rsidR="006B0DF9" w:rsidRPr="00C1610D">
        <w:rPr>
          <w:lang w:val="bg-BG"/>
        </w:rPr>
        <w:t>съветските празници</w:t>
      </w:r>
      <w:r w:rsidR="002259EA" w:rsidRPr="00C1610D">
        <w:rPr>
          <w:lang w:val="bg-BG"/>
        </w:rPr>
        <w:t>.</w:t>
      </w:r>
      <w:r w:rsidR="002259EA">
        <w:rPr>
          <w:lang w:val="bg-BG"/>
        </w:rPr>
        <w:t xml:space="preserve">  </w:t>
      </w:r>
      <w:r w:rsidR="005911E9" w:rsidRPr="00BB4F95">
        <w:rPr>
          <w:lang w:val="en-GB"/>
        </w:rPr>
        <w:t>  </w:t>
      </w:r>
    </w:p>
    <w:p w:rsidR="002259EA" w:rsidRPr="00945ED6" w:rsidRDefault="005D3E62" w:rsidP="00B8206D">
      <w:pPr>
        <w:pStyle w:val="JuPara"/>
        <w:rPr>
          <w:b/>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94</w:t>
      </w:r>
      <w:r w:rsidRPr="00E17978">
        <w:fldChar w:fldCharType="end"/>
      </w:r>
      <w:r w:rsidR="005911E9" w:rsidRPr="00945ED6">
        <w:rPr>
          <w:lang w:val="bg-BG"/>
        </w:rPr>
        <w:t>.</w:t>
      </w:r>
      <w:r w:rsidR="002259EA">
        <w:rPr>
          <w:lang w:val="bg-BG"/>
        </w:rPr>
        <w:t xml:space="preserve"> Правителството набляга на факта, че </w:t>
      </w:r>
      <w:r w:rsidR="00F14129">
        <w:rPr>
          <w:lang w:val="bg-BG"/>
        </w:rPr>
        <w:t xml:space="preserve">всеки следващ парламент </w:t>
      </w:r>
      <w:r w:rsidR="002259EA">
        <w:rPr>
          <w:lang w:val="bg-BG"/>
        </w:rPr>
        <w:t>след възстановяването на Конституцията от 1922 г.</w:t>
      </w:r>
      <w:r w:rsidR="00F14129">
        <w:rPr>
          <w:lang w:val="bg-BG"/>
        </w:rPr>
        <w:t xml:space="preserve"> е разглеждал нужда</w:t>
      </w:r>
      <w:r w:rsidR="00A34191">
        <w:rPr>
          <w:lang w:val="bg-BG"/>
        </w:rPr>
        <w:t xml:space="preserve">та да се запазят ограниченията </w:t>
      </w:r>
      <w:r w:rsidR="004B3355">
        <w:rPr>
          <w:lang w:val="bg-BG"/>
        </w:rPr>
        <w:t>спрямо</w:t>
      </w:r>
      <w:r w:rsidR="00F14129">
        <w:rPr>
          <w:lang w:val="bg-BG"/>
        </w:rPr>
        <w:t xml:space="preserve"> лица, които са били активни членове на КПСС или ЛКП след 13 януари 1991 г. Това периодично преразглеждане конституира установена парламентарна практика и показва, че ограничението, за което става въпрос, има временен характер. </w:t>
      </w:r>
      <w:r w:rsidR="005E1FB4">
        <w:rPr>
          <w:lang w:val="bg-BG"/>
        </w:rPr>
        <w:t>Съдебният състав не е отдал</w:t>
      </w:r>
      <w:r w:rsidR="00F14129">
        <w:rPr>
          <w:lang w:val="bg-BG"/>
        </w:rPr>
        <w:t xml:space="preserve"> необходимата значимост на този факт. </w:t>
      </w:r>
      <w:r w:rsidR="002259EA">
        <w:rPr>
          <w:lang w:val="bg-BG"/>
        </w:rPr>
        <w:t xml:space="preserve"> </w:t>
      </w:r>
      <w:r w:rsidR="005911E9" w:rsidRPr="00BB4F95">
        <w:rPr>
          <w:b/>
          <w:lang w:val="en-GB"/>
        </w:rPr>
        <w:t>  </w:t>
      </w:r>
    </w:p>
    <w:p w:rsidR="005911E9" w:rsidRPr="00945ED6" w:rsidRDefault="005D3E62" w:rsidP="00C051AB">
      <w:pPr>
        <w:pStyle w:val="JuPara"/>
        <w:rPr>
          <w:lang w:val="bg-BG"/>
        </w:rPr>
      </w:pPr>
      <w:r w:rsidRPr="00E17978">
        <w:lastRenderedPageBreak/>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95</w:t>
      </w:r>
      <w:r w:rsidRPr="00E17978">
        <w:fldChar w:fldCharType="end"/>
      </w:r>
      <w:r w:rsidR="005911E9" w:rsidRPr="00945ED6">
        <w:rPr>
          <w:lang w:val="bg-BG"/>
        </w:rPr>
        <w:t>.</w:t>
      </w:r>
      <w:r w:rsidR="00F14129" w:rsidRPr="00945ED6">
        <w:rPr>
          <w:lang w:val="bg-BG"/>
        </w:rPr>
        <w:t xml:space="preserve"> </w:t>
      </w:r>
      <w:r w:rsidR="00F14129">
        <w:rPr>
          <w:lang w:val="bg-BG"/>
        </w:rPr>
        <w:t>И накрая Правителството подчертава факта, че КПСС, чрез подч</w:t>
      </w:r>
      <w:r w:rsidR="006B0DF9">
        <w:rPr>
          <w:lang w:val="bg-BG"/>
        </w:rPr>
        <w:t>инените си партийни организации</w:t>
      </w:r>
      <w:r w:rsidR="00F14129">
        <w:rPr>
          <w:lang w:val="bg-BG"/>
        </w:rPr>
        <w:t xml:space="preserve"> в рамките на Съв</w:t>
      </w:r>
      <w:r w:rsidR="0029722C">
        <w:rPr>
          <w:lang w:val="bg-BG"/>
        </w:rPr>
        <w:t xml:space="preserve">етския съюз и </w:t>
      </w:r>
      <w:r w:rsidR="00F57B1C">
        <w:rPr>
          <w:lang w:val="bg-BG"/>
        </w:rPr>
        <w:t xml:space="preserve">в </w:t>
      </w:r>
      <w:r w:rsidR="0029722C">
        <w:rPr>
          <w:lang w:val="bg-BG"/>
        </w:rPr>
        <w:t xml:space="preserve">други </w:t>
      </w:r>
      <w:r w:rsidR="00F57B1C">
        <w:rPr>
          <w:lang w:val="bg-BG"/>
        </w:rPr>
        <w:t>държави от</w:t>
      </w:r>
      <w:r w:rsidR="0029722C">
        <w:rPr>
          <w:lang w:val="bg-BG"/>
        </w:rPr>
        <w:t xml:space="preserve"> Централна и И</w:t>
      </w:r>
      <w:r w:rsidR="00F14129">
        <w:rPr>
          <w:lang w:val="bg-BG"/>
        </w:rPr>
        <w:t xml:space="preserve">зточна Европа, трябва да се разглежда като </w:t>
      </w:r>
      <w:r w:rsidR="00A34191">
        <w:rPr>
          <w:lang w:val="bg-BG"/>
        </w:rPr>
        <w:t>единствена</w:t>
      </w:r>
      <w:r w:rsidR="006B0DF9">
        <w:rPr>
          <w:lang w:val="bg-BG"/>
        </w:rPr>
        <w:t>та</w:t>
      </w:r>
      <w:r w:rsidR="00A34191">
        <w:rPr>
          <w:lang w:val="bg-BG"/>
        </w:rPr>
        <w:t xml:space="preserve"> партия, която е контролирал</w:t>
      </w:r>
      <w:r w:rsidR="006B0DF9">
        <w:rPr>
          <w:lang w:val="bg-BG"/>
        </w:rPr>
        <w:t>а всички сектори</w:t>
      </w:r>
      <w:r w:rsidR="00F14129">
        <w:rPr>
          <w:lang w:val="bg-BG"/>
        </w:rPr>
        <w:t xml:space="preserve"> на властта, както и „живота и ума</w:t>
      </w:r>
      <w:r w:rsidR="00F57B1C">
        <w:rPr>
          <w:lang w:val="bg-BG"/>
        </w:rPr>
        <w:t>“</w:t>
      </w:r>
      <w:r w:rsidR="00F14129">
        <w:rPr>
          <w:lang w:val="bg-BG"/>
        </w:rPr>
        <w:t xml:space="preserve"> на народа, </w:t>
      </w:r>
      <w:r w:rsidR="00F57B1C">
        <w:rPr>
          <w:lang w:val="bg-BG"/>
        </w:rPr>
        <w:t>в продължение на</w:t>
      </w:r>
      <w:r w:rsidR="00F14129">
        <w:rPr>
          <w:lang w:val="bg-BG"/>
        </w:rPr>
        <w:t xml:space="preserve"> много десетилетия след Втората световна война.</w:t>
      </w:r>
      <w:r w:rsidR="00C051AB">
        <w:rPr>
          <w:lang w:val="bg-BG"/>
        </w:rPr>
        <w:t xml:space="preserve"> Затова би</w:t>
      </w:r>
      <w:r w:rsidR="0029722C">
        <w:rPr>
          <w:lang w:val="bg-BG"/>
        </w:rPr>
        <w:t>вшите комунистически държави в Централна и И</w:t>
      </w:r>
      <w:r w:rsidR="00C051AB">
        <w:rPr>
          <w:lang w:val="bg-BG"/>
        </w:rPr>
        <w:t>зточна Европа трябва да се разграничават от други държави, в които една политическа партия може да се приема като заплаха за националната сигурност и други жизненоважни интереси в контекста на установената рамка на демократичните ин</w:t>
      </w:r>
      <w:r w:rsidR="00FF6F0A">
        <w:rPr>
          <w:lang w:val="bg-BG"/>
        </w:rPr>
        <w:t>ституции. Младите демокрации в</w:t>
      </w:r>
      <w:r w:rsidR="0029722C">
        <w:rPr>
          <w:lang w:val="bg-BG"/>
        </w:rPr>
        <w:t xml:space="preserve"> Централна и И</w:t>
      </w:r>
      <w:r w:rsidR="00C051AB">
        <w:rPr>
          <w:lang w:val="bg-BG"/>
        </w:rPr>
        <w:t>зточна Европа са по</w:t>
      </w:r>
      <w:r w:rsidR="00FF6F0A">
        <w:rPr>
          <w:lang w:val="bg-BG"/>
        </w:rPr>
        <w:t>-чувствителни от демокрациите в</w:t>
      </w:r>
      <w:r w:rsidR="00C051AB">
        <w:rPr>
          <w:lang w:val="bg-BG"/>
        </w:rPr>
        <w:t xml:space="preserve"> други</w:t>
      </w:r>
      <w:r w:rsidR="00F57B1C">
        <w:rPr>
          <w:lang w:val="bg-BG"/>
        </w:rPr>
        <w:t>те</w:t>
      </w:r>
      <w:r w:rsidR="00C051AB">
        <w:rPr>
          <w:lang w:val="bg-BG"/>
        </w:rPr>
        <w:t xml:space="preserve"> европейски страни към застрашаването на демократичния режим, идващо от възраждането на идеи, сходни с тези на КПСС и</w:t>
      </w:r>
      <w:r w:rsidR="006B0DF9">
        <w:rPr>
          <w:lang w:val="bg-BG"/>
        </w:rPr>
        <w:t xml:space="preserve"> ЛКП. С оглед на тези конкретни</w:t>
      </w:r>
      <w:r w:rsidR="00C051AB">
        <w:rPr>
          <w:lang w:val="bg-BG"/>
        </w:rPr>
        <w:t xml:space="preserve"> обстоятелства Правителството смята, че латвийски</w:t>
      </w:r>
      <w:r w:rsidR="00FF6F0A">
        <w:rPr>
          <w:lang w:val="bg-BG"/>
        </w:rPr>
        <w:t>те власти могат най-добре</w:t>
      </w:r>
      <w:r w:rsidR="00C051AB">
        <w:rPr>
          <w:lang w:val="bg-BG"/>
        </w:rPr>
        <w:t xml:space="preserve"> да оценят стъпките, необходими за защита на демократичния режим, включително чрез мер</w:t>
      </w:r>
      <w:r w:rsidR="00FF6F0A">
        <w:rPr>
          <w:lang w:val="bg-BG"/>
        </w:rPr>
        <w:t>к</w:t>
      </w:r>
      <w:r w:rsidR="00C051AB">
        <w:rPr>
          <w:lang w:val="bg-BG"/>
        </w:rPr>
        <w:t xml:space="preserve">и, подобни на разискваните в настоящото дело.   </w:t>
      </w:r>
      <w:r w:rsidR="005911E9" w:rsidRPr="00BB4F95">
        <w:rPr>
          <w:lang w:val="en-GB"/>
        </w:rPr>
        <w:t>  </w:t>
      </w:r>
    </w:p>
    <w:p w:rsidR="005911E9" w:rsidRPr="00945ED6" w:rsidRDefault="006B0DF9" w:rsidP="005911E9">
      <w:pPr>
        <w:pStyle w:val="JuHA"/>
        <w:rPr>
          <w:lang w:val="bg-BG"/>
        </w:rPr>
      </w:pPr>
      <w:r>
        <w:rPr>
          <w:lang w:val="bg-BG"/>
        </w:rPr>
        <w:t>В</w:t>
      </w:r>
      <w:r w:rsidR="00CD7E2A" w:rsidRPr="00945ED6">
        <w:rPr>
          <w:lang w:val="bg-BG"/>
        </w:rPr>
        <w:t>.</w:t>
      </w:r>
      <w:r w:rsidR="00CD7E2A">
        <w:t>  </w:t>
      </w:r>
      <w:r w:rsidR="00A417AF" w:rsidRPr="00945ED6">
        <w:rPr>
          <w:lang w:val="bg-BG"/>
        </w:rPr>
        <w:t>Преценка</w:t>
      </w:r>
      <w:r w:rsidR="00AE3B72">
        <w:rPr>
          <w:lang w:val="bg-BG"/>
        </w:rPr>
        <w:t>та</w:t>
      </w:r>
      <w:r w:rsidR="00A417AF" w:rsidRPr="00945ED6">
        <w:rPr>
          <w:lang w:val="bg-BG"/>
        </w:rPr>
        <w:t xml:space="preserve"> на Съда</w:t>
      </w:r>
    </w:p>
    <w:p w:rsidR="005911E9" w:rsidRPr="00A417AF" w:rsidRDefault="005911E9" w:rsidP="005911E9">
      <w:pPr>
        <w:pStyle w:val="JuH1"/>
        <w:rPr>
          <w:lang w:val="bg-BG"/>
        </w:rPr>
      </w:pPr>
      <w:r w:rsidRPr="00945ED6">
        <w:rPr>
          <w:lang w:val="bg-BG"/>
        </w:rPr>
        <w:t>1.</w:t>
      </w:r>
      <w:r w:rsidRPr="00E17978">
        <w:t>  </w:t>
      </w:r>
      <w:r w:rsidR="00A417AF">
        <w:rPr>
          <w:lang w:val="bg-BG"/>
        </w:rPr>
        <w:t>Спорните факти</w:t>
      </w:r>
    </w:p>
    <w:p w:rsidR="00B05716" w:rsidRDefault="005D3E62" w:rsidP="00A417AF">
      <w:pPr>
        <w:pStyle w:val="JuPara"/>
        <w:rPr>
          <w:lang w:val="bg-BG"/>
        </w:rPr>
      </w:pPr>
      <w:r w:rsidRPr="00B8206D">
        <w:rPr>
          <w:rStyle w:val="JuParaChar1"/>
          <w:lang w:val="en-GB"/>
        </w:rPr>
        <w:fldChar w:fldCharType="begin"/>
      </w:r>
      <w:r w:rsidR="009727FB" w:rsidRPr="00945ED6">
        <w:rPr>
          <w:rStyle w:val="JuParaChar1"/>
          <w:lang w:val="bg-BG"/>
        </w:rPr>
        <w:instrText xml:space="preserve"> </w:instrText>
      </w:r>
      <w:r w:rsidR="009727FB" w:rsidRPr="00B8206D">
        <w:rPr>
          <w:rStyle w:val="JuParaChar1"/>
          <w:lang w:val="en-GB"/>
        </w:rPr>
        <w:instrText>SEQ</w:instrText>
      </w:r>
      <w:r w:rsidR="009727FB" w:rsidRPr="00945ED6">
        <w:rPr>
          <w:rStyle w:val="JuParaChar1"/>
          <w:lang w:val="bg-BG"/>
        </w:rPr>
        <w:instrText xml:space="preserve"> </w:instrText>
      </w:r>
      <w:r w:rsidR="009727FB" w:rsidRPr="00B8206D">
        <w:rPr>
          <w:rStyle w:val="JuParaChar1"/>
          <w:lang w:val="en-GB"/>
        </w:rPr>
        <w:instrText>level</w:instrText>
      </w:r>
      <w:r w:rsidR="009727FB" w:rsidRPr="00945ED6">
        <w:rPr>
          <w:rStyle w:val="JuParaChar1"/>
          <w:lang w:val="bg-BG"/>
        </w:rPr>
        <w:instrText>0 \*</w:instrText>
      </w:r>
      <w:r w:rsidR="009727FB" w:rsidRPr="00B8206D">
        <w:rPr>
          <w:rStyle w:val="JuParaChar1"/>
          <w:lang w:val="en-GB"/>
        </w:rPr>
        <w:instrText>arabic</w:instrText>
      </w:r>
      <w:r w:rsidR="009727FB" w:rsidRPr="00945ED6">
        <w:rPr>
          <w:rStyle w:val="JuParaChar1"/>
          <w:lang w:val="bg-BG"/>
        </w:rPr>
        <w:instrText xml:space="preserve"> </w:instrText>
      </w:r>
      <w:r w:rsidRPr="00B8206D">
        <w:rPr>
          <w:rStyle w:val="JuParaChar1"/>
          <w:lang w:val="en-GB"/>
        </w:rPr>
        <w:fldChar w:fldCharType="separate"/>
      </w:r>
      <w:r w:rsidR="00955550" w:rsidRPr="00945ED6">
        <w:rPr>
          <w:rStyle w:val="JuParaChar1"/>
          <w:noProof/>
          <w:lang w:val="bg-BG"/>
        </w:rPr>
        <w:t>96</w:t>
      </w:r>
      <w:r w:rsidRPr="00B8206D">
        <w:rPr>
          <w:rStyle w:val="JuParaChar1"/>
          <w:lang w:val="en-GB"/>
        </w:rPr>
        <w:fldChar w:fldCharType="end"/>
      </w:r>
      <w:r w:rsidR="009727FB" w:rsidRPr="00945ED6">
        <w:rPr>
          <w:rStyle w:val="JuParaChar1"/>
          <w:lang w:val="bg-BG"/>
        </w:rPr>
        <w:t>.</w:t>
      </w:r>
      <w:r w:rsidR="00A417AF">
        <w:rPr>
          <w:rStyle w:val="JuParaChar1"/>
          <w:lang w:val="bg-BG"/>
        </w:rPr>
        <w:t xml:space="preserve"> На първо място Съдът отбелязва, че страните по делот</w:t>
      </w:r>
      <w:r w:rsidR="00FF6F0A">
        <w:rPr>
          <w:rStyle w:val="JuParaChar1"/>
          <w:lang w:val="bg-BG"/>
        </w:rPr>
        <w:t>о имат разногласия относно различни</w:t>
      </w:r>
      <w:r w:rsidR="00A417AF">
        <w:rPr>
          <w:rStyle w:val="JuParaChar1"/>
          <w:lang w:val="bg-BG"/>
        </w:rPr>
        <w:t xml:space="preserve"> исторически събития. Така например, </w:t>
      </w:r>
      <w:r w:rsidR="00354C6E">
        <w:rPr>
          <w:rStyle w:val="JuParaChar1"/>
          <w:lang w:val="bg-BG"/>
        </w:rPr>
        <w:t>жалбоподателката</w:t>
      </w:r>
      <w:r w:rsidR="00A417AF">
        <w:rPr>
          <w:rStyle w:val="JuParaChar1"/>
          <w:lang w:val="bg-BG"/>
        </w:rPr>
        <w:t xml:space="preserve"> </w:t>
      </w:r>
      <w:r w:rsidR="00FF6F0A" w:rsidRPr="00945ED6">
        <w:rPr>
          <w:rStyle w:val="JuParaChar1"/>
          <w:lang w:val="bg-BG"/>
        </w:rPr>
        <w:t>оспорва</w:t>
      </w:r>
      <w:r w:rsidR="00A417AF">
        <w:rPr>
          <w:rStyle w:val="JuParaChar1"/>
          <w:lang w:val="bg-BG"/>
        </w:rPr>
        <w:t xml:space="preserve"> версията на Правителството относно организацията и естеството на първия опит за преврат през януари 1991 г., </w:t>
      </w:r>
      <w:r w:rsidR="00FF6F0A" w:rsidRPr="00945ED6">
        <w:rPr>
          <w:rStyle w:val="JuParaChar1"/>
          <w:lang w:val="bg-BG"/>
        </w:rPr>
        <w:t>референдума</w:t>
      </w:r>
      <w:r w:rsidR="00A417AF">
        <w:rPr>
          <w:rStyle w:val="JuParaChar1"/>
          <w:lang w:val="bg-BG"/>
        </w:rPr>
        <w:t xml:space="preserve"> през март 1991 г. и сътрудничеството на ЛКП с </w:t>
      </w:r>
      <w:r w:rsidR="00FF6F0A" w:rsidRPr="00945ED6">
        <w:rPr>
          <w:rStyle w:val="JuParaChar1"/>
          <w:lang w:val="bg-BG"/>
        </w:rPr>
        <w:t>извършителите</w:t>
      </w:r>
      <w:r w:rsidR="00A417AF">
        <w:rPr>
          <w:rStyle w:val="JuParaChar1"/>
          <w:lang w:val="bg-BG"/>
        </w:rPr>
        <w:t xml:space="preserve"> на втория опит за преврат през август 1991 г. (вж</w:t>
      </w:r>
      <w:r w:rsidR="00BA0F93">
        <w:rPr>
          <w:rStyle w:val="JuParaChar1"/>
          <w:lang w:val="bg-BG"/>
        </w:rPr>
        <w:t>.</w:t>
      </w:r>
      <w:r w:rsidR="00A417AF">
        <w:rPr>
          <w:rStyle w:val="JuParaChar1"/>
          <w:lang w:val="bg-BG"/>
        </w:rPr>
        <w:t xml:space="preserve"> параграфи </w:t>
      </w:r>
      <w:r w:rsidR="00E76BD5">
        <w:rPr>
          <w:rStyle w:val="JuParaChar1"/>
          <w:lang w:val="bg-BG"/>
        </w:rPr>
        <w:t>20</w:t>
      </w:r>
      <w:r w:rsidR="004B2FBA">
        <w:rPr>
          <w:rStyle w:val="JuParaChar1"/>
          <w:lang w:val="bg-BG"/>
        </w:rPr>
        <w:t>-</w:t>
      </w:r>
      <w:r w:rsidR="00E76BD5">
        <w:rPr>
          <w:rStyle w:val="JuParaChar1"/>
          <w:lang w:val="bg-BG"/>
        </w:rPr>
        <w:t>29, 32, 37</w:t>
      </w:r>
      <w:r w:rsidR="004B2FBA">
        <w:rPr>
          <w:rStyle w:val="JuParaChar1"/>
          <w:lang w:val="bg-BG"/>
        </w:rPr>
        <w:t>-</w:t>
      </w:r>
      <w:r w:rsidR="00E76BD5">
        <w:rPr>
          <w:rStyle w:val="JuParaChar1"/>
          <w:lang w:val="bg-BG"/>
        </w:rPr>
        <w:t>44 и 55</w:t>
      </w:r>
      <w:r w:rsidR="004B2FBA">
        <w:rPr>
          <w:rStyle w:val="JuParaChar1"/>
          <w:lang w:val="bg-BG"/>
        </w:rPr>
        <w:t>-</w:t>
      </w:r>
      <w:r w:rsidR="00A417AF" w:rsidRPr="00945ED6">
        <w:rPr>
          <w:rStyle w:val="JuParaChar1"/>
          <w:lang w:val="bg-BG"/>
        </w:rPr>
        <w:t>56 по-горе).</w:t>
      </w:r>
      <w:r w:rsidR="00FF6F0A">
        <w:rPr>
          <w:rStyle w:val="JuParaChar1"/>
          <w:lang w:val="bg-BG"/>
        </w:rPr>
        <w:t xml:space="preserve"> Все пак, като изпълнява функцията си на контролен орган, Съдът няма за задача да заема мястото на компетентните национални власти, а да разгледа решенията, които те са взели по силата на своите правомощия за преценка.</w:t>
      </w:r>
      <w:r w:rsidR="00455C77">
        <w:rPr>
          <w:rStyle w:val="JuParaChar1"/>
          <w:lang w:val="bg-BG"/>
        </w:rPr>
        <w:t xml:space="preserve"> Съдът трябва да се увери, че националните власти са основали решенията си на приемлива оценка на релевантните факти и не са достигнали до произволни заключения</w:t>
      </w:r>
      <w:r w:rsidR="00FF6F0A">
        <w:rPr>
          <w:rStyle w:val="JuParaChar1"/>
          <w:lang w:val="bg-BG"/>
        </w:rPr>
        <w:t xml:space="preserve"> </w:t>
      </w:r>
      <w:r w:rsidR="00455C77" w:rsidRPr="00945ED6">
        <w:rPr>
          <w:lang w:val="bg-BG"/>
        </w:rPr>
        <w:t>(вж</w:t>
      </w:r>
      <w:r w:rsidR="00BA0F93">
        <w:rPr>
          <w:lang w:val="bg-BG"/>
        </w:rPr>
        <w:t>.</w:t>
      </w:r>
      <w:r w:rsidR="00455C77" w:rsidRPr="00945ED6">
        <w:rPr>
          <w:lang w:val="bg-BG"/>
        </w:rPr>
        <w:t xml:space="preserve"> например</w:t>
      </w:r>
      <w:r w:rsidR="005911E9" w:rsidRPr="00945ED6">
        <w:rPr>
          <w:lang w:val="bg-BG"/>
        </w:rPr>
        <w:t xml:space="preserve"> </w:t>
      </w:r>
      <w:r w:rsidR="005911E9" w:rsidRPr="00455C77">
        <w:rPr>
          <w:i/>
          <w:iCs/>
          <w:lang w:val="en-GB"/>
        </w:rPr>
        <w:t>Vogt</w:t>
      </w:r>
      <w:r w:rsidR="005911E9" w:rsidRPr="00945ED6">
        <w:rPr>
          <w:lang w:val="bg-BG"/>
        </w:rPr>
        <w:t xml:space="preserve">, </w:t>
      </w:r>
      <w:r w:rsidR="00455C77" w:rsidRPr="00945ED6">
        <w:rPr>
          <w:lang w:val="bg-BG"/>
        </w:rPr>
        <w:t>цитирано по-горе</w:t>
      </w:r>
      <w:r w:rsidR="009A005F" w:rsidRPr="00945ED6">
        <w:rPr>
          <w:lang w:val="bg-BG"/>
        </w:rPr>
        <w:t xml:space="preserve">, </w:t>
      </w:r>
      <w:r w:rsidR="005911E9" w:rsidRPr="00945ED6">
        <w:rPr>
          <w:lang w:val="bg-BG"/>
        </w:rPr>
        <w:t xml:space="preserve">§ 52; </w:t>
      </w:r>
      <w:r w:rsidR="005911E9" w:rsidRPr="00455C77">
        <w:rPr>
          <w:i/>
          <w:iCs/>
          <w:lang w:val="en-GB"/>
        </w:rPr>
        <w:t>Socialist</w:t>
      </w:r>
      <w:r w:rsidR="005911E9" w:rsidRPr="00945ED6">
        <w:rPr>
          <w:i/>
          <w:iCs/>
          <w:lang w:val="bg-BG"/>
        </w:rPr>
        <w:t xml:space="preserve"> </w:t>
      </w:r>
      <w:r w:rsidR="005911E9" w:rsidRPr="00455C77">
        <w:rPr>
          <w:i/>
          <w:iCs/>
          <w:lang w:val="en-GB"/>
        </w:rPr>
        <w:t>Party</w:t>
      </w:r>
      <w:r w:rsidR="005911E9" w:rsidRPr="00945ED6">
        <w:rPr>
          <w:i/>
          <w:iCs/>
          <w:lang w:val="bg-BG"/>
        </w:rPr>
        <w:t xml:space="preserve"> </w:t>
      </w:r>
      <w:r w:rsidR="005911E9" w:rsidRPr="00455C77">
        <w:rPr>
          <w:i/>
          <w:iCs/>
          <w:lang w:val="en-GB"/>
        </w:rPr>
        <w:t>and</w:t>
      </w:r>
      <w:r w:rsidR="005911E9" w:rsidRPr="00945ED6">
        <w:rPr>
          <w:i/>
          <w:iCs/>
          <w:lang w:val="bg-BG"/>
        </w:rPr>
        <w:t xml:space="preserve"> </w:t>
      </w:r>
      <w:r w:rsidR="005911E9" w:rsidRPr="00455C77">
        <w:rPr>
          <w:i/>
          <w:iCs/>
          <w:lang w:val="en-GB"/>
        </w:rPr>
        <w:t>Others</w:t>
      </w:r>
      <w:r w:rsidR="005911E9" w:rsidRPr="00945ED6">
        <w:rPr>
          <w:i/>
          <w:iCs/>
          <w:lang w:val="bg-BG"/>
        </w:rPr>
        <w:t xml:space="preserve"> </w:t>
      </w:r>
      <w:r w:rsidR="005911E9" w:rsidRPr="00455C77">
        <w:rPr>
          <w:i/>
          <w:iCs/>
          <w:lang w:val="en-GB"/>
        </w:rPr>
        <w:t>v</w:t>
      </w:r>
      <w:r w:rsidR="005911E9" w:rsidRPr="00945ED6">
        <w:rPr>
          <w:i/>
          <w:iCs/>
          <w:lang w:val="bg-BG"/>
        </w:rPr>
        <w:t xml:space="preserve">. </w:t>
      </w:r>
      <w:r w:rsidR="005911E9" w:rsidRPr="00455C77">
        <w:rPr>
          <w:i/>
          <w:iCs/>
          <w:lang w:val="en-GB"/>
        </w:rPr>
        <w:t>Turkey</w:t>
      </w:r>
      <w:r w:rsidR="005911E9" w:rsidRPr="00945ED6">
        <w:rPr>
          <w:lang w:val="bg-BG"/>
        </w:rPr>
        <w:t xml:space="preserve">, </w:t>
      </w:r>
      <w:r w:rsidR="00455C77" w:rsidRPr="00945ED6">
        <w:rPr>
          <w:lang w:val="bg-BG"/>
        </w:rPr>
        <w:t>25 май</w:t>
      </w:r>
      <w:r w:rsidR="005911E9" w:rsidRPr="00945ED6">
        <w:rPr>
          <w:lang w:val="bg-BG"/>
        </w:rPr>
        <w:t xml:space="preserve"> 1998, </w:t>
      </w:r>
      <w:r w:rsidR="009A005F" w:rsidRPr="00945ED6">
        <w:rPr>
          <w:lang w:val="bg-BG"/>
        </w:rPr>
        <w:t xml:space="preserve">§ 44, </w:t>
      </w:r>
      <w:r w:rsidR="00455C77" w:rsidRPr="00455C77">
        <w:rPr>
          <w:i/>
          <w:iCs/>
          <w:lang w:val="bg-BG"/>
        </w:rPr>
        <w:t>Доклади</w:t>
      </w:r>
      <w:r w:rsidR="00CD7E2A" w:rsidRPr="00945ED6">
        <w:rPr>
          <w:lang w:val="bg-BG"/>
        </w:rPr>
        <w:t xml:space="preserve"> 1998-</w:t>
      </w:r>
      <w:r w:rsidR="00CD7E2A" w:rsidRPr="00455C77">
        <w:rPr>
          <w:lang w:val="en-GB"/>
        </w:rPr>
        <w:t>III</w:t>
      </w:r>
      <w:r w:rsidR="00FC728A" w:rsidRPr="00945ED6">
        <w:rPr>
          <w:lang w:val="bg-BG"/>
        </w:rPr>
        <w:t xml:space="preserve">; </w:t>
      </w:r>
      <w:r w:rsidR="00FC728A" w:rsidRPr="00455C77">
        <w:rPr>
          <w:i/>
          <w:iCs/>
          <w:lang w:val="en-GB"/>
        </w:rPr>
        <w:t>Freedom</w:t>
      </w:r>
      <w:r w:rsidR="00FC728A" w:rsidRPr="00945ED6">
        <w:rPr>
          <w:i/>
          <w:iCs/>
          <w:lang w:val="bg-BG"/>
        </w:rPr>
        <w:t xml:space="preserve"> </w:t>
      </w:r>
      <w:r w:rsidR="00FC728A" w:rsidRPr="00455C77">
        <w:rPr>
          <w:i/>
          <w:iCs/>
          <w:lang w:val="en-GB"/>
        </w:rPr>
        <w:t>and</w:t>
      </w:r>
      <w:r w:rsidR="00FC728A" w:rsidRPr="00945ED6">
        <w:rPr>
          <w:i/>
          <w:iCs/>
          <w:lang w:val="bg-BG"/>
        </w:rPr>
        <w:t xml:space="preserve"> </w:t>
      </w:r>
      <w:r w:rsidR="00FC728A" w:rsidRPr="00455C77">
        <w:rPr>
          <w:i/>
          <w:iCs/>
          <w:lang w:val="en-GB"/>
        </w:rPr>
        <w:t>Democracy</w:t>
      </w:r>
      <w:r w:rsidR="00FC728A" w:rsidRPr="00945ED6">
        <w:rPr>
          <w:i/>
          <w:iCs/>
          <w:lang w:val="bg-BG"/>
        </w:rPr>
        <w:t xml:space="preserve"> </w:t>
      </w:r>
      <w:r w:rsidR="00FC728A" w:rsidRPr="00455C77">
        <w:rPr>
          <w:i/>
          <w:iCs/>
          <w:lang w:val="en-GB"/>
        </w:rPr>
        <w:t>Party</w:t>
      </w:r>
      <w:r w:rsidR="00FC728A" w:rsidRPr="00945ED6">
        <w:rPr>
          <w:i/>
          <w:iCs/>
          <w:lang w:val="bg-BG"/>
        </w:rPr>
        <w:t xml:space="preserve"> (Ö</w:t>
      </w:r>
      <w:r w:rsidR="00FC728A" w:rsidRPr="00455C77">
        <w:rPr>
          <w:i/>
          <w:iCs/>
          <w:lang w:val="en-GB"/>
        </w:rPr>
        <w:t>ZDEP</w:t>
      </w:r>
      <w:r w:rsidR="00FC728A" w:rsidRPr="00945ED6">
        <w:rPr>
          <w:i/>
          <w:iCs/>
          <w:lang w:val="bg-BG"/>
        </w:rPr>
        <w:t xml:space="preserve">) </w:t>
      </w:r>
      <w:r w:rsidR="00FC728A" w:rsidRPr="00455C77">
        <w:rPr>
          <w:i/>
          <w:iCs/>
          <w:lang w:val="en-GB"/>
        </w:rPr>
        <w:t>v</w:t>
      </w:r>
      <w:r w:rsidR="00FC728A" w:rsidRPr="00945ED6">
        <w:rPr>
          <w:i/>
          <w:iCs/>
          <w:lang w:val="bg-BG"/>
        </w:rPr>
        <w:t xml:space="preserve">. </w:t>
      </w:r>
      <w:r w:rsidR="00FC728A" w:rsidRPr="00455C77">
        <w:rPr>
          <w:i/>
          <w:iCs/>
          <w:lang w:val="en-GB"/>
        </w:rPr>
        <w:t>Turkey</w:t>
      </w:r>
      <w:r w:rsidR="00CD7E2A" w:rsidRPr="00945ED6">
        <w:rPr>
          <w:lang w:val="bg-BG"/>
        </w:rPr>
        <w:t xml:space="preserve"> [</w:t>
      </w:r>
      <w:r w:rsidR="00455F7E">
        <w:rPr>
          <w:lang w:val="bg-BG"/>
        </w:rPr>
        <w:t>ГО</w:t>
      </w:r>
      <w:r w:rsidR="00CD7E2A" w:rsidRPr="00945ED6">
        <w:rPr>
          <w:lang w:val="bg-BG"/>
        </w:rPr>
        <w:t xml:space="preserve">, § </w:t>
      </w:r>
      <w:r w:rsidR="00FC728A" w:rsidRPr="00945ED6">
        <w:rPr>
          <w:lang w:val="bg-BG"/>
        </w:rPr>
        <w:t xml:space="preserve">39, </w:t>
      </w:r>
      <w:r w:rsidR="00B05716" w:rsidRPr="00945ED6">
        <w:rPr>
          <w:lang w:val="bg-BG"/>
        </w:rPr>
        <w:t>ЕСПЧ</w:t>
      </w:r>
      <w:r w:rsidR="00FC728A" w:rsidRPr="00945ED6">
        <w:rPr>
          <w:lang w:val="bg-BG"/>
        </w:rPr>
        <w:t xml:space="preserve"> 1999-</w:t>
      </w:r>
      <w:r w:rsidR="00FC728A" w:rsidRPr="00455C77">
        <w:rPr>
          <w:lang w:val="en-GB"/>
        </w:rPr>
        <w:t>VIII</w:t>
      </w:r>
      <w:r w:rsidR="005911E9" w:rsidRPr="00945ED6">
        <w:rPr>
          <w:lang w:val="bg-BG"/>
        </w:rPr>
        <w:t xml:space="preserve">). </w:t>
      </w:r>
      <w:r w:rsidR="00B05716">
        <w:rPr>
          <w:lang w:val="bg-BG"/>
        </w:rPr>
        <w:t>Освен това Съдът ще се въздърж</w:t>
      </w:r>
      <w:r w:rsidR="00455F7E">
        <w:rPr>
          <w:lang w:val="bg-BG"/>
        </w:rPr>
        <w:t>и</w:t>
      </w:r>
      <w:r w:rsidR="00B05716">
        <w:rPr>
          <w:lang w:val="bg-BG"/>
        </w:rPr>
        <w:t>, доколкото е възможно, да се произнася по въпроси от чисто исторически характер, тъй като</w:t>
      </w:r>
      <w:r w:rsidR="0061542A">
        <w:rPr>
          <w:lang w:val="bg-BG"/>
        </w:rPr>
        <w:t xml:space="preserve"> те не попадат в неговата компетенция</w:t>
      </w:r>
      <w:r w:rsidR="00B05716">
        <w:rPr>
          <w:lang w:val="bg-BG"/>
        </w:rPr>
        <w:t>; въпреки това може да приема определени добре известни исторически истини и да основава доводите си на тях (вж</w:t>
      </w:r>
      <w:r w:rsidR="00455F7E">
        <w:rPr>
          <w:lang w:val="bg-BG"/>
        </w:rPr>
        <w:t>.</w:t>
      </w:r>
      <w:r w:rsidR="00B05716">
        <w:rPr>
          <w:lang w:val="bg-BG"/>
        </w:rPr>
        <w:t xml:space="preserve"> </w:t>
      </w:r>
      <w:r w:rsidR="00B05716">
        <w:rPr>
          <w:i/>
          <w:iCs/>
          <w:lang w:val="en-GB"/>
        </w:rPr>
        <w:t>Marais</w:t>
      </w:r>
      <w:r w:rsidR="00B05716" w:rsidRPr="00945ED6">
        <w:rPr>
          <w:i/>
          <w:iCs/>
          <w:lang w:val="bg-BG"/>
        </w:rPr>
        <w:t xml:space="preserve"> </w:t>
      </w:r>
      <w:r w:rsidR="00B05716">
        <w:rPr>
          <w:i/>
          <w:iCs/>
          <w:lang w:val="en-GB"/>
        </w:rPr>
        <w:t>v</w:t>
      </w:r>
      <w:r w:rsidR="00B05716" w:rsidRPr="00945ED6">
        <w:rPr>
          <w:i/>
          <w:iCs/>
          <w:lang w:val="bg-BG"/>
        </w:rPr>
        <w:t xml:space="preserve">. </w:t>
      </w:r>
      <w:r w:rsidR="00B05716" w:rsidRPr="00B8206D">
        <w:rPr>
          <w:i/>
          <w:iCs/>
          <w:lang w:val="en-GB"/>
        </w:rPr>
        <w:t>France</w:t>
      </w:r>
      <w:r w:rsidR="00B05716" w:rsidRPr="00945ED6">
        <w:rPr>
          <w:lang w:val="bg-BG"/>
        </w:rPr>
        <w:t xml:space="preserve">, </w:t>
      </w:r>
      <w:r w:rsidR="00B05716" w:rsidRPr="002B1ED6">
        <w:rPr>
          <w:szCs w:val="24"/>
          <w:cs/>
        </w:rPr>
        <w:t>№</w:t>
      </w:r>
      <w:r w:rsidR="00B05716" w:rsidRPr="00945ED6">
        <w:rPr>
          <w:lang w:val="bg-BG"/>
        </w:rPr>
        <w:t xml:space="preserve"> 31159/96, определение на Комисията </w:t>
      </w:r>
      <w:r w:rsidR="00B05716" w:rsidRPr="00945ED6">
        <w:rPr>
          <w:lang w:val="bg-BG"/>
        </w:rPr>
        <w:lastRenderedPageBreak/>
        <w:t>от 24 юни 1996, Определения и доклади (</w:t>
      </w:r>
      <w:r w:rsidR="00B05716" w:rsidRPr="00B8206D">
        <w:rPr>
          <w:lang w:val="en-GB"/>
        </w:rPr>
        <w:t>DR</w:t>
      </w:r>
      <w:r w:rsidR="00B05716" w:rsidRPr="00945ED6">
        <w:rPr>
          <w:lang w:val="bg-BG"/>
        </w:rPr>
        <w:t>) 86-</w:t>
      </w:r>
      <w:r w:rsidR="00B05716">
        <w:rPr>
          <w:lang w:val="en-GB"/>
        </w:rPr>
        <w:t>B</w:t>
      </w:r>
      <w:r w:rsidR="00B05716" w:rsidRPr="00945ED6">
        <w:rPr>
          <w:lang w:val="bg-BG"/>
        </w:rPr>
        <w:t>, стр.</w:t>
      </w:r>
      <w:r w:rsidR="00B05716">
        <w:rPr>
          <w:lang w:val="en-GB"/>
        </w:rPr>
        <w:t> </w:t>
      </w:r>
      <w:r w:rsidR="00B05716" w:rsidRPr="00945ED6">
        <w:rPr>
          <w:lang w:val="bg-BG"/>
        </w:rPr>
        <w:t xml:space="preserve">184, и </w:t>
      </w:r>
      <w:r w:rsidR="00B05716" w:rsidRPr="00B8206D">
        <w:rPr>
          <w:i/>
          <w:iCs/>
          <w:lang w:val="en-GB"/>
        </w:rPr>
        <w:t>Garaudy</w:t>
      </w:r>
      <w:r w:rsidR="00B05716" w:rsidRPr="00945ED6">
        <w:rPr>
          <w:i/>
          <w:iCs/>
          <w:lang w:val="bg-BG"/>
        </w:rPr>
        <w:t xml:space="preserve"> </w:t>
      </w:r>
      <w:r w:rsidR="00B05716" w:rsidRPr="00B8206D">
        <w:rPr>
          <w:i/>
          <w:iCs/>
          <w:lang w:val="en-GB"/>
        </w:rPr>
        <w:t>v</w:t>
      </w:r>
      <w:r w:rsidR="00B05716" w:rsidRPr="00945ED6">
        <w:rPr>
          <w:i/>
          <w:iCs/>
          <w:lang w:val="bg-BG"/>
        </w:rPr>
        <w:t xml:space="preserve">. </w:t>
      </w:r>
      <w:r w:rsidR="00B05716" w:rsidRPr="00B8206D">
        <w:rPr>
          <w:i/>
          <w:iCs/>
          <w:lang w:val="en-GB"/>
        </w:rPr>
        <w:t>France</w:t>
      </w:r>
      <w:r w:rsidR="00B05716" w:rsidRPr="00945ED6">
        <w:rPr>
          <w:lang w:val="bg-BG"/>
        </w:rPr>
        <w:t xml:space="preserve"> (</w:t>
      </w:r>
      <w:r w:rsidR="002F58ED">
        <w:rPr>
          <w:lang w:val="bg-BG"/>
        </w:rPr>
        <w:t>РД</w:t>
      </w:r>
      <w:r w:rsidR="00B05716" w:rsidRPr="00945ED6">
        <w:rPr>
          <w:lang w:val="bg-BG"/>
        </w:rPr>
        <w:t>),</w:t>
      </w:r>
      <w:r w:rsidR="00B05716" w:rsidRPr="00945ED6">
        <w:rPr>
          <w:i/>
          <w:iCs/>
          <w:lang w:val="bg-BG"/>
        </w:rPr>
        <w:t xml:space="preserve"> </w:t>
      </w:r>
      <w:r w:rsidR="00B05716" w:rsidRPr="002B1ED6">
        <w:rPr>
          <w:szCs w:val="24"/>
          <w:cs/>
        </w:rPr>
        <w:t>№</w:t>
      </w:r>
      <w:r w:rsidR="00B05716" w:rsidRPr="00945ED6">
        <w:rPr>
          <w:lang w:val="bg-BG"/>
        </w:rPr>
        <w:t xml:space="preserve"> 65831/01, ЕСПЧ 2003-</w:t>
      </w:r>
      <w:r w:rsidR="00B05716" w:rsidRPr="00B8206D">
        <w:rPr>
          <w:lang w:val="en-GB"/>
        </w:rPr>
        <w:t>IX</w:t>
      </w:r>
      <w:r w:rsidR="00B05716" w:rsidRPr="00945ED6">
        <w:rPr>
          <w:lang w:val="bg-BG"/>
        </w:rPr>
        <w:t>).</w:t>
      </w:r>
      <w:r w:rsidR="00B05716">
        <w:rPr>
          <w:lang w:val="bg-BG"/>
        </w:rPr>
        <w:t xml:space="preserve">  </w:t>
      </w:r>
    </w:p>
    <w:p w:rsidR="00173CD3" w:rsidRPr="00936FFA" w:rsidRDefault="005D3E62" w:rsidP="00936FFA">
      <w:pPr>
        <w:pStyle w:val="JuPara"/>
        <w:rPr>
          <w:lang w:val="bg-BG"/>
        </w:rPr>
      </w:pPr>
      <w:r w:rsidRPr="00E17978">
        <w:fldChar w:fldCharType="begin"/>
      </w:r>
      <w:r w:rsidR="00F04C94" w:rsidRPr="00945ED6">
        <w:rPr>
          <w:lang w:val="bg-BG"/>
        </w:rPr>
        <w:instrText xml:space="preserve"> </w:instrText>
      </w:r>
      <w:r w:rsidR="00F04C94" w:rsidRPr="00BB4F95">
        <w:rPr>
          <w:lang w:val="en-GB"/>
        </w:rPr>
        <w:instrText>SEQ</w:instrText>
      </w:r>
      <w:r w:rsidR="00F04C94" w:rsidRPr="00945ED6">
        <w:rPr>
          <w:lang w:val="bg-BG"/>
        </w:rPr>
        <w:instrText xml:space="preserve"> </w:instrText>
      </w:r>
      <w:r w:rsidR="00F04C94" w:rsidRPr="00BB4F95">
        <w:rPr>
          <w:lang w:val="en-GB"/>
        </w:rPr>
        <w:instrText>level</w:instrText>
      </w:r>
      <w:r w:rsidR="00F04C94" w:rsidRPr="00945ED6">
        <w:rPr>
          <w:lang w:val="bg-BG"/>
        </w:rPr>
        <w:instrText>0 \*</w:instrText>
      </w:r>
      <w:r w:rsidR="00F04C94" w:rsidRPr="00BB4F95">
        <w:rPr>
          <w:lang w:val="en-GB"/>
        </w:rPr>
        <w:instrText>arabic</w:instrText>
      </w:r>
      <w:r w:rsidR="00F04C94" w:rsidRPr="00945ED6">
        <w:rPr>
          <w:lang w:val="bg-BG"/>
        </w:rPr>
        <w:instrText xml:space="preserve"> </w:instrText>
      </w:r>
      <w:r w:rsidRPr="00E17978">
        <w:fldChar w:fldCharType="separate"/>
      </w:r>
      <w:r w:rsidR="00955550" w:rsidRPr="00945ED6">
        <w:rPr>
          <w:noProof/>
          <w:lang w:val="bg-BG"/>
        </w:rPr>
        <w:t>97</w:t>
      </w:r>
      <w:r w:rsidRPr="00E17978">
        <w:fldChar w:fldCharType="end"/>
      </w:r>
      <w:r w:rsidR="00F04C94" w:rsidRPr="00945ED6">
        <w:rPr>
          <w:lang w:val="bg-BG"/>
        </w:rPr>
        <w:t>.</w:t>
      </w:r>
      <w:r w:rsidR="00173CD3" w:rsidRPr="00945ED6">
        <w:rPr>
          <w:lang w:val="bg-BG"/>
        </w:rPr>
        <w:t xml:space="preserve"> </w:t>
      </w:r>
      <w:r w:rsidR="00455C77">
        <w:rPr>
          <w:lang w:val="bg-BG"/>
        </w:rPr>
        <w:t>По</w:t>
      </w:r>
      <w:r w:rsidR="00173CD3">
        <w:rPr>
          <w:lang w:val="bg-BG"/>
        </w:rPr>
        <w:t xml:space="preserve"> настоящото</w:t>
      </w:r>
      <w:r w:rsidR="004B2FBA">
        <w:rPr>
          <w:lang w:val="bg-BG"/>
        </w:rPr>
        <w:t xml:space="preserve"> дело няма индикации за произволно</w:t>
      </w:r>
      <w:r w:rsidR="00173CD3">
        <w:rPr>
          <w:lang w:val="bg-BG"/>
        </w:rPr>
        <w:t xml:space="preserve"> </w:t>
      </w:r>
      <w:r w:rsidR="004B2FBA">
        <w:rPr>
          <w:lang w:val="bg-BG"/>
        </w:rPr>
        <w:t xml:space="preserve">оценяване на релевантните факти от страна на </w:t>
      </w:r>
      <w:r w:rsidR="00173CD3">
        <w:rPr>
          <w:lang w:val="bg-BG"/>
        </w:rPr>
        <w:t>латвийските с</w:t>
      </w:r>
      <w:r w:rsidR="004B2FBA">
        <w:rPr>
          <w:lang w:val="bg-BG"/>
        </w:rPr>
        <w:t>ъдилища</w:t>
      </w:r>
      <w:r w:rsidR="00173CD3">
        <w:rPr>
          <w:lang w:val="bg-BG"/>
        </w:rPr>
        <w:t>. По-конкретно участието на ЛКП в събитията от 1991 г. е установено чрез решение на Върховния съ</w:t>
      </w:r>
      <w:r w:rsidR="004B2FBA">
        <w:rPr>
          <w:lang w:val="bg-BG"/>
        </w:rPr>
        <w:t>д в контекста на наказателно</w:t>
      </w:r>
      <w:r w:rsidR="00173CD3">
        <w:rPr>
          <w:lang w:val="bg-BG"/>
        </w:rPr>
        <w:t xml:space="preserve"> дело, заведено срещу </w:t>
      </w:r>
      <w:r w:rsidR="002F58ED">
        <w:rPr>
          <w:lang w:val="bg-BG"/>
        </w:rPr>
        <w:t xml:space="preserve">двама </w:t>
      </w:r>
      <w:r w:rsidR="00173CD3">
        <w:rPr>
          <w:lang w:val="bg-BG"/>
        </w:rPr>
        <w:t xml:space="preserve">бивши </w:t>
      </w:r>
      <w:r w:rsidR="002F58ED">
        <w:rPr>
          <w:lang w:val="bg-BG"/>
        </w:rPr>
        <w:t>функционери</w:t>
      </w:r>
      <w:r w:rsidR="00173CD3">
        <w:rPr>
          <w:lang w:val="bg-BG"/>
        </w:rPr>
        <w:t xml:space="preserve"> на партията (вж</w:t>
      </w:r>
      <w:r w:rsidR="002F58ED">
        <w:rPr>
          <w:lang w:val="bg-BG"/>
        </w:rPr>
        <w:t>.</w:t>
      </w:r>
      <w:r w:rsidR="00173CD3">
        <w:rPr>
          <w:lang w:val="bg-BG"/>
        </w:rPr>
        <w:t xml:space="preserve"> параграф 32 по-горе).</w:t>
      </w:r>
      <w:r w:rsidR="00936FFA" w:rsidRPr="00945ED6">
        <w:rPr>
          <w:lang w:val="bg-BG"/>
        </w:rPr>
        <w:t xml:space="preserve"> </w:t>
      </w:r>
      <w:r w:rsidR="00455C77">
        <w:rPr>
          <w:lang w:val="bg-BG"/>
        </w:rPr>
        <w:t xml:space="preserve">Съдът също така </w:t>
      </w:r>
      <w:r w:rsidR="00936FFA">
        <w:rPr>
          <w:lang w:val="bg-BG"/>
        </w:rPr>
        <w:t xml:space="preserve">не намира причини да оспорва нито становището на окръжния съд в Рига и Гражданския отдел на Върховния съд във връзка със събитията от 1991 г. и членството на </w:t>
      </w:r>
      <w:r w:rsidR="00354C6E">
        <w:rPr>
          <w:lang w:val="bg-BG"/>
        </w:rPr>
        <w:t>жалбоподателката</w:t>
      </w:r>
      <w:r w:rsidR="004B2FBA">
        <w:rPr>
          <w:lang w:val="bg-BG"/>
        </w:rPr>
        <w:t xml:space="preserve"> в ЛКП към </w:t>
      </w:r>
      <w:r w:rsidR="004B2FBA" w:rsidRPr="005E1FB4">
        <w:rPr>
          <w:lang w:val="bg-BG"/>
        </w:rPr>
        <w:t>разглеждания период от</w:t>
      </w:r>
      <w:r w:rsidR="005E1FB4" w:rsidRPr="005E1FB4">
        <w:rPr>
          <w:lang w:val="bg-BG"/>
        </w:rPr>
        <w:t xml:space="preserve"> време</w:t>
      </w:r>
      <w:r w:rsidR="00936FFA" w:rsidRPr="005E1FB4">
        <w:rPr>
          <w:lang w:val="bg-BG"/>
        </w:rPr>
        <w:t>, нито</w:t>
      </w:r>
      <w:r w:rsidR="00936FFA">
        <w:rPr>
          <w:lang w:val="bg-BG"/>
        </w:rPr>
        <w:t xml:space="preserve"> причините, с </w:t>
      </w:r>
      <w:r w:rsidR="00936FFA" w:rsidRPr="004B2FBA">
        <w:rPr>
          <w:lang w:val="bg-BG"/>
        </w:rPr>
        <w:t>които Върховният съд обосновава преустановяването на дейността на</w:t>
      </w:r>
      <w:r w:rsidR="00936FFA">
        <w:rPr>
          <w:lang w:val="bg-BG"/>
        </w:rPr>
        <w:t xml:space="preserve"> ЛКП през септември 1991 г. Съдът приема фактите, к</w:t>
      </w:r>
      <w:r w:rsidR="00455C77">
        <w:rPr>
          <w:lang w:val="bg-BG"/>
        </w:rPr>
        <w:t>асаещи ролята на ЛКП в</w:t>
      </w:r>
      <w:r w:rsidR="00936FFA">
        <w:rPr>
          <w:lang w:val="bg-BG"/>
        </w:rPr>
        <w:t xml:space="preserve"> събитията от януари и август 1991 г., както и дейността ѝ в самото начало на тези събития – такива, каквито са установени от латвийските съдебни и парламентарни власти (вж</w:t>
      </w:r>
      <w:r w:rsidR="005C0ADD">
        <w:rPr>
          <w:lang w:val="bg-BG"/>
        </w:rPr>
        <w:t>.</w:t>
      </w:r>
      <w:r w:rsidR="00936FFA">
        <w:rPr>
          <w:lang w:val="bg-BG"/>
        </w:rPr>
        <w:t xml:space="preserve"> параграфи </w:t>
      </w:r>
      <w:r w:rsidR="00936FFA" w:rsidRPr="00945ED6">
        <w:rPr>
          <w:lang w:val="bg-BG"/>
        </w:rPr>
        <w:t>20-29, 32, 37-44 и 55-56</w:t>
      </w:r>
      <w:r w:rsidR="00936FFA">
        <w:rPr>
          <w:lang w:val="bg-BG"/>
        </w:rPr>
        <w:t xml:space="preserve"> по-горе).  </w:t>
      </w:r>
    </w:p>
    <w:p w:rsidR="005911E9" w:rsidRPr="00945ED6" w:rsidRDefault="005911E9" w:rsidP="005911E9">
      <w:pPr>
        <w:pStyle w:val="JuH1"/>
        <w:rPr>
          <w:lang w:val="bg-BG"/>
        </w:rPr>
      </w:pPr>
      <w:r w:rsidRPr="00945ED6">
        <w:rPr>
          <w:lang w:val="bg-BG"/>
        </w:rPr>
        <w:t>2.</w:t>
      </w:r>
      <w:r w:rsidRPr="00E17978">
        <w:t>  </w:t>
      </w:r>
      <w:r w:rsidR="00DC6101">
        <w:rPr>
          <w:lang w:val="bg-BG"/>
        </w:rPr>
        <w:t>Общи</w:t>
      </w:r>
      <w:r w:rsidR="005C0ADD">
        <w:rPr>
          <w:lang w:val="bg-BG"/>
        </w:rPr>
        <w:t>те</w:t>
      </w:r>
      <w:r w:rsidR="00DC6101">
        <w:rPr>
          <w:lang w:val="bg-BG"/>
        </w:rPr>
        <w:t xml:space="preserve"> принципи, установени от съдебната практика в рамките на Конвенцията </w:t>
      </w:r>
    </w:p>
    <w:p w:rsidR="005911E9" w:rsidRPr="00945ED6" w:rsidRDefault="005911E9" w:rsidP="005911E9">
      <w:pPr>
        <w:pStyle w:val="JuHa0"/>
        <w:rPr>
          <w:lang w:val="bg-BG"/>
        </w:rPr>
      </w:pPr>
      <w:r w:rsidRPr="00945ED6">
        <w:rPr>
          <w:lang w:val="bg-BG"/>
        </w:rPr>
        <w:t>(</w:t>
      </w:r>
      <w:r w:rsidRPr="00E17978">
        <w:t>a</w:t>
      </w:r>
      <w:r w:rsidRPr="00945ED6">
        <w:rPr>
          <w:lang w:val="bg-BG"/>
        </w:rPr>
        <w:t>)</w:t>
      </w:r>
      <w:r w:rsidRPr="00E17978">
        <w:t>  </w:t>
      </w:r>
      <w:r w:rsidR="00DC6101">
        <w:rPr>
          <w:lang w:val="bg-BG"/>
        </w:rPr>
        <w:t xml:space="preserve">Демокрацията и нейната защита в системата на Конвенцията </w:t>
      </w:r>
    </w:p>
    <w:p w:rsidR="00DC6101" w:rsidRPr="00945ED6" w:rsidRDefault="005D3E62" w:rsidP="00B8206D">
      <w:pPr>
        <w:pStyle w:val="JuPara"/>
        <w:rPr>
          <w:rStyle w:val="JuParaChar1"/>
          <w:lang w:val="bg-BG"/>
        </w:rPr>
      </w:pPr>
      <w:r w:rsidRPr="00B8206D">
        <w:rPr>
          <w:rStyle w:val="JuParaChar1"/>
          <w:lang w:val="en-GB"/>
        </w:rPr>
        <w:fldChar w:fldCharType="begin"/>
      </w:r>
      <w:r w:rsidR="005911E9" w:rsidRPr="00945ED6">
        <w:rPr>
          <w:rStyle w:val="JuParaChar1"/>
          <w:lang w:val="bg-BG"/>
        </w:rPr>
        <w:instrText xml:space="preserve"> </w:instrText>
      </w:r>
      <w:r w:rsidR="005911E9" w:rsidRPr="00B8206D">
        <w:rPr>
          <w:rStyle w:val="JuParaChar1"/>
          <w:lang w:val="en-GB"/>
        </w:rPr>
        <w:instrText>SEQ</w:instrText>
      </w:r>
      <w:r w:rsidR="005911E9" w:rsidRPr="00945ED6">
        <w:rPr>
          <w:rStyle w:val="JuParaChar1"/>
          <w:lang w:val="bg-BG"/>
        </w:rPr>
        <w:instrText xml:space="preserve"> </w:instrText>
      </w:r>
      <w:r w:rsidR="005911E9" w:rsidRPr="00B8206D">
        <w:rPr>
          <w:rStyle w:val="JuParaChar1"/>
          <w:lang w:val="en-GB"/>
        </w:rPr>
        <w:instrText>level</w:instrText>
      </w:r>
      <w:r w:rsidR="005911E9" w:rsidRPr="00945ED6">
        <w:rPr>
          <w:rStyle w:val="JuParaChar1"/>
          <w:lang w:val="bg-BG"/>
        </w:rPr>
        <w:instrText>0 \*</w:instrText>
      </w:r>
      <w:r w:rsidR="005911E9" w:rsidRPr="00B8206D">
        <w:rPr>
          <w:rStyle w:val="JuParaChar1"/>
          <w:lang w:val="en-GB"/>
        </w:rPr>
        <w:instrText>arabic</w:instrText>
      </w:r>
      <w:r w:rsidR="005911E9" w:rsidRPr="00945ED6">
        <w:rPr>
          <w:rStyle w:val="JuParaChar1"/>
          <w:lang w:val="bg-BG"/>
        </w:rPr>
        <w:instrText xml:space="preserve"> </w:instrText>
      </w:r>
      <w:r w:rsidRPr="00B8206D">
        <w:rPr>
          <w:rStyle w:val="JuParaChar1"/>
          <w:lang w:val="en-GB"/>
        </w:rPr>
        <w:fldChar w:fldCharType="separate"/>
      </w:r>
      <w:r w:rsidR="00955550" w:rsidRPr="00945ED6">
        <w:rPr>
          <w:rStyle w:val="JuParaChar1"/>
          <w:noProof/>
          <w:lang w:val="bg-BG"/>
        </w:rPr>
        <w:t>98</w:t>
      </w:r>
      <w:r w:rsidRPr="00B8206D">
        <w:rPr>
          <w:rStyle w:val="JuParaChar1"/>
          <w:lang w:val="en-GB"/>
        </w:rPr>
        <w:fldChar w:fldCharType="end"/>
      </w:r>
      <w:r w:rsidR="005911E9" w:rsidRPr="00945ED6">
        <w:rPr>
          <w:rStyle w:val="JuParaChar1"/>
          <w:lang w:val="bg-BG"/>
        </w:rPr>
        <w:t>.</w:t>
      </w:r>
      <w:r w:rsidR="00DC6101">
        <w:rPr>
          <w:rStyle w:val="JuParaChar1"/>
          <w:lang w:val="bg-BG"/>
        </w:rPr>
        <w:t xml:space="preserve"> Демокрацията представлява основополагащ елемент от „европейския обществен ред</w:t>
      </w:r>
      <w:r w:rsidR="00790E59">
        <w:rPr>
          <w:rStyle w:val="JuParaChar1"/>
          <w:lang w:val="bg-BG"/>
        </w:rPr>
        <w:t>“</w:t>
      </w:r>
      <w:r w:rsidR="00DC6101">
        <w:rPr>
          <w:rStyle w:val="JuParaChar1"/>
          <w:lang w:val="bg-BG"/>
        </w:rPr>
        <w:t>. Това става ясно на първо място от преамбюла на Кон</w:t>
      </w:r>
      <w:r w:rsidR="00455C77">
        <w:rPr>
          <w:rStyle w:val="JuParaChar1"/>
          <w:lang w:val="bg-BG"/>
        </w:rPr>
        <w:t>венцията, който установява съвсем</w:t>
      </w:r>
      <w:r w:rsidR="00DC6101">
        <w:rPr>
          <w:rStyle w:val="JuParaChar1"/>
          <w:lang w:val="bg-BG"/>
        </w:rPr>
        <w:t xml:space="preserve"> ясна връзка между </w:t>
      </w:r>
      <w:r w:rsidR="00A33253">
        <w:rPr>
          <w:rStyle w:val="JuParaChar1"/>
          <w:lang w:val="bg-BG"/>
        </w:rPr>
        <w:t xml:space="preserve">Конвенцията и демокрацията, </w:t>
      </w:r>
      <w:r w:rsidR="004B2FBA">
        <w:rPr>
          <w:rStyle w:val="JuParaChar1"/>
          <w:lang w:val="bg-BG"/>
        </w:rPr>
        <w:t>като постановява, че подкрепата</w:t>
      </w:r>
      <w:r w:rsidR="00A33253">
        <w:rPr>
          <w:rStyle w:val="JuParaChar1"/>
          <w:lang w:val="bg-BG"/>
        </w:rPr>
        <w:t xml:space="preserve"> и по-нататъшната реализация на човешките права и основ</w:t>
      </w:r>
      <w:r w:rsidR="00621C04">
        <w:rPr>
          <w:rStyle w:val="JuParaChar1"/>
          <w:lang w:val="bg-BG"/>
        </w:rPr>
        <w:t>н</w:t>
      </w:r>
      <w:r w:rsidR="00A33253">
        <w:rPr>
          <w:rStyle w:val="JuParaChar1"/>
          <w:lang w:val="bg-BG"/>
        </w:rPr>
        <w:t>ите свободи се гарантират най-сигурно от ефективна политическа демокрация, от една страна, и общоприето разбиране и съблюдаване на човешките права, от друга страна. По-нататък преамбюлът утвърждава тезата, че европейските държави имат общо наследство от политически традиции, идеали, свобода и върховенство на закона. Това общо наследство се състои в основополагащите цен</w:t>
      </w:r>
      <w:r w:rsidR="00455C77">
        <w:rPr>
          <w:rStyle w:val="JuParaChar1"/>
          <w:lang w:val="bg-BG"/>
        </w:rPr>
        <w:t xml:space="preserve">ности на Конвенцията; </w:t>
      </w:r>
      <w:r w:rsidR="00A33253">
        <w:rPr>
          <w:rStyle w:val="JuParaChar1"/>
          <w:lang w:val="bg-BG"/>
        </w:rPr>
        <w:t>Съдът по много п</w:t>
      </w:r>
      <w:r w:rsidR="00455C77">
        <w:rPr>
          <w:rStyle w:val="JuParaChar1"/>
          <w:lang w:val="bg-BG"/>
        </w:rPr>
        <w:t xml:space="preserve">оводи е изтъквал, че </w:t>
      </w:r>
      <w:r w:rsidR="00A33253">
        <w:rPr>
          <w:rStyle w:val="JuParaChar1"/>
          <w:lang w:val="bg-BG"/>
        </w:rPr>
        <w:t>Конвенцията е създадена да поддържа и популяризира идеалите и ценностите на демократичното общество. С други думи демокрацията е единственият</w:t>
      </w:r>
      <w:r w:rsidR="003D7234">
        <w:rPr>
          <w:rStyle w:val="JuParaChar1"/>
          <w:lang w:val="bg-BG"/>
        </w:rPr>
        <w:t xml:space="preserve"> предвиден от Конвенцията политически модел, съответно и единственият съвместим с нея (вж</w:t>
      </w:r>
      <w:r w:rsidR="00824F93">
        <w:rPr>
          <w:rStyle w:val="JuParaChar1"/>
          <w:lang w:val="bg-BG"/>
        </w:rPr>
        <w:t>.</w:t>
      </w:r>
      <w:r w:rsidR="003D7234">
        <w:rPr>
          <w:rStyle w:val="JuParaChar1"/>
          <w:lang w:val="bg-BG"/>
        </w:rPr>
        <w:t xml:space="preserve"> </w:t>
      </w:r>
      <w:r w:rsidR="00824F93">
        <w:rPr>
          <w:rStyle w:val="JuParaChar1"/>
          <w:lang w:val="bg-BG"/>
        </w:rPr>
        <w:t>наред с</w:t>
      </w:r>
      <w:r w:rsidR="003D7234">
        <w:rPr>
          <w:rStyle w:val="JuParaChar1"/>
          <w:lang w:val="bg-BG"/>
        </w:rPr>
        <w:t xml:space="preserve"> много други примери, </w:t>
      </w:r>
      <w:r w:rsidR="003D7234" w:rsidRPr="002B262F">
        <w:rPr>
          <w:rStyle w:val="JuParaChar1"/>
          <w:i/>
          <w:lang w:val="en-GB"/>
        </w:rPr>
        <w:t>United</w:t>
      </w:r>
      <w:r w:rsidR="003D7234" w:rsidRPr="00945ED6">
        <w:rPr>
          <w:rStyle w:val="JuParaChar1"/>
          <w:i/>
          <w:lang w:val="bg-BG"/>
        </w:rPr>
        <w:t xml:space="preserve"> </w:t>
      </w:r>
      <w:r w:rsidR="003D7234" w:rsidRPr="002B262F">
        <w:rPr>
          <w:rStyle w:val="JuParaChar1"/>
          <w:i/>
          <w:lang w:val="en-GB"/>
        </w:rPr>
        <w:t>Communist</w:t>
      </w:r>
      <w:r w:rsidR="003D7234" w:rsidRPr="00945ED6">
        <w:rPr>
          <w:rStyle w:val="JuParaChar1"/>
          <w:i/>
          <w:lang w:val="bg-BG"/>
        </w:rPr>
        <w:t xml:space="preserve"> </w:t>
      </w:r>
      <w:r w:rsidR="003D7234" w:rsidRPr="002B262F">
        <w:rPr>
          <w:rStyle w:val="JuParaChar1"/>
          <w:i/>
          <w:lang w:val="en-GB"/>
        </w:rPr>
        <w:t>Party</w:t>
      </w:r>
      <w:r w:rsidR="003D7234" w:rsidRPr="00945ED6">
        <w:rPr>
          <w:rStyle w:val="JuParaChar1"/>
          <w:i/>
          <w:lang w:val="bg-BG"/>
        </w:rPr>
        <w:t xml:space="preserve"> </w:t>
      </w:r>
      <w:r w:rsidR="003D7234" w:rsidRPr="002B262F">
        <w:rPr>
          <w:rStyle w:val="JuParaChar1"/>
          <w:i/>
          <w:lang w:val="en-GB"/>
        </w:rPr>
        <w:t>of</w:t>
      </w:r>
      <w:r w:rsidR="003D7234" w:rsidRPr="00945ED6">
        <w:rPr>
          <w:rStyle w:val="JuParaChar1"/>
          <w:i/>
          <w:lang w:val="bg-BG"/>
        </w:rPr>
        <w:t xml:space="preserve"> </w:t>
      </w:r>
      <w:r w:rsidR="003D7234" w:rsidRPr="002B262F">
        <w:rPr>
          <w:rStyle w:val="JuParaChar1"/>
          <w:i/>
          <w:lang w:val="en-GB"/>
        </w:rPr>
        <w:t>Turkey</w:t>
      </w:r>
      <w:r w:rsidR="003D7234" w:rsidRPr="00945ED6">
        <w:rPr>
          <w:rStyle w:val="JuParaChar1"/>
          <w:i/>
          <w:lang w:val="bg-BG"/>
        </w:rPr>
        <w:t xml:space="preserve"> </w:t>
      </w:r>
      <w:r w:rsidR="003D7234" w:rsidRPr="002B262F">
        <w:rPr>
          <w:rStyle w:val="JuParaChar1"/>
          <w:i/>
          <w:lang w:val="en-GB"/>
        </w:rPr>
        <w:t>and</w:t>
      </w:r>
      <w:r w:rsidR="003D7234" w:rsidRPr="00945ED6">
        <w:rPr>
          <w:rStyle w:val="JuParaChar1"/>
          <w:i/>
          <w:lang w:val="bg-BG"/>
        </w:rPr>
        <w:t xml:space="preserve"> </w:t>
      </w:r>
      <w:r w:rsidR="003D7234" w:rsidRPr="002B262F">
        <w:rPr>
          <w:rStyle w:val="JuParaChar1"/>
          <w:i/>
          <w:lang w:val="en-GB"/>
        </w:rPr>
        <w:t>Others</w:t>
      </w:r>
      <w:r w:rsidR="003D7234" w:rsidRPr="00945ED6">
        <w:rPr>
          <w:lang w:val="bg-BG"/>
        </w:rPr>
        <w:t xml:space="preserve">, цитирано по-горе, § 45; </w:t>
      </w:r>
      <w:r w:rsidR="003D7234" w:rsidRPr="00BB4F95">
        <w:rPr>
          <w:i/>
          <w:iCs/>
          <w:lang w:val="en-GB"/>
        </w:rPr>
        <w:t>Refah</w:t>
      </w:r>
      <w:r w:rsidR="003D7234" w:rsidRPr="00945ED6">
        <w:rPr>
          <w:i/>
          <w:iCs/>
          <w:lang w:val="bg-BG"/>
        </w:rPr>
        <w:t xml:space="preserve"> </w:t>
      </w:r>
      <w:r w:rsidR="003D7234" w:rsidRPr="00BB4F95">
        <w:rPr>
          <w:i/>
          <w:iCs/>
          <w:lang w:val="en-GB"/>
        </w:rPr>
        <w:t>Partisi</w:t>
      </w:r>
      <w:r w:rsidR="003D7234" w:rsidRPr="00945ED6">
        <w:rPr>
          <w:i/>
          <w:iCs/>
          <w:lang w:val="bg-BG"/>
        </w:rPr>
        <w:t xml:space="preserve"> (</w:t>
      </w:r>
      <w:r w:rsidR="003D7234">
        <w:rPr>
          <w:i/>
          <w:iCs/>
          <w:lang w:val="en-GB"/>
        </w:rPr>
        <w:t>t</w:t>
      </w:r>
      <w:r w:rsidR="003D7234" w:rsidRPr="00BB4F95">
        <w:rPr>
          <w:i/>
          <w:iCs/>
          <w:lang w:val="en-GB"/>
        </w:rPr>
        <w:t>he</w:t>
      </w:r>
      <w:r w:rsidR="003D7234" w:rsidRPr="00945ED6">
        <w:rPr>
          <w:i/>
          <w:iCs/>
          <w:lang w:val="bg-BG"/>
        </w:rPr>
        <w:t xml:space="preserve"> </w:t>
      </w:r>
      <w:r w:rsidR="003D7234" w:rsidRPr="00BB4F95">
        <w:rPr>
          <w:i/>
          <w:iCs/>
          <w:lang w:val="en-GB"/>
        </w:rPr>
        <w:t>Welfare</w:t>
      </w:r>
      <w:r w:rsidR="003D7234" w:rsidRPr="00945ED6">
        <w:rPr>
          <w:i/>
          <w:iCs/>
          <w:lang w:val="bg-BG"/>
        </w:rPr>
        <w:t xml:space="preserve"> </w:t>
      </w:r>
      <w:r w:rsidR="003D7234" w:rsidRPr="00BB4F95">
        <w:rPr>
          <w:i/>
          <w:iCs/>
          <w:lang w:val="en-GB"/>
        </w:rPr>
        <w:t>Party</w:t>
      </w:r>
      <w:r w:rsidR="003D7234" w:rsidRPr="00945ED6">
        <w:rPr>
          <w:i/>
          <w:iCs/>
          <w:lang w:val="bg-BG"/>
        </w:rPr>
        <w:t xml:space="preserve">) </w:t>
      </w:r>
      <w:r w:rsidR="003D7234" w:rsidRPr="00BB4F95">
        <w:rPr>
          <w:i/>
          <w:iCs/>
          <w:lang w:val="en-GB"/>
        </w:rPr>
        <w:t>and</w:t>
      </w:r>
      <w:r w:rsidR="003D7234" w:rsidRPr="00945ED6">
        <w:rPr>
          <w:i/>
          <w:iCs/>
          <w:lang w:val="bg-BG"/>
        </w:rPr>
        <w:t xml:space="preserve"> </w:t>
      </w:r>
      <w:r w:rsidR="003D7234" w:rsidRPr="00BB4F95">
        <w:rPr>
          <w:i/>
          <w:iCs/>
          <w:lang w:val="en-GB"/>
        </w:rPr>
        <w:t>Others</w:t>
      </w:r>
      <w:r w:rsidR="003D7234" w:rsidRPr="00945ED6">
        <w:rPr>
          <w:i/>
          <w:iCs/>
          <w:lang w:val="bg-BG"/>
        </w:rPr>
        <w:t xml:space="preserve"> </w:t>
      </w:r>
      <w:r w:rsidR="003D7234" w:rsidRPr="00BB4F95">
        <w:rPr>
          <w:i/>
          <w:iCs/>
          <w:lang w:val="en-GB"/>
        </w:rPr>
        <w:t>v</w:t>
      </w:r>
      <w:r w:rsidR="003D7234" w:rsidRPr="00945ED6">
        <w:rPr>
          <w:i/>
          <w:iCs/>
          <w:lang w:val="bg-BG"/>
        </w:rPr>
        <w:t xml:space="preserve">. </w:t>
      </w:r>
      <w:r w:rsidR="003D7234" w:rsidRPr="00BB4F95">
        <w:rPr>
          <w:i/>
          <w:iCs/>
          <w:lang w:val="en-GB"/>
        </w:rPr>
        <w:t>Turkey</w:t>
      </w:r>
      <w:r w:rsidR="003D7234" w:rsidRPr="00945ED6">
        <w:rPr>
          <w:i/>
          <w:iCs/>
          <w:lang w:val="bg-BG"/>
        </w:rPr>
        <w:t xml:space="preserve"> </w:t>
      </w:r>
      <w:r w:rsidR="003D7234" w:rsidRPr="00945ED6">
        <w:rPr>
          <w:lang w:val="bg-BG"/>
        </w:rPr>
        <w:t>[</w:t>
      </w:r>
      <w:r w:rsidR="00824F93">
        <w:rPr>
          <w:lang w:val="bg-BG"/>
        </w:rPr>
        <w:t>ГО</w:t>
      </w:r>
      <w:r w:rsidR="003D7234" w:rsidRPr="00945ED6">
        <w:rPr>
          <w:lang w:val="bg-BG"/>
        </w:rPr>
        <w:t>],</w:t>
      </w:r>
      <w:r w:rsidR="003D7234" w:rsidRPr="00945ED6">
        <w:rPr>
          <w:i/>
          <w:iCs/>
          <w:lang w:val="bg-BG"/>
        </w:rPr>
        <w:t xml:space="preserve"> </w:t>
      </w:r>
      <w:r w:rsidR="003D7234" w:rsidRPr="00945ED6">
        <w:rPr>
          <w:lang w:val="bg-BG"/>
        </w:rPr>
        <w:t>№ 41340/98, 41342/98, 41343/98 и 41344/98, § 86, ЕСПЧ</w:t>
      </w:r>
      <w:r w:rsidR="006B79F6" w:rsidRPr="00945ED6">
        <w:rPr>
          <w:lang w:val="bg-BG"/>
        </w:rPr>
        <w:t xml:space="preserve"> 2003-</w:t>
      </w:r>
      <w:r w:rsidR="006B79F6">
        <w:rPr>
          <w:lang w:val="en-GB"/>
        </w:rPr>
        <w:t>II</w:t>
      </w:r>
      <w:r w:rsidR="006B79F6" w:rsidRPr="00945ED6">
        <w:rPr>
          <w:lang w:val="bg-BG"/>
        </w:rPr>
        <w:t xml:space="preserve">; </w:t>
      </w:r>
      <w:r w:rsidR="006B79F6">
        <w:rPr>
          <w:lang w:val="bg-BG"/>
        </w:rPr>
        <w:t>и</w:t>
      </w:r>
      <w:r w:rsidR="006B79F6" w:rsidRPr="00945ED6">
        <w:rPr>
          <w:lang w:val="bg-BG"/>
        </w:rPr>
        <w:t>, най-накрая</w:t>
      </w:r>
      <w:r w:rsidR="003D7234" w:rsidRPr="00945ED6">
        <w:rPr>
          <w:lang w:val="bg-BG"/>
        </w:rPr>
        <w:t xml:space="preserve">, </w:t>
      </w:r>
      <w:r w:rsidR="003D7234" w:rsidRPr="00BB4F95">
        <w:rPr>
          <w:i/>
          <w:iCs/>
          <w:lang w:val="en-GB"/>
        </w:rPr>
        <w:t>Gorzelik</w:t>
      </w:r>
      <w:r w:rsidR="003D7234" w:rsidRPr="00945ED6">
        <w:rPr>
          <w:i/>
          <w:iCs/>
          <w:lang w:val="bg-BG"/>
        </w:rPr>
        <w:t xml:space="preserve"> </w:t>
      </w:r>
      <w:r w:rsidR="003D7234" w:rsidRPr="00BB4F95">
        <w:rPr>
          <w:i/>
          <w:iCs/>
          <w:lang w:val="en-GB"/>
        </w:rPr>
        <w:t>and</w:t>
      </w:r>
      <w:r w:rsidR="003D7234" w:rsidRPr="00945ED6">
        <w:rPr>
          <w:i/>
          <w:iCs/>
          <w:lang w:val="bg-BG"/>
        </w:rPr>
        <w:t xml:space="preserve"> </w:t>
      </w:r>
      <w:r w:rsidR="003D7234" w:rsidRPr="00BB4F95">
        <w:rPr>
          <w:i/>
          <w:iCs/>
          <w:lang w:val="en-GB"/>
        </w:rPr>
        <w:t>Others</w:t>
      </w:r>
      <w:r w:rsidR="003D7234" w:rsidRPr="00945ED6">
        <w:rPr>
          <w:i/>
          <w:iCs/>
          <w:lang w:val="bg-BG"/>
        </w:rPr>
        <w:t xml:space="preserve"> </w:t>
      </w:r>
      <w:r w:rsidR="003D7234" w:rsidRPr="00BB4F95">
        <w:rPr>
          <w:i/>
          <w:iCs/>
          <w:lang w:val="en-GB"/>
        </w:rPr>
        <w:t>v</w:t>
      </w:r>
      <w:r w:rsidR="003D7234" w:rsidRPr="00945ED6">
        <w:rPr>
          <w:i/>
          <w:iCs/>
          <w:lang w:val="bg-BG"/>
        </w:rPr>
        <w:t xml:space="preserve">. </w:t>
      </w:r>
      <w:r w:rsidR="003D7234" w:rsidRPr="00BB4F95">
        <w:rPr>
          <w:i/>
          <w:iCs/>
          <w:lang w:val="en-GB"/>
        </w:rPr>
        <w:t>Poland</w:t>
      </w:r>
      <w:r w:rsidR="003D7234" w:rsidRPr="00945ED6">
        <w:rPr>
          <w:i/>
          <w:iCs/>
          <w:lang w:val="bg-BG"/>
        </w:rPr>
        <w:t xml:space="preserve"> </w:t>
      </w:r>
      <w:r w:rsidR="003D7234" w:rsidRPr="00945ED6">
        <w:rPr>
          <w:lang w:val="bg-BG"/>
        </w:rPr>
        <w:t>[</w:t>
      </w:r>
      <w:r w:rsidR="001C0E69">
        <w:rPr>
          <w:lang w:val="bg-BG"/>
        </w:rPr>
        <w:t>ГО</w:t>
      </w:r>
      <w:r w:rsidR="003D7234" w:rsidRPr="00945ED6">
        <w:rPr>
          <w:lang w:val="bg-BG"/>
        </w:rPr>
        <w:t>],</w:t>
      </w:r>
      <w:r w:rsidR="003D7234" w:rsidRPr="00945ED6">
        <w:rPr>
          <w:i/>
          <w:iCs/>
          <w:lang w:val="bg-BG"/>
        </w:rPr>
        <w:t xml:space="preserve"> </w:t>
      </w:r>
      <w:r w:rsidR="003D7234" w:rsidRPr="00945ED6">
        <w:rPr>
          <w:lang w:val="bg-BG"/>
        </w:rPr>
        <w:t>№</w:t>
      </w:r>
      <w:r w:rsidR="003D7234" w:rsidRPr="00945ED6">
        <w:rPr>
          <w:i/>
          <w:iCs/>
          <w:lang w:val="bg-BG"/>
        </w:rPr>
        <w:t xml:space="preserve"> </w:t>
      </w:r>
      <w:r w:rsidR="003D7234" w:rsidRPr="00945ED6">
        <w:rPr>
          <w:lang w:val="bg-BG"/>
        </w:rPr>
        <w:t>44158/98, § 89, ЕСПЧ 2004-</w:t>
      </w:r>
      <w:r w:rsidR="003D7234" w:rsidRPr="00BB4F95">
        <w:rPr>
          <w:lang w:val="en-GB"/>
        </w:rPr>
        <w:t>I</w:t>
      </w:r>
      <w:r w:rsidR="003D7234" w:rsidRPr="00945ED6">
        <w:rPr>
          <w:lang w:val="bg-BG"/>
        </w:rPr>
        <w:t>).</w:t>
      </w:r>
      <w:r w:rsidR="003D7234">
        <w:rPr>
          <w:rStyle w:val="JuParaChar1"/>
          <w:lang w:val="bg-BG"/>
        </w:rPr>
        <w:t xml:space="preserve">   </w:t>
      </w:r>
      <w:r w:rsidR="00A33253">
        <w:rPr>
          <w:rStyle w:val="JuParaChar1"/>
          <w:lang w:val="bg-BG"/>
        </w:rPr>
        <w:t xml:space="preserve">      </w:t>
      </w:r>
      <w:r w:rsidR="005911E9" w:rsidRPr="00B8206D">
        <w:rPr>
          <w:rStyle w:val="JuParaChar1"/>
          <w:lang w:val="en-GB"/>
        </w:rPr>
        <w:t>  </w:t>
      </w:r>
    </w:p>
    <w:p w:rsidR="005911E9" w:rsidRPr="00945ED6" w:rsidRDefault="005D3E62" w:rsidP="00800EE3">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99</w:t>
      </w:r>
      <w:r w:rsidRPr="00E17978">
        <w:fldChar w:fldCharType="end"/>
      </w:r>
      <w:r w:rsidR="005911E9" w:rsidRPr="00945ED6">
        <w:rPr>
          <w:lang w:val="bg-BG"/>
        </w:rPr>
        <w:t>.</w:t>
      </w:r>
      <w:r w:rsidR="005911E9" w:rsidRPr="00BB4F95">
        <w:rPr>
          <w:lang w:val="en-GB"/>
        </w:rPr>
        <w:t> </w:t>
      </w:r>
      <w:r w:rsidR="006B79F6">
        <w:rPr>
          <w:lang w:val="bg-BG"/>
        </w:rPr>
        <w:t xml:space="preserve">Не може да се </w:t>
      </w:r>
      <w:r w:rsidR="001C0E69" w:rsidRPr="00530E30">
        <w:rPr>
          <w:lang w:val="bg-BG"/>
        </w:rPr>
        <w:t>изключи възможността</w:t>
      </w:r>
      <w:r w:rsidR="006B79F6">
        <w:rPr>
          <w:lang w:val="bg-BG"/>
        </w:rPr>
        <w:t xml:space="preserve"> човек или група от хора да се </w:t>
      </w:r>
      <w:r w:rsidR="001417BC">
        <w:rPr>
          <w:lang w:val="bg-BG"/>
        </w:rPr>
        <w:t xml:space="preserve">позоват </w:t>
      </w:r>
      <w:r w:rsidR="006B79F6">
        <w:rPr>
          <w:lang w:val="bg-BG"/>
        </w:rPr>
        <w:t>на залегналите в Конвенцията и нейните протоколи права, за</w:t>
      </w:r>
      <w:r w:rsidR="0024516E">
        <w:rPr>
          <w:lang w:val="bg-BG"/>
        </w:rPr>
        <w:t xml:space="preserve"> да опитат да извлекат от тях и </w:t>
      </w:r>
      <w:r w:rsidR="006B79F6">
        <w:rPr>
          <w:lang w:val="bg-BG"/>
        </w:rPr>
        <w:t>правото да извърш</w:t>
      </w:r>
      <w:r w:rsidR="0024516E">
        <w:rPr>
          <w:lang w:val="bg-BG"/>
        </w:rPr>
        <w:t>в</w:t>
      </w:r>
      <w:r w:rsidR="006B79F6">
        <w:rPr>
          <w:lang w:val="bg-BG"/>
        </w:rPr>
        <w:t xml:space="preserve">ат дейности, целящи </w:t>
      </w:r>
      <w:r w:rsidR="006B79F6">
        <w:rPr>
          <w:lang w:val="bg-BG"/>
        </w:rPr>
        <w:lastRenderedPageBreak/>
        <w:t xml:space="preserve">да унищожат </w:t>
      </w:r>
      <w:r w:rsidR="00455C77">
        <w:rPr>
          <w:lang w:val="bg-BG"/>
        </w:rPr>
        <w:t>правата или свободите, гарантирани от</w:t>
      </w:r>
      <w:r w:rsidR="006B79F6">
        <w:rPr>
          <w:lang w:val="bg-BG"/>
        </w:rPr>
        <w:t xml:space="preserve"> Конвенцията; подобно унищожение би сложило край на демокрацията. </w:t>
      </w:r>
      <w:r w:rsidR="00800EE3">
        <w:rPr>
          <w:lang w:val="bg-BG"/>
        </w:rPr>
        <w:t>Именно заради това опасение авторите на Конвенцията са включили ч</w:t>
      </w:r>
      <w:r w:rsidR="002929D1">
        <w:rPr>
          <w:lang w:val="bg-BG"/>
        </w:rPr>
        <w:t>л</w:t>
      </w:r>
      <w:r w:rsidR="001417BC">
        <w:rPr>
          <w:lang w:val="bg-BG"/>
        </w:rPr>
        <w:t>ен</w:t>
      </w:r>
      <w:r w:rsidR="002929D1">
        <w:rPr>
          <w:lang w:val="bg-BG"/>
        </w:rPr>
        <w:t xml:space="preserve"> 17, който гласи: „Нищо в настоящата</w:t>
      </w:r>
      <w:r w:rsidR="00800EE3">
        <w:rPr>
          <w:lang w:val="bg-BG"/>
        </w:rPr>
        <w:t xml:space="preserve"> Конвенция не може да се тълкува по начин, който дава на държава, г</w:t>
      </w:r>
      <w:r w:rsidR="001E67B5">
        <w:rPr>
          <w:lang w:val="bg-BG"/>
        </w:rPr>
        <w:t xml:space="preserve">рупа или лице </w:t>
      </w:r>
      <w:r w:rsidR="00800EE3">
        <w:rPr>
          <w:lang w:val="bg-BG"/>
        </w:rPr>
        <w:t>право да участва в дейности или да предприема де</w:t>
      </w:r>
      <w:r w:rsidR="002929D1">
        <w:rPr>
          <w:lang w:val="bg-BG"/>
        </w:rPr>
        <w:t>йствия, целящи да разрушат някои</w:t>
      </w:r>
      <w:r w:rsidR="00800EE3">
        <w:rPr>
          <w:lang w:val="bg-BG"/>
        </w:rPr>
        <w:t xml:space="preserve"> от залегналите в настоящия документ права и свободи, или да</w:t>
      </w:r>
      <w:r w:rsidR="002929D1">
        <w:rPr>
          <w:lang w:val="bg-BG"/>
        </w:rPr>
        <w:t xml:space="preserve"> ги ограничат</w:t>
      </w:r>
      <w:r w:rsidR="00800EE3">
        <w:rPr>
          <w:lang w:val="bg-BG"/>
        </w:rPr>
        <w:t xml:space="preserve"> в по-голяма степен от предвидената в Конвенцията</w:t>
      </w:r>
      <w:r w:rsidR="00754296">
        <w:rPr>
          <w:lang w:val="bg-BG"/>
        </w:rPr>
        <w:t>“</w:t>
      </w:r>
      <w:r w:rsidR="00800EE3">
        <w:rPr>
          <w:lang w:val="bg-BG"/>
        </w:rPr>
        <w:t xml:space="preserve"> </w:t>
      </w:r>
      <w:r w:rsidR="005911E9" w:rsidRPr="00945ED6">
        <w:rPr>
          <w:lang w:val="bg-BG"/>
        </w:rPr>
        <w:t>(</w:t>
      </w:r>
      <w:r w:rsidR="00800EE3" w:rsidRPr="00945ED6">
        <w:rPr>
          <w:lang w:val="bg-BG"/>
        </w:rPr>
        <w:t>вж</w:t>
      </w:r>
      <w:r w:rsidR="00754296">
        <w:rPr>
          <w:lang w:val="bg-BG"/>
        </w:rPr>
        <w:t>.</w:t>
      </w:r>
      <w:r w:rsidR="005911E9" w:rsidRPr="00945ED6">
        <w:rPr>
          <w:lang w:val="bg-BG"/>
        </w:rPr>
        <w:t xml:space="preserve"> </w:t>
      </w:r>
      <w:r w:rsidR="005911E9" w:rsidRPr="00BB4F95">
        <w:rPr>
          <w:i/>
          <w:iCs/>
          <w:lang w:val="en-GB"/>
        </w:rPr>
        <w:t>Collected</w:t>
      </w:r>
      <w:r w:rsidR="005911E9" w:rsidRPr="00945ED6">
        <w:rPr>
          <w:i/>
          <w:iCs/>
          <w:lang w:val="bg-BG"/>
        </w:rPr>
        <w:t xml:space="preserve"> </w:t>
      </w:r>
      <w:r w:rsidR="005911E9" w:rsidRPr="00BB4F95">
        <w:rPr>
          <w:i/>
          <w:iCs/>
          <w:lang w:val="en-GB"/>
        </w:rPr>
        <w:t>Edition</w:t>
      </w:r>
      <w:r w:rsidR="005911E9" w:rsidRPr="00945ED6">
        <w:rPr>
          <w:i/>
          <w:iCs/>
          <w:lang w:val="bg-BG"/>
        </w:rPr>
        <w:t xml:space="preserve"> </w:t>
      </w:r>
      <w:r w:rsidR="005911E9" w:rsidRPr="00BB4F95">
        <w:rPr>
          <w:i/>
          <w:iCs/>
          <w:lang w:val="en-GB"/>
        </w:rPr>
        <w:t>of</w:t>
      </w:r>
      <w:r w:rsidR="005911E9" w:rsidRPr="00945ED6">
        <w:rPr>
          <w:i/>
          <w:iCs/>
          <w:lang w:val="bg-BG"/>
        </w:rPr>
        <w:t xml:space="preserve"> </w:t>
      </w:r>
      <w:r w:rsidR="005911E9" w:rsidRPr="00BB4F95">
        <w:rPr>
          <w:i/>
          <w:iCs/>
          <w:lang w:val="en-GB"/>
        </w:rPr>
        <w:t>the</w:t>
      </w:r>
      <w:r w:rsidR="005911E9" w:rsidRPr="00945ED6">
        <w:rPr>
          <w:i/>
          <w:iCs/>
          <w:lang w:val="bg-BG"/>
        </w:rPr>
        <w:t xml:space="preserve"> </w:t>
      </w:r>
      <w:r w:rsidR="00F67CDC" w:rsidRPr="00945ED6">
        <w:rPr>
          <w:i/>
          <w:iCs/>
          <w:lang w:val="bg-BG"/>
        </w:rPr>
        <w:t>“</w:t>
      </w:r>
      <w:r w:rsidR="005911E9" w:rsidRPr="00BB4F95">
        <w:rPr>
          <w:i/>
          <w:iCs/>
          <w:lang w:val="en-GB"/>
        </w:rPr>
        <w:t>Travaux</w:t>
      </w:r>
      <w:r w:rsidR="005911E9" w:rsidRPr="00945ED6">
        <w:rPr>
          <w:i/>
          <w:iCs/>
          <w:lang w:val="bg-BG"/>
        </w:rPr>
        <w:t xml:space="preserve"> </w:t>
      </w:r>
      <w:r w:rsidR="005911E9" w:rsidRPr="00BB4F95">
        <w:rPr>
          <w:i/>
          <w:iCs/>
          <w:lang w:val="en-GB"/>
        </w:rPr>
        <w:t>Pr</w:t>
      </w:r>
      <w:r w:rsidR="005911E9" w:rsidRPr="00945ED6">
        <w:rPr>
          <w:i/>
          <w:iCs/>
          <w:lang w:val="bg-BG"/>
        </w:rPr>
        <w:t>é</w:t>
      </w:r>
      <w:r w:rsidR="005911E9" w:rsidRPr="00BB4F95">
        <w:rPr>
          <w:i/>
          <w:iCs/>
          <w:lang w:val="en-GB"/>
        </w:rPr>
        <w:t>paratoires</w:t>
      </w:r>
      <w:r w:rsidR="00F67CDC" w:rsidRPr="00945ED6">
        <w:rPr>
          <w:i/>
          <w:iCs/>
          <w:lang w:val="bg-BG"/>
        </w:rPr>
        <w:t>”</w:t>
      </w:r>
      <w:r w:rsidR="005911E9" w:rsidRPr="00945ED6">
        <w:rPr>
          <w:i/>
          <w:iCs/>
          <w:lang w:val="bg-BG"/>
        </w:rPr>
        <w:t xml:space="preserve">: </w:t>
      </w:r>
      <w:r w:rsidR="005911E9" w:rsidRPr="00BB4F95">
        <w:rPr>
          <w:i/>
          <w:iCs/>
          <w:lang w:val="en-GB"/>
        </w:rPr>
        <w:t>Official</w:t>
      </w:r>
      <w:r w:rsidR="005911E9" w:rsidRPr="00945ED6">
        <w:rPr>
          <w:i/>
          <w:iCs/>
          <w:lang w:val="bg-BG"/>
        </w:rPr>
        <w:t xml:space="preserve"> </w:t>
      </w:r>
      <w:r w:rsidR="005911E9" w:rsidRPr="00BB4F95">
        <w:rPr>
          <w:i/>
          <w:iCs/>
          <w:lang w:val="en-GB"/>
        </w:rPr>
        <w:t>Report</w:t>
      </w:r>
      <w:r w:rsidR="005911E9" w:rsidRPr="00945ED6">
        <w:rPr>
          <w:i/>
          <w:iCs/>
          <w:lang w:val="bg-BG"/>
        </w:rPr>
        <w:t xml:space="preserve"> </w:t>
      </w:r>
      <w:r w:rsidR="005911E9" w:rsidRPr="00BB4F95">
        <w:rPr>
          <w:i/>
          <w:iCs/>
          <w:lang w:val="en-GB"/>
        </w:rPr>
        <w:t>of</w:t>
      </w:r>
      <w:r w:rsidR="005911E9" w:rsidRPr="00945ED6">
        <w:rPr>
          <w:i/>
          <w:iCs/>
          <w:lang w:val="bg-BG"/>
        </w:rPr>
        <w:t xml:space="preserve"> </w:t>
      </w:r>
      <w:r w:rsidR="005911E9" w:rsidRPr="00BB4F95">
        <w:rPr>
          <w:i/>
          <w:iCs/>
          <w:lang w:val="en-GB"/>
        </w:rPr>
        <w:t>the</w:t>
      </w:r>
      <w:r w:rsidR="005911E9" w:rsidRPr="00945ED6">
        <w:rPr>
          <w:i/>
          <w:iCs/>
          <w:lang w:val="bg-BG"/>
        </w:rPr>
        <w:t xml:space="preserve"> </w:t>
      </w:r>
      <w:r w:rsidR="005911E9" w:rsidRPr="00BB4F95">
        <w:rPr>
          <w:i/>
          <w:iCs/>
          <w:lang w:val="en-GB"/>
        </w:rPr>
        <w:t>Consultative</w:t>
      </w:r>
      <w:r w:rsidR="005911E9" w:rsidRPr="00945ED6">
        <w:rPr>
          <w:i/>
          <w:iCs/>
          <w:lang w:val="bg-BG"/>
        </w:rPr>
        <w:t xml:space="preserve"> </w:t>
      </w:r>
      <w:r w:rsidR="005911E9" w:rsidRPr="00BB4F95">
        <w:rPr>
          <w:i/>
          <w:iCs/>
          <w:lang w:val="en-GB"/>
        </w:rPr>
        <w:t>Assembly</w:t>
      </w:r>
      <w:r w:rsidR="005911E9" w:rsidRPr="00945ED6">
        <w:rPr>
          <w:iCs/>
          <w:lang w:val="bg-BG"/>
        </w:rPr>
        <w:t>,</w:t>
      </w:r>
      <w:r w:rsidR="005911E9" w:rsidRPr="00945ED6">
        <w:rPr>
          <w:i/>
          <w:iCs/>
          <w:lang w:val="bg-BG"/>
        </w:rPr>
        <w:t xml:space="preserve"> </w:t>
      </w:r>
      <w:r w:rsidR="00800EE3" w:rsidRPr="00945ED6">
        <w:rPr>
          <w:lang w:val="bg-BG"/>
        </w:rPr>
        <w:t xml:space="preserve">1949, </w:t>
      </w:r>
      <w:r w:rsidR="00800EE3">
        <w:rPr>
          <w:lang w:val="bg-BG"/>
        </w:rPr>
        <w:t>стр</w:t>
      </w:r>
      <w:r w:rsidR="00AC0C01" w:rsidRPr="00945ED6">
        <w:rPr>
          <w:lang w:val="bg-BG"/>
        </w:rPr>
        <w:t>.</w:t>
      </w:r>
      <w:r w:rsidR="00AC0C01">
        <w:rPr>
          <w:lang w:val="en-GB"/>
        </w:rPr>
        <w:t> </w:t>
      </w:r>
      <w:r w:rsidR="00AC0C01" w:rsidRPr="00945ED6">
        <w:rPr>
          <w:lang w:val="bg-BG"/>
        </w:rPr>
        <w:t>1235-</w:t>
      </w:r>
      <w:r w:rsidR="005911E9" w:rsidRPr="00945ED6">
        <w:rPr>
          <w:lang w:val="bg-BG"/>
        </w:rPr>
        <w:t>39).</w:t>
      </w:r>
      <w:r w:rsidR="002929D1">
        <w:rPr>
          <w:lang w:val="bg-BG"/>
        </w:rPr>
        <w:t xml:space="preserve"> </w:t>
      </w:r>
      <w:r w:rsidR="00754296">
        <w:rPr>
          <w:lang w:val="bg-BG"/>
        </w:rPr>
        <w:t xml:space="preserve">Като следва </w:t>
      </w:r>
      <w:r w:rsidR="002929D1">
        <w:rPr>
          <w:lang w:val="bg-BG"/>
        </w:rPr>
        <w:t>тази</w:t>
      </w:r>
      <w:r w:rsidR="00800EE3">
        <w:rPr>
          <w:lang w:val="bg-BG"/>
        </w:rPr>
        <w:t xml:space="preserve"> линия на обосновка, Съдът смята, че никой няма право да разчита на разпоредбите в Конвенцията, за да разклаща или унищожава идеалите и ценностите на демократичното общество</w:t>
      </w:r>
      <w:r w:rsidR="00800EE3" w:rsidRPr="00945ED6">
        <w:rPr>
          <w:lang w:val="bg-BG"/>
        </w:rPr>
        <w:t xml:space="preserve"> (вж</w:t>
      </w:r>
      <w:r w:rsidR="00FC728A" w:rsidRPr="00945ED6">
        <w:rPr>
          <w:lang w:val="bg-BG"/>
        </w:rPr>
        <w:t xml:space="preserve"> </w:t>
      </w:r>
      <w:r w:rsidR="005911E9" w:rsidRPr="00BB4F95">
        <w:rPr>
          <w:i/>
          <w:iCs/>
          <w:lang w:val="en-GB"/>
        </w:rPr>
        <w:t>Refah</w:t>
      </w:r>
      <w:r w:rsidR="005911E9" w:rsidRPr="00945ED6">
        <w:rPr>
          <w:i/>
          <w:iCs/>
          <w:lang w:val="bg-BG"/>
        </w:rPr>
        <w:t xml:space="preserve"> </w:t>
      </w:r>
      <w:r w:rsidR="005911E9" w:rsidRPr="00BB4F95">
        <w:rPr>
          <w:i/>
          <w:iCs/>
          <w:lang w:val="en-GB"/>
        </w:rPr>
        <w:t>Partisi</w:t>
      </w:r>
      <w:r w:rsidR="00AC0C01" w:rsidRPr="00945ED6">
        <w:rPr>
          <w:i/>
          <w:iCs/>
          <w:lang w:val="bg-BG"/>
        </w:rPr>
        <w:t xml:space="preserve"> (</w:t>
      </w:r>
      <w:r w:rsidR="00AC0C01">
        <w:rPr>
          <w:i/>
          <w:iCs/>
          <w:lang w:val="en-GB"/>
        </w:rPr>
        <w:t>the</w:t>
      </w:r>
      <w:r w:rsidR="00AC0C01" w:rsidRPr="00945ED6">
        <w:rPr>
          <w:i/>
          <w:iCs/>
          <w:lang w:val="bg-BG"/>
        </w:rPr>
        <w:t xml:space="preserve"> </w:t>
      </w:r>
      <w:r w:rsidR="00AC0C01">
        <w:rPr>
          <w:i/>
          <w:iCs/>
          <w:lang w:val="en-GB"/>
        </w:rPr>
        <w:t>Welfare</w:t>
      </w:r>
      <w:r w:rsidR="00AC0C01" w:rsidRPr="00945ED6">
        <w:rPr>
          <w:i/>
          <w:iCs/>
          <w:lang w:val="bg-BG"/>
        </w:rPr>
        <w:t xml:space="preserve"> </w:t>
      </w:r>
      <w:r w:rsidR="00AC0C01">
        <w:rPr>
          <w:i/>
          <w:iCs/>
          <w:lang w:val="en-GB"/>
        </w:rPr>
        <w:t>Party</w:t>
      </w:r>
      <w:r w:rsidR="00AC0C01" w:rsidRPr="00945ED6">
        <w:rPr>
          <w:i/>
          <w:iCs/>
          <w:lang w:val="bg-BG"/>
        </w:rPr>
        <w:t xml:space="preserve">) </w:t>
      </w:r>
      <w:r w:rsidR="00AC0C01">
        <w:rPr>
          <w:i/>
          <w:iCs/>
          <w:lang w:val="en-GB"/>
        </w:rPr>
        <w:t>and</w:t>
      </w:r>
      <w:r w:rsidR="00AC0C01" w:rsidRPr="00945ED6">
        <w:rPr>
          <w:i/>
          <w:iCs/>
          <w:lang w:val="bg-BG"/>
        </w:rPr>
        <w:t xml:space="preserve"> </w:t>
      </w:r>
      <w:r w:rsidR="00AC0C01">
        <w:rPr>
          <w:i/>
          <w:iCs/>
          <w:lang w:val="en-GB"/>
        </w:rPr>
        <w:t>Others</w:t>
      </w:r>
      <w:r w:rsidR="00AC0C01" w:rsidRPr="00945ED6">
        <w:rPr>
          <w:lang w:val="bg-BG"/>
        </w:rPr>
        <w:t xml:space="preserve">, </w:t>
      </w:r>
      <w:r w:rsidR="00800EE3" w:rsidRPr="00945ED6">
        <w:rPr>
          <w:lang w:val="bg-BG"/>
        </w:rPr>
        <w:t>цитирано по-горе</w:t>
      </w:r>
      <w:r w:rsidR="005911E9" w:rsidRPr="00945ED6">
        <w:rPr>
          <w:lang w:val="bg-BG"/>
        </w:rPr>
        <w:t>,</w:t>
      </w:r>
      <w:r w:rsidR="000E12E3" w:rsidRPr="00945ED6">
        <w:rPr>
          <w:i/>
          <w:lang w:val="bg-BG"/>
        </w:rPr>
        <w:t xml:space="preserve"> </w:t>
      </w:r>
      <w:r w:rsidR="00AC0C01" w:rsidRPr="00945ED6">
        <w:rPr>
          <w:lang w:val="bg-BG"/>
        </w:rPr>
        <w:t xml:space="preserve">§ </w:t>
      </w:r>
      <w:r w:rsidR="005911E9" w:rsidRPr="00945ED6">
        <w:rPr>
          <w:lang w:val="bg-BG"/>
        </w:rPr>
        <w:t>99).</w:t>
      </w:r>
    </w:p>
    <w:p w:rsidR="004C1807"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100</w:t>
      </w:r>
      <w:r w:rsidRPr="00E17978">
        <w:fldChar w:fldCharType="end"/>
      </w:r>
      <w:r w:rsidR="005911E9" w:rsidRPr="00945ED6">
        <w:rPr>
          <w:lang w:val="bg-BG"/>
        </w:rPr>
        <w:t>.</w:t>
      </w:r>
      <w:r w:rsidR="004C1807">
        <w:rPr>
          <w:lang w:val="bg-BG"/>
        </w:rPr>
        <w:t xml:space="preserve"> Следователно с цел да гарантира стабилността и ефективността на демократичната система, на държавата може да се наложи да вземе извънре</w:t>
      </w:r>
      <w:r w:rsidR="002929D1">
        <w:rPr>
          <w:lang w:val="bg-BG"/>
        </w:rPr>
        <w:t>дни мерки, за да се защити. По този начин</w:t>
      </w:r>
      <w:r w:rsidR="004C1807">
        <w:rPr>
          <w:lang w:val="bg-BG"/>
        </w:rPr>
        <w:t xml:space="preserve"> в гореспоменатото решение по делото </w:t>
      </w:r>
      <w:r w:rsidR="004C1807" w:rsidRPr="00BB4F95">
        <w:rPr>
          <w:i/>
          <w:iCs/>
          <w:lang w:val="en-GB"/>
        </w:rPr>
        <w:t>Vogt</w:t>
      </w:r>
      <w:r w:rsidR="002929D1">
        <w:rPr>
          <w:iCs/>
          <w:lang w:val="bg-BG"/>
        </w:rPr>
        <w:t>, с оглед</w:t>
      </w:r>
      <w:r w:rsidR="004C1807">
        <w:rPr>
          <w:iCs/>
          <w:lang w:val="bg-BG"/>
        </w:rPr>
        <w:t xml:space="preserve"> на изискването за политическа лоялност от страна на държавните служители, Съдът потвърждава легитимността на идеята за </w:t>
      </w:r>
      <w:r w:rsidR="00044EA9">
        <w:rPr>
          <w:lang w:val="bg-BG"/>
        </w:rPr>
        <w:t>„</w:t>
      </w:r>
      <w:r w:rsidR="00DF0C7D" w:rsidRPr="00945ED6">
        <w:rPr>
          <w:lang w:val="bg-BG"/>
        </w:rPr>
        <w:t>демокрация, която е в състояние да се защитава</w:t>
      </w:r>
      <w:r w:rsidR="00754296">
        <w:rPr>
          <w:lang w:val="bg-BG"/>
        </w:rPr>
        <w:t>“</w:t>
      </w:r>
      <w:r w:rsidR="004C1807" w:rsidRPr="00945ED6">
        <w:rPr>
          <w:lang w:val="bg-BG"/>
        </w:rPr>
        <w:t xml:space="preserve"> (§§ 51 и 59).</w:t>
      </w:r>
      <w:r w:rsidR="004C1807" w:rsidRPr="00DF0C7D">
        <w:rPr>
          <w:lang w:val="bg-BG"/>
        </w:rPr>
        <w:t xml:space="preserve"> Съдът намира също така, че плурализмът и демокрацията се основават на</w:t>
      </w:r>
      <w:r w:rsidR="00DF0C7D" w:rsidRPr="00945ED6">
        <w:rPr>
          <w:lang w:val="bg-BG"/>
        </w:rPr>
        <w:t xml:space="preserve"> </w:t>
      </w:r>
      <w:r w:rsidR="00DF0C7D" w:rsidRPr="00DF0C7D">
        <w:rPr>
          <w:lang w:val="bg-BG"/>
        </w:rPr>
        <w:t>компромиси и от отделните лица се изисква да правят отстъпки и</w:t>
      </w:r>
      <w:r w:rsidR="004C1807" w:rsidRPr="00DF0C7D">
        <w:rPr>
          <w:lang w:val="bg-BG"/>
        </w:rPr>
        <w:t xml:space="preserve"> </w:t>
      </w:r>
      <w:r w:rsidR="00DF0C7D">
        <w:rPr>
          <w:lang w:val="bg-BG"/>
        </w:rPr>
        <w:t xml:space="preserve">понякога </w:t>
      </w:r>
      <w:r w:rsidR="004C1807">
        <w:rPr>
          <w:lang w:val="bg-BG"/>
        </w:rPr>
        <w:t xml:space="preserve">да са готови да ограничат някои от свободите си, за да се гарантира по-голяма стабилност на държавата като цяло </w:t>
      </w:r>
      <w:r w:rsidR="004C1807" w:rsidRPr="00945ED6">
        <w:rPr>
          <w:lang w:val="bg-BG"/>
        </w:rPr>
        <w:t>(</w:t>
      </w:r>
      <w:r w:rsidR="004C1807" w:rsidRPr="00BB4F95">
        <w:rPr>
          <w:i/>
          <w:iCs/>
          <w:lang w:val="en-GB"/>
        </w:rPr>
        <w:t>Refah</w:t>
      </w:r>
      <w:r w:rsidR="004C1807" w:rsidRPr="00945ED6">
        <w:rPr>
          <w:i/>
          <w:iCs/>
          <w:lang w:val="bg-BG"/>
        </w:rPr>
        <w:t xml:space="preserve"> </w:t>
      </w:r>
      <w:r w:rsidR="004C1807" w:rsidRPr="00BB4F95">
        <w:rPr>
          <w:i/>
          <w:iCs/>
          <w:lang w:val="en-GB"/>
        </w:rPr>
        <w:t>Partisi</w:t>
      </w:r>
      <w:r w:rsidR="004C1807" w:rsidRPr="00945ED6">
        <w:rPr>
          <w:i/>
          <w:iCs/>
          <w:lang w:val="bg-BG"/>
        </w:rPr>
        <w:t xml:space="preserve"> (</w:t>
      </w:r>
      <w:r w:rsidR="004C1807">
        <w:rPr>
          <w:i/>
          <w:iCs/>
          <w:lang w:val="en-GB"/>
        </w:rPr>
        <w:t>the</w:t>
      </w:r>
      <w:r w:rsidR="004C1807" w:rsidRPr="00945ED6">
        <w:rPr>
          <w:i/>
          <w:iCs/>
          <w:lang w:val="bg-BG"/>
        </w:rPr>
        <w:t xml:space="preserve"> </w:t>
      </w:r>
      <w:r w:rsidR="004C1807">
        <w:rPr>
          <w:i/>
          <w:iCs/>
          <w:lang w:val="en-GB"/>
        </w:rPr>
        <w:t>Welfare</w:t>
      </w:r>
      <w:r w:rsidR="004C1807" w:rsidRPr="00945ED6">
        <w:rPr>
          <w:i/>
          <w:iCs/>
          <w:lang w:val="bg-BG"/>
        </w:rPr>
        <w:t xml:space="preserve"> </w:t>
      </w:r>
      <w:r w:rsidR="004C1807">
        <w:rPr>
          <w:i/>
          <w:iCs/>
          <w:lang w:val="en-GB"/>
        </w:rPr>
        <w:t>Party</w:t>
      </w:r>
      <w:r w:rsidR="004C1807" w:rsidRPr="00945ED6">
        <w:rPr>
          <w:i/>
          <w:iCs/>
          <w:lang w:val="bg-BG"/>
        </w:rPr>
        <w:t xml:space="preserve">) </w:t>
      </w:r>
      <w:r w:rsidR="004C1807" w:rsidRPr="00BB4F95">
        <w:rPr>
          <w:i/>
          <w:iCs/>
          <w:lang w:val="en-GB"/>
        </w:rPr>
        <w:t>and</w:t>
      </w:r>
      <w:r w:rsidR="004C1807" w:rsidRPr="00945ED6">
        <w:rPr>
          <w:i/>
          <w:iCs/>
          <w:lang w:val="bg-BG"/>
        </w:rPr>
        <w:t xml:space="preserve"> </w:t>
      </w:r>
      <w:r w:rsidR="004C1807" w:rsidRPr="00BB4F95">
        <w:rPr>
          <w:i/>
          <w:iCs/>
          <w:lang w:val="en-GB"/>
        </w:rPr>
        <w:t>Others</w:t>
      </w:r>
      <w:r w:rsidR="004C1807" w:rsidRPr="00945ED6">
        <w:rPr>
          <w:iCs/>
          <w:lang w:val="bg-BG"/>
        </w:rPr>
        <w:t>,</w:t>
      </w:r>
      <w:r w:rsidR="004C1807" w:rsidRPr="00945ED6">
        <w:rPr>
          <w:i/>
          <w:iCs/>
          <w:lang w:val="bg-BG"/>
        </w:rPr>
        <w:t xml:space="preserve"> </w:t>
      </w:r>
      <w:r w:rsidR="004C1807" w:rsidRPr="00945ED6">
        <w:rPr>
          <w:lang w:val="bg-BG"/>
        </w:rPr>
        <w:t>цитирано по-горе, § 99).</w:t>
      </w:r>
      <w:r w:rsidR="001E23B4" w:rsidRPr="00945ED6">
        <w:rPr>
          <w:lang w:val="bg-BG"/>
        </w:rPr>
        <w:t xml:space="preserve"> </w:t>
      </w:r>
      <w:r w:rsidR="001E23B4">
        <w:rPr>
          <w:lang w:val="bg-BG"/>
        </w:rPr>
        <w:t>Проблемът, който се поставя след това, касае постигането на компромис между изискванията за защита на демократичното общество, от една страна, и за защита на правата на отделния индивид, от друга (вж</w:t>
      </w:r>
      <w:r w:rsidR="00754296">
        <w:rPr>
          <w:lang w:val="bg-BG"/>
        </w:rPr>
        <w:t>.</w:t>
      </w:r>
      <w:r w:rsidR="001E23B4">
        <w:rPr>
          <w:lang w:val="bg-BG"/>
        </w:rPr>
        <w:t xml:space="preserve"> </w:t>
      </w:r>
      <w:r w:rsidR="001E23B4" w:rsidRPr="00BB4F95">
        <w:rPr>
          <w:i/>
          <w:iCs/>
          <w:lang w:val="en-GB"/>
        </w:rPr>
        <w:t>United</w:t>
      </w:r>
      <w:r w:rsidR="001E23B4" w:rsidRPr="00945ED6">
        <w:rPr>
          <w:i/>
          <w:iCs/>
          <w:lang w:val="bg-BG"/>
        </w:rPr>
        <w:t xml:space="preserve"> </w:t>
      </w:r>
      <w:r w:rsidR="001E23B4" w:rsidRPr="00BB4F95">
        <w:rPr>
          <w:i/>
          <w:iCs/>
          <w:lang w:val="en-GB"/>
        </w:rPr>
        <w:t>Communist</w:t>
      </w:r>
      <w:r w:rsidR="001E23B4" w:rsidRPr="00945ED6">
        <w:rPr>
          <w:i/>
          <w:iCs/>
          <w:lang w:val="bg-BG"/>
        </w:rPr>
        <w:t xml:space="preserve"> </w:t>
      </w:r>
      <w:r w:rsidR="001E23B4" w:rsidRPr="00BB4F95">
        <w:rPr>
          <w:i/>
          <w:iCs/>
          <w:lang w:val="en-GB"/>
        </w:rPr>
        <w:t>Party</w:t>
      </w:r>
      <w:r w:rsidR="001E23B4" w:rsidRPr="00945ED6">
        <w:rPr>
          <w:i/>
          <w:iCs/>
          <w:lang w:val="bg-BG"/>
        </w:rPr>
        <w:t xml:space="preserve"> </w:t>
      </w:r>
      <w:r w:rsidR="001E23B4" w:rsidRPr="00BB4F95">
        <w:rPr>
          <w:i/>
          <w:iCs/>
          <w:lang w:val="en-GB"/>
        </w:rPr>
        <w:t>of</w:t>
      </w:r>
      <w:r w:rsidR="001E23B4" w:rsidRPr="00945ED6">
        <w:rPr>
          <w:i/>
          <w:iCs/>
          <w:lang w:val="bg-BG"/>
        </w:rPr>
        <w:t xml:space="preserve"> </w:t>
      </w:r>
      <w:r w:rsidR="001E23B4" w:rsidRPr="00BB4F95">
        <w:rPr>
          <w:i/>
          <w:iCs/>
          <w:lang w:val="en-GB"/>
        </w:rPr>
        <w:t>Turkey</w:t>
      </w:r>
      <w:r w:rsidR="001E23B4" w:rsidRPr="00945ED6">
        <w:rPr>
          <w:i/>
          <w:iCs/>
          <w:lang w:val="bg-BG"/>
        </w:rPr>
        <w:t xml:space="preserve"> </w:t>
      </w:r>
      <w:r w:rsidR="001E23B4" w:rsidRPr="00BB4F95">
        <w:rPr>
          <w:i/>
          <w:iCs/>
          <w:lang w:val="en-GB"/>
        </w:rPr>
        <w:t>and</w:t>
      </w:r>
      <w:r w:rsidR="001E23B4" w:rsidRPr="00945ED6">
        <w:rPr>
          <w:i/>
          <w:iCs/>
          <w:lang w:val="bg-BG"/>
        </w:rPr>
        <w:t xml:space="preserve"> </w:t>
      </w:r>
      <w:r w:rsidR="001E23B4" w:rsidRPr="00BB4F95">
        <w:rPr>
          <w:i/>
          <w:iCs/>
          <w:lang w:val="en-GB"/>
        </w:rPr>
        <w:t>Others</w:t>
      </w:r>
      <w:r w:rsidR="001E23B4" w:rsidRPr="00945ED6">
        <w:rPr>
          <w:lang w:val="bg-BG"/>
        </w:rPr>
        <w:t>, цитирано по-горе, § 32</w:t>
      </w:r>
      <w:r w:rsidR="001E23B4">
        <w:rPr>
          <w:lang w:val="bg-BG"/>
        </w:rPr>
        <w:t>).</w:t>
      </w:r>
      <w:r w:rsidR="00DF0C7D">
        <w:rPr>
          <w:lang w:val="bg-BG"/>
        </w:rPr>
        <w:t xml:space="preserve"> Всеки път,</w:t>
      </w:r>
      <w:r w:rsidR="002929D1">
        <w:rPr>
          <w:lang w:val="bg-BG"/>
        </w:rPr>
        <w:t xml:space="preserve"> когато една държава реши</w:t>
      </w:r>
      <w:r w:rsidR="00DF0C7D">
        <w:rPr>
          <w:lang w:val="bg-BG"/>
        </w:rPr>
        <w:t xml:space="preserve"> да разчита на принципа за </w:t>
      </w:r>
      <w:r w:rsidR="00044EA9">
        <w:rPr>
          <w:lang w:val="bg-BG"/>
        </w:rPr>
        <w:t>„</w:t>
      </w:r>
      <w:r w:rsidR="00DF0C7D" w:rsidRPr="00945ED6">
        <w:rPr>
          <w:lang w:val="bg-BG"/>
        </w:rPr>
        <w:t>демокрация, която е в състояние да се защитава</w:t>
      </w:r>
      <w:r w:rsidR="00F67CDC" w:rsidRPr="00945ED6">
        <w:rPr>
          <w:lang w:val="bg-BG"/>
        </w:rPr>
        <w:t>”</w:t>
      </w:r>
      <w:r w:rsidR="00DF0C7D">
        <w:rPr>
          <w:lang w:val="bg-BG"/>
        </w:rPr>
        <w:t xml:space="preserve">, за да оправдае намесата в правата на отделния индивид, тя трябва внимателно да прецени мащаба и последствията от обмисляната мярка, с цел да гарантира постигането на гореспоменатия баланс. </w:t>
      </w:r>
      <w:r w:rsidR="001E23B4">
        <w:rPr>
          <w:lang w:val="bg-BG"/>
        </w:rPr>
        <w:t xml:space="preserve"> </w:t>
      </w:r>
      <w:r w:rsidR="004C1807">
        <w:rPr>
          <w:lang w:val="bg-BG"/>
        </w:rPr>
        <w:t xml:space="preserve"> </w:t>
      </w:r>
      <w:r w:rsidR="005911E9" w:rsidRPr="00BB4F95">
        <w:rPr>
          <w:lang w:val="en-GB"/>
        </w:rPr>
        <w:t>  </w:t>
      </w:r>
    </w:p>
    <w:p w:rsidR="00DF0C7D" w:rsidRPr="00945ED6" w:rsidRDefault="005D3E62" w:rsidP="00B8206D">
      <w:pPr>
        <w:pStyle w:val="JuPara"/>
        <w:rPr>
          <w:lang w:val="bg-BG"/>
        </w:rPr>
      </w:pPr>
      <w:r w:rsidRPr="00E17978">
        <w:fldChar w:fldCharType="begin"/>
      </w:r>
      <w:r w:rsidR="005911E9" w:rsidRPr="00945ED6">
        <w:rPr>
          <w:lang w:val="bg-BG"/>
        </w:rPr>
        <w:instrText xml:space="preserve"> </w:instrText>
      </w:r>
      <w:r w:rsidR="005911E9" w:rsidRPr="00BB4F95">
        <w:rPr>
          <w:lang w:val="en-GB"/>
        </w:rPr>
        <w:instrText>SEQ</w:instrText>
      </w:r>
      <w:r w:rsidR="005911E9" w:rsidRPr="00945ED6">
        <w:rPr>
          <w:lang w:val="bg-BG"/>
        </w:rPr>
        <w:instrText xml:space="preserve"> </w:instrText>
      </w:r>
      <w:r w:rsidR="005911E9" w:rsidRPr="00BB4F95">
        <w:rPr>
          <w:lang w:val="en-GB"/>
        </w:rPr>
        <w:instrText>level</w:instrText>
      </w:r>
      <w:r w:rsidR="005911E9" w:rsidRPr="00945ED6">
        <w:rPr>
          <w:lang w:val="bg-BG"/>
        </w:rPr>
        <w:instrText>0 \*</w:instrText>
      </w:r>
      <w:r w:rsidR="005911E9" w:rsidRPr="00BB4F95">
        <w:rPr>
          <w:lang w:val="en-GB"/>
        </w:rPr>
        <w:instrText>arabic</w:instrText>
      </w:r>
      <w:r w:rsidR="005911E9" w:rsidRPr="00945ED6">
        <w:rPr>
          <w:lang w:val="bg-BG"/>
        </w:rPr>
        <w:instrText xml:space="preserve"> </w:instrText>
      </w:r>
      <w:r w:rsidRPr="00E17978">
        <w:fldChar w:fldCharType="separate"/>
      </w:r>
      <w:r w:rsidR="00955550" w:rsidRPr="00945ED6">
        <w:rPr>
          <w:noProof/>
          <w:lang w:val="bg-BG"/>
        </w:rPr>
        <w:t>101</w:t>
      </w:r>
      <w:r w:rsidRPr="00E17978">
        <w:fldChar w:fldCharType="end"/>
      </w:r>
      <w:r w:rsidR="005911E9" w:rsidRPr="00945ED6">
        <w:rPr>
          <w:lang w:val="bg-BG"/>
        </w:rPr>
        <w:t>.</w:t>
      </w:r>
      <w:r w:rsidR="00DF0C7D" w:rsidRPr="00945ED6">
        <w:rPr>
          <w:lang w:val="bg-BG"/>
        </w:rPr>
        <w:t xml:space="preserve"> </w:t>
      </w:r>
      <w:r w:rsidR="00DF0C7D">
        <w:rPr>
          <w:lang w:val="bg-BG"/>
        </w:rPr>
        <w:t xml:space="preserve">И накрая във връзка с приложението на мерките, предназначени да защитават демократичните ценности, по делото </w:t>
      </w:r>
      <w:r w:rsidR="00DF0C7D" w:rsidRPr="00BB4F95">
        <w:rPr>
          <w:i/>
          <w:iCs/>
          <w:lang w:val="en-GB"/>
        </w:rPr>
        <w:t>Refah</w:t>
      </w:r>
      <w:r w:rsidR="00DF0C7D" w:rsidRPr="00945ED6">
        <w:rPr>
          <w:i/>
          <w:iCs/>
          <w:lang w:val="bg-BG"/>
        </w:rPr>
        <w:t xml:space="preserve"> </w:t>
      </w:r>
      <w:r w:rsidR="00DF0C7D" w:rsidRPr="00BB4F95">
        <w:rPr>
          <w:i/>
          <w:iCs/>
          <w:lang w:val="en-GB"/>
        </w:rPr>
        <w:t>Partisi</w:t>
      </w:r>
      <w:r w:rsidR="00DF0C7D" w:rsidRPr="00945ED6">
        <w:rPr>
          <w:i/>
          <w:iCs/>
          <w:lang w:val="bg-BG"/>
        </w:rPr>
        <w:t xml:space="preserve"> (</w:t>
      </w:r>
      <w:r w:rsidR="00DF0C7D">
        <w:rPr>
          <w:i/>
          <w:iCs/>
          <w:lang w:val="en-GB"/>
        </w:rPr>
        <w:t>the</w:t>
      </w:r>
      <w:r w:rsidR="00DF0C7D" w:rsidRPr="00945ED6">
        <w:rPr>
          <w:i/>
          <w:iCs/>
          <w:lang w:val="bg-BG"/>
        </w:rPr>
        <w:t xml:space="preserve"> </w:t>
      </w:r>
      <w:r w:rsidR="00DF0C7D">
        <w:rPr>
          <w:i/>
          <w:iCs/>
          <w:lang w:val="en-GB"/>
        </w:rPr>
        <w:t>Welfare</w:t>
      </w:r>
      <w:r w:rsidR="00DF0C7D" w:rsidRPr="00945ED6">
        <w:rPr>
          <w:i/>
          <w:iCs/>
          <w:lang w:val="bg-BG"/>
        </w:rPr>
        <w:t xml:space="preserve"> </w:t>
      </w:r>
      <w:r w:rsidR="00DF0C7D">
        <w:rPr>
          <w:i/>
          <w:iCs/>
          <w:lang w:val="en-GB"/>
        </w:rPr>
        <w:t>Party</w:t>
      </w:r>
      <w:r w:rsidR="00DF0C7D" w:rsidRPr="00945ED6">
        <w:rPr>
          <w:i/>
          <w:iCs/>
          <w:lang w:val="bg-BG"/>
        </w:rPr>
        <w:t xml:space="preserve">) </w:t>
      </w:r>
      <w:r w:rsidR="00DF0C7D" w:rsidRPr="00BB4F95">
        <w:rPr>
          <w:i/>
          <w:iCs/>
          <w:lang w:val="en-GB"/>
        </w:rPr>
        <w:t>and</w:t>
      </w:r>
      <w:r w:rsidR="00DF0C7D" w:rsidRPr="00945ED6">
        <w:rPr>
          <w:i/>
          <w:iCs/>
          <w:lang w:val="bg-BG"/>
        </w:rPr>
        <w:t xml:space="preserve"> </w:t>
      </w:r>
      <w:r w:rsidR="00DF0C7D" w:rsidRPr="00BB4F95">
        <w:rPr>
          <w:i/>
          <w:iCs/>
          <w:lang w:val="en-GB"/>
        </w:rPr>
        <w:t>Others</w:t>
      </w:r>
      <w:r w:rsidR="00DF0C7D" w:rsidRPr="00945ED6">
        <w:rPr>
          <w:lang w:val="bg-BG"/>
        </w:rPr>
        <w:t xml:space="preserve"> (цитирано по-горе, § 102)</w:t>
      </w:r>
      <w:r w:rsidR="00DF0C7D">
        <w:rPr>
          <w:lang w:val="bg-BG"/>
        </w:rPr>
        <w:t xml:space="preserve"> Съдът постановява</w:t>
      </w:r>
      <w:r w:rsidR="00DF0C7D" w:rsidRPr="00945ED6">
        <w:rPr>
          <w:lang w:val="bg-BG"/>
        </w:rPr>
        <w:t>:</w:t>
      </w:r>
      <w:r w:rsidR="00DF0C7D">
        <w:rPr>
          <w:lang w:val="bg-BG"/>
        </w:rPr>
        <w:t xml:space="preserve">  </w:t>
      </w:r>
      <w:r w:rsidR="005911E9" w:rsidRPr="00BB4F95">
        <w:rPr>
          <w:lang w:val="en-GB"/>
        </w:rPr>
        <w:t>  </w:t>
      </w:r>
    </w:p>
    <w:p w:rsidR="005911E9" w:rsidRPr="00F645DF" w:rsidRDefault="00DF0C7D" w:rsidP="00F645DF">
      <w:pPr>
        <w:pStyle w:val="JuQuot"/>
        <w:rPr>
          <w:lang w:val="bg-BG"/>
        </w:rPr>
      </w:pPr>
      <w:r w:rsidRPr="00945ED6">
        <w:rPr>
          <w:lang w:val="bg-BG"/>
        </w:rPr>
        <w:t xml:space="preserve"> </w:t>
      </w:r>
      <w:r w:rsidR="003C3229">
        <w:rPr>
          <w:lang w:val="bg-BG"/>
        </w:rPr>
        <w:t>„</w:t>
      </w:r>
      <w:r w:rsidR="00510E89">
        <w:rPr>
          <w:lang w:val="bg-BG"/>
        </w:rPr>
        <w:t xml:space="preserve">Съдът счита, че от държавата не може да се изисква да чака и да не се намесва, докато дадена политическа партия не изземе властта и не започне да предприема конкретни стъпки по провеждането на политика, несъвместима със стандартите на Конвенцията и демокрацията, при положение че опасността от тази политика за демокрацията е достатъчно добре </w:t>
      </w:r>
      <w:r w:rsidR="002929D1">
        <w:rPr>
          <w:lang w:val="bg-BG"/>
        </w:rPr>
        <w:t>установена и непосредствена</w:t>
      </w:r>
      <w:r w:rsidR="00FA220F">
        <w:rPr>
          <w:lang w:val="bg-BG"/>
        </w:rPr>
        <w:t>. Съдът приема, че ако</w:t>
      </w:r>
      <w:r w:rsidR="00510E89">
        <w:rPr>
          <w:lang w:val="bg-BG"/>
        </w:rPr>
        <w:t xml:space="preserve"> наличието на такава опасност е установено от националните съдилища след подробно и подложено на строг европейски надзор проучване, държавата </w:t>
      </w:r>
      <w:r w:rsidR="00510E89">
        <w:rPr>
          <w:lang w:val="bg-BG"/>
        </w:rPr>
        <w:lastRenderedPageBreak/>
        <w:t xml:space="preserve">може „оправдано да предотврати изпълнението на политика, която е несъвместима с разпоредбите на </w:t>
      </w:r>
      <w:r w:rsidR="002929D1">
        <w:rPr>
          <w:lang w:val="bg-BG"/>
        </w:rPr>
        <w:t>Конвенцията, преди да бъде направен</w:t>
      </w:r>
      <w:r w:rsidR="00510E89">
        <w:rPr>
          <w:lang w:val="bg-BG"/>
        </w:rPr>
        <w:t xml:space="preserve"> опит за провеждането ѝ чрез конкретни стъпки, които биха могли да повлияят върху спокойствието на гражданите и демократичния режим на страната</w:t>
      </w:r>
      <w:r w:rsidR="0091269F" w:rsidRPr="00530E30">
        <w:rPr>
          <w:lang w:val="bg-BG"/>
        </w:rPr>
        <w:t>”</w:t>
      </w:r>
      <w:r w:rsidR="00F645DF">
        <w:rPr>
          <w:lang w:val="bg-BG"/>
        </w:rPr>
        <w:t>. ...</w:t>
      </w:r>
      <w:r w:rsidR="00F67CDC">
        <w:rPr>
          <w:lang w:val="bg-BG"/>
        </w:rPr>
        <w:t>”</w:t>
      </w:r>
      <w:r w:rsidR="00F645DF">
        <w:rPr>
          <w:lang w:val="bg-BG"/>
        </w:rPr>
        <w:t xml:space="preserve"> </w:t>
      </w:r>
      <w:r w:rsidR="00510E89">
        <w:rPr>
          <w:lang w:val="bg-BG"/>
        </w:rPr>
        <w:t xml:space="preserve">    </w:t>
      </w:r>
    </w:p>
    <w:p w:rsidR="00656927" w:rsidRPr="00945ED6" w:rsidRDefault="005911E9" w:rsidP="00B8206D">
      <w:pPr>
        <w:pStyle w:val="JuHa0"/>
        <w:rPr>
          <w:lang w:val="bg-BG"/>
        </w:rPr>
      </w:pPr>
      <w:r w:rsidRPr="0068476B">
        <w:rPr>
          <w:lang w:val="bg-BG"/>
        </w:rPr>
        <w:t>(</w:t>
      </w:r>
      <w:r w:rsidR="006665A7" w:rsidRPr="0068476B">
        <w:rPr>
          <w:lang w:val="bg-BG"/>
        </w:rPr>
        <w:t>б</w:t>
      </w:r>
      <w:r w:rsidRPr="0068476B">
        <w:rPr>
          <w:lang w:val="bg-BG"/>
        </w:rPr>
        <w:t>)</w:t>
      </w:r>
      <w:r w:rsidRPr="0068476B">
        <w:t>  </w:t>
      </w:r>
      <w:r w:rsidR="00415539">
        <w:rPr>
          <w:lang w:val="bg-BG"/>
        </w:rPr>
        <w:t>Проверката</w:t>
      </w:r>
      <w:r w:rsidR="00415539" w:rsidRPr="0068476B">
        <w:rPr>
          <w:lang w:val="bg-BG"/>
        </w:rPr>
        <w:t xml:space="preserve"> </w:t>
      </w:r>
      <w:r w:rsidR="00415539">
        <w:rPr>
          <w:lang w:val="bg-BG"/>
        </w:rPr>
        <w:t>от</w:t>
      </w:r>
      <w:r w:rsidR="00415539" w:rsidRPr="0068476B">
        <w:rPr>
          <w:lang w:val="bg-BG"/>
        </w:rPr>
        <w:t xml:space="preserve"> </w:t>
      </w:r>
      <w:r w:rsidR="00F539EE" w:rsidRPr="0068476B">
        <w:rPr>
          <w:lang w:val="bg-BG"/>
        </w:rPr>
        <w:t>Съда</w:t>
      </w:r>
      <w:r w:rsidR="0068476B" w:rsidRPr="0068476B">
        <w:rPr>
          <w:lang w:val="bg-BG"/>
        </w:rPr>
        <w:t xml:space="preserve"> по</w:t>
      </w:r>
      <w:r w:rsidR="00F539EE" w:rsidRPr="00945ED6">
        <w:rPr>
          <w:lang w:val="bg-BG"/>
        </w:rPr>
        <w:t xml:space="preserve"> ч</w:t>
      </w:r>
      <w:r w:rsidR="00AF2DB3" w:rsidRPr="00945ED6">
        <w:rPr>
          <w:lang w:val="bg-BG"/>
        </w:rPr>
        <w:t>л</w:t>
      </w:r>
      <w:r w:rsidR="00415539">
        <w:rPr>
          <w:lang w:val="bg-BG"/>
        </w:rPr>
        <w:t>ен</w:t>
      </w:r>
      <w:r w:rsidR="00AF2DB3" w:rsidRPr="00945ED6">
        <w:rPr>
          <w:lang w:val="bg-BG"/>
        </w:rPr>
        <w:t xml:space="preserve"> 3 от Протокол № 1</w:t>
      </w:r>
    </w:p>
    <w:p w:rsidR="00F645DF" w:rsidRPr="00945ED6" w:rsidRDefault="005D3E62" w:rsidP="00B8206D">
      <w:pPr>
        <w:pStyle w:val="JuPara"/>
        <w:rPr>
          <w:lang w:val="bg-BG"/>
        </w:rPr>
      </w:pPr>
      <w:r w:rsidRPr="00E17978">
        <w:fldChar w:fldCharType="begin"/>
      </w:r>
      <w:r w:rsidR="002975AA" w:rsidRPr="00945ED6">
        <w:rPr>
          <w:lang w:val="bg-BG"/>
        </w:rPr>
        <w:instrText xml:space="preserve"> </w:instrText>
      </w:r>
      <w:r w:rsidR="002975AA" w:rsidRPr="00BB4F95">
        <w:rPr>
          <w:lang w:val="en-GB"/>
        </w:rPr>
        <w:instrText>SEQ</w:instrText>
      </w:r>
      <w:r w:rsidR="002975AA" w:rsidRPr="00945ED6">
        <w:rPr>
          <w:lang w:val="bg-BG"/>
        </w:rPr>
        <w:instrText xml:space="preserve"> </w:instrText>
      </w:r>
      <w:r w:rsidR="002975AA" w:rsidRPr="00BB4F95">
        <w:rPr>
          <w:lang w:val="en-GB"/>
        </w:rPr>
        <w:instrText>level</w:instrText>
      </w:r>
      <w:r w:rsidR="002975AA" w:rsidRPr="00945ED6">
        <w:rPr>
          <w:lang w:val="bg-BG"/>
        </w:rPr>
        <w:instrText>0 \*</w:instrText>
      </w:r>
      <w:r w:rsidR="002975AA" w:rsidRPr="00BB4F95">
        <w:rPr>
          <w:lang w:val="en-GB"/>
        </w:rPr>
        <w:instrText>arabic</w:instrText>
      </w:r>
      <w:r w:rsidR="002975AA" w:rsidRPr="00945ED6">
        <w:rPr>
          <w:lang w:val="bg-BG"/>
        </w:rPr>
        <w:instrText xml:space="preserve"> </w:instrText>
      </w:r>
      <w:r w:rsidRPr="00E17978">
        <w:fldChar w:fldCharType="separate"/>
      </w:r>
      <w:r w:rsidR="00955550" w:rsidRPr="00945ED6">
        <w:rPr>
          <w:noProof/>
          <w:lang w:val="bg-BG"/>
        </w:rPr>
        <w:t>102</w:t>
      </w:r>
      <w:r w:rsidRPr="00E17978">
        <w:fldChar w:fldCharType="end"/>
      </w:r>
      <w:r w:rsidR="002975AA" w:rsidRPr="00945ED6">
        <w:rPr>
          <w:lang w:val="bg-BG"/>
        </w:rPr>
        <w:t>.</w:t>
      </w:r>
      <w:r w:rsidR="008C53D4">
        <w:rPr>
          <w:lang w:val="bg-BG"/>
        </w:rPr>
        <w:t xml:space="preserve"> Чл</w:t>
      </w:r>
      <w:r w:rsidR="00062C70">
        <w:rPr>
          <w:lang w:val="bg-BG"/>
        </w:rPr>
        <w:t>ен</w:t>
      </w:r>
      <w:r w:rsidR="008C53D4">
        <w:rPr>
          <w:lang w:val="bg-BG"/>
        </w:rPr>
        <w:t xml:space="preserve"> 3 от Протокол </w:t>
      </w:r>
      <w:r w:rsidR="008C53D4" w:rsidRPr="00BD78EA">
        <w:rPr>
          <w:szCs w:val="24"/>
          <w:cs/>
        </w:rPr>
        <w:t>№</w:t>
      </w:r>
      <w:r w:rsidR="008C53D4" w:rsidRPr="00945ED6">
        <w:rPr>
          <w:lang w:val="bg-BG"/>
        </w:rPr>
        <w:t xml:space="preserve"> 1 се различава от</w:t>
      </w:r>
      <w:r w:rsidR="008C53D4">
        <w:rPr>
          <w:lang w:val="bg-BG"/>
        </w:rPr>
        <w:t xml:space="preserve"> останалите права, гарантирани от Конвенцията и нейните протоколи, тъй като е</w:t>
      </w:r>
      <w:r w:rsidR="00BD777E">
        <w:rPr>
          <w:lang w:val="bg-BG"/>
        </w:rPr>
        <w:t xml:space="preserve"> формулир</w:t>
      </w:r>
      <w:r w:rsidR="008B545E">
        <w:rPr>
          <w:lang w:val="bg-BG"/>
        </w:rPr>
        <w:t>ан с оглед</w:t>
      </w:r>
      <w:r w:rsidR="00BD777E">
        <w:rPr>
          <w:lang w:val="bg-BG"/>
        </w:rPr>
        <w:t xml:space="preserve"> на задъл</w:t>
      </w:r>
      <w:r w:rsidR="002929D1">
        <w:rPr>
          <w:lang w:val="bg-BG"/>
        </w:rPr>
        <w:t>жението на Високодоговарящата</w:t>
      </w:r>
      <w:r w:rsidR="00BD777E">
        <w:rPr>
          <w:lang w:val="bg-BG"/>
        </w:rPr>
        <w:t xml:space="preserve"> страна</w:t>
      </w:r>
      <w:r w:rsidR="008B545E">
        <w:rPr>
          <w:lang w:val="bg-BG"/>
        </w:rPr>
        <w:t xml:space="preserve"> </w:t>
      </w:r>
      <w:r w:rsidR="002929D1">
        <w:rPr>
          <w:lang w:val="bg-BG"/>
        </w:rPr>
        <w:t>да провежда избори, гарантиращи</w:t>
      </w:r>
      <w:r w:rsidR="003205B1">
        <w:rPr>
          <w:lang w:val="bg-BG"/>
        </w:rPr>
        <w:t xml:space="preserve"> правото </w:t>
      </w:r>
      <w:r w:rsidR="00BD777E">
        <w:rPr>
          <w:lang w:val="bg-BG"/>
        </w:rPr>
        <w:t>на свободно изразяване на мне</w:t>
      </w:r>
      <w:r w:rsidR="002929D1">
        <w:rPr>
          <w:lang w:val="bg-BG"/>
        </w:rPr>
        <w:t>ние</w:t>
      </w:r>
      <w:r w:rsidR="008B545E">
        <w:rPr>
          <w:lang w:val="bg-BG"/>
        </w:rPr>
        <w:t>, а не с оглед</w:t>
      </w:r>
      <w:r w:rsidR="00BD777E">
        <w:rPr>
          <w:lang w:val="bg-BG"/>
        </w:rPr>
        <w:t xml:space="preserve"> на определено право или свобода.</w:t>
      </w:r>
      <w:r w:rsidR="00375696">
        <w:rPr>
          <w:lang w:val="bg-BG"/>
        </w:rPr>
        <w:t xml:space="preserve"> Въп</w:t>
      </w:r>
      <w:r w:rsidR="002929D1">
        <w:rPr>
          <w:lang w:val="bg-BG"/>
        </w:rPr>
        <w:t>реки това, с оглед на</w:t>
      </w:r>
      <w:r w:rsidR="00375696">
        <w:rPr>
          <w:lang w:val="bg-BG"/>
        </w:rPr>
        <w:t xml:space="preserve"> подготвителната работа по чл</w:t>
      </w:r>
      <w:r w:rsidR="00062C70">
        <w:rPr>
          <w:lang w:val="bg-BG"/>
        </w:rPr>
        <w:t>ен</w:t>
      </w:r>
      <w:r w:rsidR="00375696">
        <w:rPr>
          <w:lang w:val="bg-BG"/>
        </w:rPr>
        <w:t xml:space="preserve"> 3 от Протокол </w:t>
      </w:r>
      <w:r w:rsidR="00375696" w:rsidRPr="00BD78EA">
        <w:rPr>
          <w:szCs w:val="24"/>
          <w:cs/>
        </w:rPr>
        <w:t>№</w:t>
      </w:r>
      <w:r w:rsidR="00375696" w:rsidRPr="00945ED6">
        <w:rPr>
          <w:lang w:val="bg-BG"/>
        </w:rPr>
        <w:t xml:space="preserve"> 1</w:t>
      </w:r>
      <w:r w:rsidR="00375696">
        <w:rPr>
          <w:lang w:val="bg-BG"/>
        </w:rPr>
        <w:t xml:space="preserve"> и тълкуването на разпоредбата в контекста на Конвенцията кат</w:t>
      </w:r>
      <w:r w:rsidR="00DF1AAD">
        <w:rPr>
          <w:lang w:val="bg-BG"/>
        </w:rPr>
        <w:t>о цяло, Съдът установява</w:t>
      </w:r>
      <w:r w:rsidR="002929D1">
        <w:rPr>
          <w:lang w:val="bg-BG"/>
        </w:rPr>
        <w:t xml:space="preserve">, че </w:t>
      </w:r>
      <w:r w:rsidR="00375696">
        <w:rPr>
          <w:lang w:val="bg-BG"/>
        </w:rPr>
        <w:t xml:space="preserve">тази разпоредба </w:t>
      </w:r>
      <w:r w:rsidR="002929D1">
        <w:rPr>
          <w:lang w:val="bg-BG"/>
        </w:rPr>
        <w:t xml:space="preserve">също </w:t>
      </w:r>
      <w:r w:rsidR="00375696">
        <w:rPr>
          <w:lang w:val="bg-BG"/>
        </w:rPr>
        <w:t>предполага индивидуални права, включително п</w:t>
      </w:r>
      <w:r w:rsidR="009647C5">
        <w:rPr>
          <w:lang w:val="bg-BG"/>
        </w:rPr>
        <w:t>равото на глас и правото на човек да бъде избиран</w:t>
      </w:r>
      <w:r w:rsidR="00375696">
        <w:rPr>
          <w:lang w:val="bg-BG"/>
        </w:rPr>
        <w:t xml:space="preserve"> </w:t>
      </w:r>
      <w:r w:rsidR="00375696" w:rsidRPr="00945ED6">
        <w:rPr>
          <w:lang w:val="bg-BG"/>
        </w:rPr>
        <w:t>(вж</w:t>
      </w:r>
      <w:r w:rsidR="00062C70">
        <w:rPr>
          <w:lang w:val="bg-BG"/>
        </w:rPr>
        <w:t>.</w:t>
      </w:r>
      <w:r w:rsidR="00375696" w:rsidRPr="00945ED6">
        <w:rPr>
          <w:lang w:val="bg-BG"/>
        </w:rPr>
        <w:t xml:space="preserve"> </w:t>
      </w:r>
      <w:r w:rsidR="00375696" w:rsidRPr="00B8206D">
        <w:rPr>
          <w:i/>
          <w:lang w:val="en-GB"/>
        </w:rPr>
        <w:t>Mathieu</w:t>
      </w:r>
      <w:r w:rsidR="00375696" w:rsidRPr="00945ED6">
        <w:rPr>
          <w:i/>
          <w:lang w:val="bg-BG"/>
        </w:rPr>
        <w:t>-</w:t>
      </w:r>
      <w:r w:rsidR="00375696" w:rsidRPr="00B8206D">
        <w:rPr>
          <w:i/>
          <w:lang w:val="en-GB"/>
        </w:rPr>
        <w:t>Mohin</w:t>
      </w:r>
      <w:r w:rsidR="00375696" w:rsidRPr="00945ED6">
        <w:rPr>
          <w:i/>
          <w:lang w:val="bg-BG"/>
        </w:rPr>
        <w:t xml:space="preserve"> </w:t>
      </w:r>
      <w:r w:rsidR="00375696" w:rsidRPr="00B8206D">
        <w:rPr>
          <w:i/>
          <w:lang w:val="en-GB"/>
        </w:rPr>
        <w:t>and</w:t>
      </w:r>
      <w:r w:rsidR="00375696" w:rsidRPr="00945ED6">
        <w:rPr>
          <w:i/>
          <w:lang w:val="bg-BG"/>
        </w:rPr>
        <w:t xml:space="preserve"> </w:t>
      </w:r>
      <w:r w:rsidR="00375696" w:rsidRPr="00B8206D">
        <w:rPr>
          <w:i/>
          <w:lang w:val="en-GB"/>
        </w:rPr>
        <w:t>Clerfayt</w:t>
      </w:r>
      <w:r w:rsidR="00375696" w:rsidRPr="00945ED6">
        <w:rPr>
          <w:i/>
          <w:lang w:val="bg-BG"/>
        </w:rPr>
        <w:t xml:space="preserve"> </w:t>
      </w:r>
      <w:r w:rsidR="00375696" w:rsidRPr="00B8206D">
        <w:rPr>
          <w:i/>
          <w:lang w:val="en-GB"/>
        </w:rPr>
        <w:t>v</w:t>
      </w:r>
      <w:r w:rsidR="00375696" w:rsidRPr="00945ED6">
        <w:rPr>
          <w:i/>
          <w:lang w:val="bg-BG"/>
        </w:rPr>
        <w:t xml:space="preserve">. </w:t>
      </w:r>
      <w:r w:rsidR="00375696" w:rsidRPr="00B8206D">
        <w:rPr>
          <w:i/>
          <w:lang w:val="en-GB"/>
        </w:rPr>
        <w:t>Belgium</w:t>
      </w:r>
      <w:r w:rsidR="00375696" w:rsidRPr="00945ED6">
        <w:rPr>
          <w:lang w:val="bg-BG"/>
        </w:rPr>
        <w:t xml:space="preserve">, 2 март 1987, §§ 46-51, </w:t>
      </w:r>
      <w:r w:rsidR="00375696">
        <w:rPr>
          <w:lang w:val="bg-BG"/>
        </w:rPr>
        <w:t>Серия</w:t>
      </w:r>
      <w:r w:rsidR="00375696" w:rsidRPr="00945ED6">
        <w:rPr>
          <w:lang w:val="bg-BG"/>
        </w:rPr>
        <w:t xml:space="preserve"> </w:t>
      </w:r>
      <w:r w:rsidR="00375696" w:rsidRPr="00B8206D">
        <w:rPr>
          <w:lang w:val="en-GB"/>
        </w:rPr>
        <w:t>A</w:t>
      </w:r>
      <w:r w:rsidR="00375696" w:rsidRPr="00945ED6">
        <w:rPr>
          <w:lang w:val="bg-BG"/>
        </w:rPr>
        <w:t xml:space="preserve"> № 113).</w:t>
      </w:r>
      <w:r w:rsidR="00375696">
        <w:rPr>
          <w:lang w:val="bg-BG"/>
        </w:rPr>
        <w:t xml:space="preserve">  </w:t>
      </w:r>
      <w:r w:rsidR="00BD777E">
        <w:rPr>
          <w:lang w:val="bg-BG"/>
        </w:rPr>
        <w:t xml:space="preserve">  </w:t>
      </w:r>
    </w:p>
    <w:p w:rsidR="00375696" w:rsidRPr="00945ED6" w:rsidRDefault="005D3E62" w:rsidP="00B8206D">
      <w:pPr>
        <w:pStyle w:val="JuPara"/>
        <w:rPr>
          <w:lang w:val="bg-BG"/>
        </w:rPr>
      </w:pPr>
      <w:r w:rsidRPr="00E17978">
        <w:fldChar w:fldCharType="begin"/>
      </w:r>
      <w:r w:rsidR="002975AA" w:rsidRPr="00945ED6">
        <w:rPr>
          <w:lang w:val="bg-BG"/>
        </w:rPr>
        <w:instrText xml:space="preserve"> </w:instrText>
      </w:r>
      <w:r w:rsidR="002975AA" w:rsidRPr="00BB4F95">
        <w:rPr>
          <w:lang w:val="en-GB"/>
        </w:rPr>
        <w:instrText>SEQ</w:instrText>
      </w:r>
      <w:r w:rsidR="002975AA" w:rsidRPr="00945ED6">
        <w:rPr>
          <w:lang w:val="bg-BG"/>
        </w:rPr>
        <w:instrText xml:space="preserve"> </w:instrText>
      </w:r>
      <w:r w:rsidR="002975AA" w:rsidRPr="00BB4F95">
        <w:rPr>
          <w:lang w:val="en-GB"/>
        </w:rPr>
        <w:instrText>level</w:instrText>
      </w:r>
      <w:r w:rsidR="002975AA" w:rsidRPr="00945ED6">
        <w:rPr>
          <w:lang w:val="bg-BG"/>
        </w:rPr>
        <w:instrText>0 \*</w:instrText>
      </w:r>
      <w:r w:rsidR="002975AA" w:rsidRPr="00BB4F95">
        <w:rPr>
          <w:lang w:val="en-GB"/>
        </w:rPr>
        <w:instrText>ARABIC</w:instrText>
      </w:r>
      <w:r w:rsidR="002975AA" w:rsidRPr="00945ED6">
        <w:rPr>
          <w:lang w:val="bg-BG"/>
        </w:rPr>
        <w:instrText xml:space="preserve"> </w:instrText>
      </w:r>
      <w:r w:rsidRPr="00E17978">
        <w:fldChar w:fldCharType="separate"/>
      </w:r>
      <w:r w:rsidR="00955550" w:rsidRPr="00945ED6">
        <w:rPr>
          <w:noProof/>
          <w:lang w:val="bg-BG"/>
        </w:rPr>
        <w:t>103</w:t>
      </w:r>
      <w:r w:rsidRPr="00E17978">
        <w:fldChar w:fldCharType="end"/>
      </w:r>
      <w:r w:rsidR="002975AA" w:rsidRPr="00945ED6">
        <w:rPr>
          <w:lang w:val="bg-BG"/>
        </w:rPr>
        <w:t>.</w:t>
      </w:r>
      <w:r w:rsidR="00EE5C40">
        <w:rPr>
          <w:lang w:val="bg-BG"/>
        </w:rPr>
        <w:t xml:space="preserve"> Правата, гарантирани от</w:t>
      </w:r>
      <w:r w:rsidR="00375696">
        <w:rPr>
          <w:lang w:val="bg-BG"/>
        </w:rPr>
        <w:t xml:space="preserve"> чл</w:t>
      </w:r>
      <w:r w:rsidR="00062C70">
        <w:rPr>
          <w:lang w:val="bg-BG"/>
        </w:rPr>
        <w:t>ен</w:t>
      </w:r>
      <w:r w:rsidR="00375696">
        <w:rPr>
          <w:lang w:val="bg-BG"/>
        </w:rPr>
        <w:t xml:space="preserve"> 3 от Протокол </w:t>
      </w:r>
      <w:r w:rsidR="00375696" w:rsidRPr="00BD78EA">
        <w:rPr>
          <w:szCs w:val="24"/>
          <w:cs/>
        </w:rPr>
        <w:t>№</w:t>
      </w:r>
      <w:r w:rsidR="00375696" w:rsidRPr="00945ED6">
        <w:rPr>
          <w:lang w:val="bg-BG"/>
        </w:rPr>
        <w:t xml:space="preserve"> 1</w:t>
      </w:r>
      <w:r w:rsidR="00375696">
        <w:rPr>
          <w:lang w:val="bg-BG"/>
        </w:rPr>
        <w:t>, са от решаващо значение за полагането и поддържането на основите на ефе</w:t>
      </w:r>
      <w:r w:rsidR="002929D1">
        <w:rPr>
          <w:lang w:val="bg-BG"/>
        </w:rPr>
        <w:t>ктивна и съдържателна демокрация</w:t>
      </w:r>
      <w:r w:rsidR="00451F28">
        <w:rPr>
          <w:lang w:val="bg-BG"/>
        </w:rPr>
        <w:t xml:space="preserve">, ръководена от принципите на правовата държава. Независимо от това тези права не са </w:t>
      </w:r>
      <w:r w:rsidR="002929D1">
        <w:rPr>
          <w:lang w:val="bg-BG"/>
        </w:rPr>
        <w:t>абсолютни. Възможни са</w:t>
      </w:r>
      <w:r w:rsidR="00232BBD">
        <w:rPr>
          <w:lang w:val="bg-BG"/>
        </w:rPr>
        <w:t xml:space="preserve"> „имплицитни</w:t>
      </w:r>
      <w:r w:rsidR="00451F28">
        <w:rPr>
          <w:lang w:val="bg-BG"/>
        </w:rPr>
        <w:t xml:space="preserve"> ограничения</w:t>
      </w:r>
      <w:r w:rsidR="00CB2398">
        <w:rPr>
          <w:lang w:val="bg-BG"/>
        </w:rPr>
        <w:t>“</w:t>
      </w:r>
      <w:r w:rsidR="00451F28">
        <w:rPr>
          <w:lang w:val="bg-BG"/>
        </w:rPr>
        <w:t xml:space="preserve"> и на </w:t>
      </w:r>
      <w:r w:rsidR="0006203B">
        <w:rPr>
          <w:lang w:val="bg-BG"/>
        </w:rPr>
        <w:t>договарящите страни</w:t>
      </w:r>
      <w:r w:rsidR="000F3566">
        <w:rPr>
          <w:lang w:val="bg-BG"/>
        </w:rPr>
        <w:t xml:space="preserve"> трябва да се даде </w:t>
      </w:r>
      <w:r w:rsidR="00D94C17">
        <w:rPr>
          <w:lang w:val="bg-BG"/>
        </w:rPr>
        <w:t>свобода на преценка в тази сфера</w:t>
      </w:r>
      <w:r w:rsidR="00451F28">
        <w:rPr>
          <w:lang w:val="bg-BG"/>
        </w:rPr>
        <w:t>. Съдът потвърждава, че възможностите в това отношение са много</w:t>
      </w:r>
      <w:r w:rsidR="000E31A5">
        <w:rPr>
          <w:lang w:val="bg-BG"/>
        </w:rPr>
        <w:t xml:space="preserve"> </w:t>
      </w:r>
      <w:r w:rsidR="00451F28" w:rsidRPr="00945ED6">
        <w:rPr>
          <w:lang w:val="bg-BG"/>
        </w:rPr>
        <w:t>(</w:t>
      </w:r>
      <w:r w:rsidR="000E31A5" w:rsidRPr="00945ED6">
        <w:rPr>
          <w:lang w:val="bg-BG"/>
        </w:rPr>
        <w:t>вж</w:t>
      </w:r>
      <w:r w:rsidR="00CB2398">
        <w:rPr>
          <w:lang w:val="bg-BG"/>
        </w:rPr>
        <w:t>.</w:t>
      </w:r>
      <w:r w:rsidR="00451F28" w:rsidRPr="00945ED6">
        <w:rPr>
          <w:lang w:val="bg-BG"/>
        </w:rPr>
        <w:t xml:space="preserve"> </w:t>
      </w:r>
      <w:r w:rsidR="00451F28" w:rsidRPr="00BB4F95">
        <w:rPr>
          <w:i/>
          <w:lang w:val="en-GB"/>
        </w:rPr>
        <w:t>Mathieu</w:t>
      </w:r>
      <w:r w:rsidR="00451F28" w:rsidRPr="00945ED6">
        <w:rPr>
          <w:i/>
          <w:lang w:val="bg-BG"/>
        </w:rPr>
        <w:t>-</w:t>
      </w:r>
      <w:r w:rsidR="00451F28" w:rsidRPr="00BB4F95">
        <w:rPr>
          <w:i/>
          <w:lang w:val="en-GB"/>
        </w:rPr>
        <w:t>Mohin</w:t>
      </w:r>
      <w:r w:rsidR="00451F28" w:rsidRPr="00945ED6">
        <w:rPr>
          <w:i/>
          <w:lang w:val="bg-BG"/>
        </w:rPr>
        <w:t xml:space="preserve"> </w:t>
      </w:r>
      <w:r w:rsidR="00451F28">
        <w:rPr>
          <w:i/>
          <w:lang w:val="en-GB"/>
        </w:rPr>
        <w:t>and</w:t>
      </w:r>
      <w:r w:rsidR="00451F28" w:rsidRPr="00945ED6">
        <w:rPr>
          <w:i/>
          <w:lang w:val="bg-BG"/>
        </w:rPr>
        <w:t xml:space="preserve"> </w:t>
      </w:r>
      <w:r w:rsidR="00451F28">
        <w:rPr>
          <w:i/>
          <w:lang w:val="en-GB"/>
        </w:rPr>
        <w:t>Clerfayt</w:t>
      </w:r>
      <w:r w:rsidR="00451F28" w:rsidRPr="00945ED6">
        <w:rPr>
          <w:lang w:val="bg-BG"/>
        </w:rPr>
        <w:t xml:space="preserve">, </w:t>
      </w:r>
      <w:r w:rsidR="000E31A5" w:rsidRPr="00945ED6">
        <w:rPr>
          <w:lang w:val="bg-BG"/>
        </w:rPr>
        <w:t>цитирано по-горе</w:t>
      </w:r>
      <w:r w:rsidR="00451F28" w:rsidRPr="00945ED6">
        <w:rPr>
          <w:lang w:val="bg-BG"/>
        </w:rPr>
        <w:t>,</w:t>
      </w:r>
      <w:r w:rsidR="00451F28" w:rsidRPr="00945ED6">
        <w:rPr>
          <w:i/>
          <w:lang w:val="bg-BG"/>
        </w:rPr>
        <w:t xml:space="preserve"> </w:t>
      </w:r>
      <w:r w:rsidR="00451F28" w:rsidRPr="00945ED6">
        <w:rPr>
          <w:lang w:val="bg-BG"/>
        </w:rPr>
        <w:t xml:space="preserve">§ 52; </w:t>
      </w:r>
      <w:r w:rsidR="00451F28">
        <w:rPr>
          <w:i/>
          <w:lang w:val="en-GB"/>
        </w:rPr>
        <w:t>Matthews</w:t>
      </w:r>
      <w:r w:rsidR="00451F28" w:rsidRPr="00945ED6">
        <w:rPr>
          <w:lang w:val="bg-BG"/>
        </w:rPr>
        <w:t xml:space="preserve">, </w:t>
      </w:r>
      <w:r w:rsidR="000E31A5" w:rsidRPr="00945ED6">
        <w:rPr>
          <w:lang w:val="bg-BG"/>
        </w:rPr>
        <w:t>цитирано по-горе</w:t>
      </w:r>
      <w:r w:rsidR="00451F28" w:rsidRPr="00945ED6">
        <w:rPr>
          <w:lang w:val="bg-BG"/>
        </w:rPr>
        <w:t xml:space="preserve">, § 63; </w:t>
      </w:r>
      <w:r w:rsidR="00451F28" w:rsidRPr="00BB4F95">
        <w:rPr>
          <w:i/>
          <w:lang w:val="en-GB"/>
        </w:rPr>
        <w:t>Labita</w:t>
      </w:r>
      <w:r w:rsidR="00451F28" w:rsidRPr="00945ED6">
        <w:rPr>
          <w:lang w:val="bg-BG"/>
        </w:rPr>
        <w:t>,</w:t>
      </w:r>
      <w:r w:rsidR="00451F28" w:rsidRPr="00945ED6">
        <w:rPr>
          <w:i/>
          <w:lang w:val="bg-BG"/>
        </w:rPr>
        <w:t xml:space="preserve"> </w:t>
      </w:r>
      <w:r w:rsidR="000E31A5" w:rsidRPr="00945ED6">
        <w:rPr>
          <w:lang w:val="bg-BG"/>
        </w:rPr>
        <w:t>цитирано по-горе</w:t>
      </w:r>
      <w:r w:rsidR="00451F28" w:rsidRPr="00945ED6">
        <w:rPr>
          <w:lang w:val="bg-BG"/>
        </w:rPr>
        <w:t xml:space="preserve">, § 201; </w:t>
      </w:r>
      <w:r w:rsidR="000E31A5" w:rsidRPr="00945ED6">
        <w:rPr>
          <w:lang w:val="bg-BG"/>
        </w:rPr>
        <w:t>и</w:t>
      </w:r>
      <w:r w:rsidR="00451F28" w:rsidRPr="00945ED6">
        <w:rPr>
          <w:lang w:val="bg-BG"/>
        </w:rPr>
        <w:t xml:space="preserve"> </w:t>
      </w:r>
      <w:r w:rsidR="00451F28" w:rsidRPr="00BB4F95">
        <w:rPr>
          <w:i/>
          <w:lang w:val="en-GB"/>
        </w:rPr>
        <w:t>Podkolzina</w:t>
      </w:r>
      <w:r w:rsidR="00451F28" w:rsidRPr="00945ED6">
        <w:rPr>
          <w:i/>
          <w:lang w:val="bg-BG"/>
        </w:rPr>
        <w:t xml:space="preserve"> </w:t>
      </w:r>
      <w:r w:rsidR="00451F28" w:rsidRPr="00BB4F95">
        <w:rPr>
          <w:i/>
          <w:lang w:val="en-GB"/>
        </w:rPr>
        <w:t>v</w:t>
      </w:r>
      <w:r w:rsidR="00451F28" w:rsidRPr="00945ED6">
        <w:rPr>
          <w:i/>
          <w:lang w:val="bg-BG"/>
        </w:rPr>
        <w:t xml:space="preserve">. </w:t>
      </w:r>
      <w:r w:rsidR="00451F28" w:rsidRPr="00BB4F95">
        <w:rPr>
          <w:i/>
          <w:lang w:val="en-GB"/>
        </w:rPr>
        <w:t>Latvia</w:t>
      </w:r>
      <w:r w:rsidR="00451F28" w:rsidRPr="00945ED6">
        <w:rPr>
          <w:lang w:val="bg-BG"/>
        </w:rPr>
        <w:t>, № 46726/99, § 33, ЕСПЧ 2002-</w:t>
      </w:r>
      <w:r w:rsidR="00451F28" w:rsidRPr="00BB4F95">
        <w:rPr>
          <w:lang w:val="en-GB"/>
        </w:rPr>
        <w:t>II</w:t>
      </w:r>
      <w:r w:rsidR="00451F28" w:rsidRPr="00945ED6">
        <w:rPr>
          <w:lang w:val="bg-BG"/>
        </w:rPr>
        <w:t xml:space="preserve">). </w:t>
      </w:r>
      <w:r w:rsidR="000E31A5">
        <w:rPr>
          <w:lang w:val="bg-BG"/>
        </w:rPr>
        <w:t xml:space="preserve">Има много начини да се организират и </w:t>
      </w:r>
      <w:r w:rsidR="00CB2398">
        <w:rPr>
          <w:lang w:val="bg-BG"/>
        </w:rPr>
        <w:t xml:space="preserve">управляват </w:t>
      </w:r>
      <w:r w:rsidR="000E31A5">
        <w:rPr>
          <w:lang w:val="bg-BG"/>
        </w:rPr>
        <w:t xml:space="preserve">избирателни системи, както и </w:t>
      </w:r>
      <w:r w:rsidR="00CB2398" w:rsidRPr="00530E30">
        <w:rPr>
          <w:lang w:val="bg-BG"/>
        </w:rPr>
        <w:t>изобилие</w:t>
      </w:r>
      <w:r w:rsidR="00CB2398">
        <w:rPr>
          <w:lang w:val="bg-BG"/>
        </w:rPr>
        <w:t xml:space="preserve"> </w:t>
      </w:r>
      <w:r w:rsidR="000E31A5">
        <w:rPr>
          <w:lang w:val="bg-BG"/>
        </w:rPr>
        <w:t>от различия, наред с всичко друго, в историческото развитие, културното разнообразие и политическата мисъл в рамките на Евро</w:t>
      </w:r>
      <w:r w:rsidR="00DF1AAD">
        <w:rPr>
          <w:lang w:val="bg-BG"/>
        </w:rPr>
        <w:t>п</w:t>
      </w:r>
      <w:r w:rsidR="000E31A5">
        <w:rPr>
          <w:lang w:val="bg-BG"/>
        </w:rPr>
        <w:t>а,</w:t>
      </w:r>
      <w:r w:rsidR="00116998">
        <w:rPr>
          <w:lang w:val="bg-BG"/>
        </w:rPr>
        <w:t xml:space="preserve"> </w:t>
      </w:r>
      <w:r w:rsidR="003B59EC">
        <w:rPr>
          <w:lang w:val="bg-BG"/>
        </w:rPr>
        <w:t>които</w:t>
      </w:r>
      <w:r w:rsidR="00116998">
        <w:rPr>
          <w:lang w:val="bg-BG"/>
        </w:rPr>
        <w:t xml:space="preserve"> всяка </w:t>
      </w:r>
      <w:r w:rsidR="0006203B">
        <w:rPr>
          <w:lang w:val="bg-BG"/>
        </w:rPr>
        <w:t>договаряща страна</w:t>
      </w:r>
      <w:r w:rsidR="000E31A5">
        <w:rPr>
          <w:lang w:val="bg-BG"/>
        </w:rPr>
        <w:t xml:space="preserve"> може да </w:t>
      </w:r>
      <w:r w:rsidR="003B59EC">
        <w:rPr>
          <w:lang w:val="bg-BG"/>
        </w:rPr>
        <w:t>итегрира в</w:t>
      </w:r>
      <w:r w:rsidR="000E31A5">
        <w:rPr>
          <w:lang w:val="bg-BG"/>
        </w:rPr>
        <w:t xml:space="preserve"> своя</w:t>
      </w:r>
      <w:r w:rsidR="003B59EC">
        <w:rPr>
          <w:lang w:val="bg-BG"/>
        </w:rPr>
        <w:t>та</w:t>
      </w:r>
      <w:r w:rsidR="000E31A5">
        <w:rPr>
          <w:lang w:val="bg-BG"/>
        </w:rPr>
        <w:t xml:space="preserve"> собствена представа за демокрацията </w:t>
      </w:r>
      <w:r w:rsidR="000E31A5" w:rsidRPr="00945ED6">
        <w:rPr>
          <w:lang w:val="bg-BG"/>
        </w:rPr>
        <w:t>(вж</w:t>
      </w:r>
      <w:r w:rsidR="00CB2398">
        <w:rPr>
          <w:lang w:val="bg-BG"/>
        </w:rPr>
        <w:t>.</w:t>
      </w:r>
      <w:r w:rsidR="000E31A5" w:rsidRPr="00945ED6">
        <w:rPr>
          <w:lang w:val="bg-BG"/>
        </w:rPr>
        <w:t xml:space="preserve"> </w:t>
      </w:r>
      <w:r w:rsidR="000E31A5" w:rsidRPr="00B8206D">
        <w:rPr>
          <w:i/>
          <w:lang w:val="en-GB"/>
        </w:rPr>
        <w:t>Hirst</w:t>
      </w:r>
      <w:r w:rsidR="000E31A5" w:rsidRPr="00945ED6">
        <w:rPr>
          <w:i/>
          <w:lang w:val="bg-BG"/>
        </w:rPr>
        <w:t xml:space="preserve"> </w:t>
      </w:r>
      <w:r w:rsidR="000E31A5" w:rsidRPr="00B8206D">
        <w:rPr>
          <w:i/>
          <w:lang w:val="en-GB"/>
        </w:rPr>
        <w:t>v</w:t>
      </w:r>
      <w:r w:rsidR="000E31A5" w:rsidRPr="00945ED6">
        <w:rPr>
          <w:i/>
          <w:lang w:val="bg-BG"/>
        </w:rPr>
        <w:t xml:space="preserve">. </w:t>
      </w:r>
      <w:r w:rsidR="000E31A5" w:rsidRPr="00B8206D">
        <w:rPr>
          <w:i/>
          <w:lang w:val="en-GB"/>
        </w:rPr>
        <w:t>the</w:t>
      </w:r>
      <w:r w:rsidR="000E31A5" w:rsidRPr="00945ED6">
        <w:rPr>
          <w:i/>
          <w:lang w:val="bg-BG"/>
        </w:rPr>
        <w:t xml:space="preserve"> </w:t>
      </w:r>
      <w:r w:rsidR="000E31A5" w:rsidRPr="00B8206D">
        <w:rPr>
          <w:i/>
          <w:lang w:val="en-GB"/>
        </w:rPr>
        <w:t>United</w:t>
      </w:r>
      <w:r w:rsidR="000E31A5" w:rsidRPr="00945ED6">
        <w:rPr>
          <w:i/>
          <w:lang w:val="bg-BG"/>
        </w:rPr>
        <w:t xml:space="preserve"> </w:t>
      </w:r>
      <w:r w:rsidR="000E31A5" w:rsidRPr="00B8206D">
        <w:rPr>
          <w:i/>
          <w:lang w:val="en-GB"/>
        </w:rPr>
        <w:t>Kingdom</w:t>
      </w:r>
      <w:r w:rsidR="000E31A5" w:rsidRPr="00945ED6">
        <w:rPr>
          <w:lang w:val="bg-BG"/>
        </w:rPr>
        <w:t xml:space="preserve"> </w:t>
      </w:r>
      <w:r w:rsidR="000E31A5" w:rsidRPr="00945ED6">
        <w:rPr>
          <w:i/>
          <w:lang w:val="bg-BG"/>
        </w:rPr>
        <w:t>(№</w:t>
      </w:r>
      <w:r w:rsidR="000E31A5">
        <w:rPr>
          <w:i/>
          <w:lang w:val="en-GB"/>
        </w:rPr>
        <w:t> </w:t>
      </w:r>
      <w:r w:rsidR="000E31A5" w:rsidRPr="00945ED6">
        <w:rPr>
          <w:i/>
          <w:lang w:val="bg-BG"/>
        </w:rPr>
        <w:t>2)</w:t>
      </w:r>
      <w:r w:rsidR="000E31A5" w:rsidRPr="00945ED6">
        <w:rPr>
          <w:lang w:val="bg-BG"/>
        </w:rPr>
        <w:t xml:space="preserve"> [</w:t>
      </w:r>
      <w:r w:rsidR="00CB2398">
        <w:rPr>
          <w:lang w:val="bg-BG"/>
        </w:rPr>
        <w:t>ГО</w:t>
      </w:r>
      <w:r w:rsidR="000E31A5" w:rsidRPr="00945ED6">
        <w:rPr>
          <w:lang w:val="bg-BG"/>
        </w:rPr>
        <w:t>], № 74025/01, § 61, ЕСПЧ 2005-</w:t>
      </w:r>
      <w:r w:rsidR="000E31A5">
        <w:rPr>
          <w:lang w:val="en-GB"/>
        </w:rPr>
        <w:t>IX</w:t>
      </w:r>
      <w:r w:rsidR="000E31A5" w:rsidRPr="00945ED6">
        <w:rPr>
          <w:lang w:val="bg-BG"/>
        </w:rPr>
        <w:t>).</w:t>
      </w:r>
      <w:r w:rsidR="000E31A5">
        <w:rPr>
          <w:lang w:val="bg-BG"/>
        </w:rPr>
        <w:t xml:space="preserve">  </w:t>
      </w:r>
      <w:r w:rsidR="00451F28">
        <w:rPr>
          <w:lang w:val="bg-BG"/>
        </w:rPr>
        <w:t xml:space="preserve">   </w:t>
      </w:r>
      <w:r w:rsidR="00375696">
        <w:rPr>
          <w:lang w:val="bg-BG"/>
        </w:rPr>
        <w:t xml:space="preserve"> </w:t>
      </w:r>
      <w:r w:rsidR="002975AA" w:rsidRPr="00BB4F95">
        <w:rPr>
          <w:lang w:val="en-GB"/>
        </w:rPr>
        <w:t>  </w:t>
      </w:r>
    </w:p>
    <w:p w:rsidR="002975AA" w:rsidRPr="00945ED6" w:rsidRDefault="005D3E62" w:rsidP="00F67CDC">
      <w:pPr>
        <w:pStyle w:val="JuPara"/>
        <w:rPr>
          <w:lang w:val="bg-BG"/>
        </w:rPr>
      </w:pPr>
      <w:r w:rsidRPr="00E17978">
        <w:fldChar w:fldCharType="begin"/>
      </w:r>
      <w:r w:rsidR="002975AA" w:rsidRPr="00945ED6">
        <w:rPr>
          <w:lang w:val="bg-BG"/>
        </w:rPr>
        <w:instrText xml:space="preserve"> </w:instrText>
      </w:r>
      <w:r w:rsidR="002975AA" w:rsidRPr="00BB4F95">
        <w:rPr>
          <w:lang w:val="en-GB"/>
        </w:rPr>
        <w:instrText>SEQ</w:instrText>
      </w:r>
      <w:r w:rsidR="002975AA" w:rsidRPr="00945ED6">
        <w:rPr>
          <w:lang w:val="bg-BG"/>
        </w:rPr>
        <w:instrText xml:space="preserve"> </w:instrText>
      </w:r>
      <w:r w:rsidR="002975AA" w:rsidRPr="00BB4F95">
        <w:rPr>
          <w:lang w:val="en-GB"/>
        </w:rPr>
        <w:instrText>level</w:instrText>
      </w:r>
      <w:r w:rsidR="002975AA" w:rsidRPr="00945ED6">
        <w:rPr>
          <w:lang w:val="bg-BG"/>
        </w:rPr>
        <w:instrText>0 \*</w:instrText>
      </w:r>
      <w:r w:rsidR="002975AA" w:rsidRPr="00BB4F95">
        <w:rPr>
          <w:lang w:val="en-GB"/>
        </w:rPr>
        <w:instrText>arabic</w:instrText>
      </w:r>
      <w:r w:rsidR="002975AA" w:rsidRPr="00945ED6">
        <w:rPr>
          <w:lang w:val="bg-BG"/>
        </w:rPr>
        <w:instrText xml:space="preserve"> </w:instrText>
      </w:r>
      <w:r w:rsidRPr="00E17978">
        <w:fldChar w:fldCharType="separate"/>
      </w:r>
      <w:r w:rsidR="00955550" w:rsidRPr="00945ED6">
        <w:rPr>
          <w:noProof/>
          <w:lang w:val="bg-BG"/>
        </w:rPr>
        <w:t>104</w:t>
      </w:r>
      <w:r w:rsidRPr="00E17978">
        <w:fldChar w:fldCharType="end"/>
      </w:r>
      <w:r w:rsidR="002975AA" w:rsidRPr="00945ED6">
        <w:rPr>
          <w:lang w:val="bg-BG"/>
        </w:rPr>
        <w:t>.</w:t>
      </w:r>
      <w:r w:rsidR="005D064D">
        <w:rPr>
          <w:lang w:val="bg-BG"/>
        </w:rPr>
        <w:t xml:space="preserve"> Въпреки всичко Съдът</w:t>
      </w:r>
      <w:r w:rsidR="00D94C17">
        <w:rPr>
          <w:lang w:val="bg-BG"/>
        </w:rPr>
        <w:t xml:space="preserve"> като последна инстанция</w:t>
      </w:r>
      <w:r w:rsidR="005D064D">
        <w:rPr>
          <w:lang w:val="bg-BG"/>
        </w:rPr>
        <w:t xml:space="preserve"> трябва да о</w:t>
      </w:r>
      <w:r w:rsidR="00D94C17">
        <w:rPr>
          <w:lang w:val="bg-BG"/>
        </w:rPr>
        <w:t>предели дали са спазени изискванията по</w:t>
      </w:r>
      <w:r w:rsidR="005D064D">
        <w:rPr>
          <w:lang w:val="bg-BG"/>
        </w:rPr>
        <w:t xml:space="preserve"> чл</w:t>
      </w:r>
      <w:r w:rsidR="003B59EC">
        <w:rPr>
          <w:lang w:val="bg-BG"/>
        </w:rPr>
        <w:t>ен</w:t>
      </w:r>
      <w:r w:rsidR="005D064D">
        <w:rPr>
          <w:lang w:val="bg-BG"/>
        </w:rPr>
        <w:t xml:space="preserve"> 3 от Протокол </w:t>
      </w:r>
      <w:r w:rsidR="005D064D" w:rsidRPr="00BD78EA">
        <w:rPr>
          <w:szCs w:val="24"/>
          <w:cs/>
        </w:rPr>
        <w:t>№</w:t>
      </w:r>
      <w:r w:rsidR="005D064D" w:rsidRPr="00945ED6">
        <w:rPr>
          <w:lang w:val="bg-BG"/>
        </w:rPr>
        <w:t xml:space="preserve"> 1;</w:t>
      </w:r>
      <w:r w:rsidR="005D064D">
        <w:rPr>
          <w:lang w:val="bg-BG"/>
        </w:rPr>
        <w:t xml:space="preserve"> трябва да се убеди, че условията, наложени относно правото на глас и правото на ч</w:t>
      </w:r>
      <w:r w:rsidR="009647C5">
        <w:rPr>
          <w:lang w:val="bg-BG"/>
        </w:rPr>
        <w:t>овек да бъде избиран</w:t>
      </w:r>
      <w:r w:rsidR="00D94C17">
        <w:rPr>
          <w:lang w:val="bg-BG"/>
        </w:rPr>
        <w:t>,</w:t>
      </w:r>
      <w:r w:rsidR="005D064D">
        <w:rPr>
          <w:lang w:val="bg-BG"/>
        </w:rPr>
        <w:t xml:space="preserve"> не ограничават упражняването на тези права до степен, която накърнява самата им същност и ги лишава от ефективност; ч</w:t>
      </w:r>
      <w:r w:rsidR="00D94C17">
        <w:rPr>
          <w:lang w:val="bg-BG"/>
        </w:rPr>
        <w:t>е са наложени в рамките на стремежа към</w:t>
      </w:r>
      <w:r w:rsidR="005D064D">
        <w:rPr>
          <w:lang w:val="bg-BG"/>
        </w:rPr>
        <w:t xml:space="preserve"> легитимна цел; както и че и</w:t>
      </w:r>
      <w:r w:rsidR="000B71B0">
        <w:rPr>
          <w:lang w:val="bg-BG"/>
        </w:rPr>
        <w:t xml:space="preserve">зползваните средства </w:t>
      </w:r>
      <w:r w:rsidR="00647061">
        <w:rPr>
          <w:lang w:val="bg-BG"/>
        </w:rPr>
        <w:t xml:space="preserve">не са непропорционални </w:t>
      </w:r>
      <w:r w:rsidR="005D064D" w:rsidRPr="00945ED6">
        <w:rPr>
          <w:lang w:val="bg-BG"/>
        </w:rPr>
        <w:t>(вж</w:t>
      </w:r>
      <w:r w:rsidR="003B59EC">
        <w:rPr>
          <w:lang w:val="bg-BG"/>
        </w:rPr>
        <w:t>.</w:t>
      </w:r>
      <w:r w:rsidR="005D064D" w:rsidRPr="00945ED6">
        <w:rPr>
          <w:lang w:val="bg-BG"/>
        </w:rPr>
        <w:t xml:space="preserve"> </w:t>
      </w:r>
      <w:r w:rsidR="005D064D" w:rsidRPr="00BB4F95">
        <w:rPr>
          <w:i/>
          <w:lang w:val="en-GB"/>
        </w:rPr>
        <w:t>Mathieu</w:t>
      </w:r>
      <w:r w:rsidR="005D064D" w:rsidRPr="00945ED6">
        <w:rPr>
          <w:i/>
          <w:lang w:val="bg-BG"/>
        </w:rPr>
        <w:t>-</w:t>
      </w:r>
      <w:r w:rsidR="005D064D" w:rsidRPr="00BB4F95">
        <w:rPr>
          <w:i/>
          <w:lang w:val="en-GB"/>
        </w:rPr>
        <w:t>Mohin</w:t>
      </w:r>
      <w:r w:rsidR="005D064D" w:rsidRPr="00945ED6">
        <w:rPr>
          <w:i/>
          <w:lang w:val="bg-BG"/>
        </w:rPr>
        <w:t xml:space="preserve"> </w:t>
      </w:r>
      <w:r w:rsidR="005D064D">
        <w:rPr>
          <w:i/>
          <w:lang w:val="en-GB"/>
        </w:rPr>
        <w:t>and</w:t>
      </w:r>
      <w:r w:rsidR="005D064D" w:rsidRPr="00945ED6">
        <w:rPr>
          <w:i/>
          <w:lang w:val="bg-BG"/>
        </w:rPr>
        <w:t xml:space="preserve"> </w:t>
      </w:r>
      <w:r w:rsidR="005D064D">
        <w:rPr>
          <w:i/>
          <w:lang w:val="en-GB"/>
        </w:rPr>
        <w:t>Clerfayt</w:t>
      </w:r>
      <w:r w:rsidR="005D064D" w:rsidRPr="00945ED6">
        <w:rPr>
          <w:lang w:val="bg-BG"/>
        </w:rPr>
        <w:t>, цитирано по-горе, § 52).</w:t>
      </w:r>
      <w:r w:rsidR="00F67CDC">
        <w:rPr>
          <w:lang w:val="bg-BG"/>
        </w:rPr>
        <w:t xml:space="preserve"> </w:t>
      </w:r>
      <w:r w:rsidR="00D94C17">
        <w:rPr>
          <w:lang w:val="bg-BG"/>
        </w:rPr>
        <w:t>Н</w:t>
      </w:r>
      <w:r w:rsidR="005D064D">
        <w:rPr>
          <w:lang w:val="bg-BG"/>
        </w:rPr>
        <w:t>икое от тези условия не може да пречи на</w:t>
      </w:r>
      <w:r w:rsidR="00D94C17">
        <w:rPr>
          <w:lang w:val="bg-BG"/>
        </w:rPr>
        <w:t xml:space="preserve"> свободното изразяване на народа</w:t>
      </w:r>
      <w:r w:rsidR="005D064D">
        <w:rPr>
          <w:lang w:val="bg-BG"/>
        </w:rPr>
        <w:t xml:space="preserve"> в избора на законодател – с други думи те трябват да отразяват или да не противоречат на</w:t>
      </w:r>
      <w:r w:rsidR="00F67CDC">
        <w:rPr>
          <w:lang w:val="bg-BG"/>
        </w:rPr>
        <w:t xml:space="preserve"> интереса за поддържане на целостта </w:t>
      </w:r>
      <w:r w:rsidR="008833E9">
        <w:rPr>
          <w:lang w:val="bg-BG"/>
        </w:rPr>
        <w:t>и ефективността на изборната</w:t>
      </w:r>
      <w:r w:rsidR="00F67CDC">
        <w:rPr>
          <w:lang w:val="bg-BG"/>
        </w:rPr>
        <w:t xml:space="preserve"> процедура, която цели да определи волята на народа </w:t>
      </w:r>
      <w:r w:rsidR="00F67CDC">
        <w:rPr>
          <w:lang w:val="bg-BG"/>
        </w:rPr>
        <w:lastRenderedPageBreak/>
        <w:t xml:space="preserve">посредством всеобщо избирателно право </w:t>
      </w:r>
      <w:r w:rsidR="00F67CDC" w:rsidRPr="00945ED6">
        <w:rPr>
          <w:lang w:val="bg-BG"/>
        </w:rPr>
        <w:t>(вж</w:t>
      </w:r>
      <w:r w:rsidR="00C5533A">
        <w:rPr>
          <w:lang w:val="bg-BG"/>
        </w:rPr>
        <w:t>.</w:t>
      </w:r>
      <w:r w:rsidR="00F67CDC" w:rsidRPr="00945ED6">
        <w:rPr>
          <w:lang w:val="bg-BG"/>
        </w:rPr>
        <w:t xml:space="preserve"> </w:t>
      </w:r>
      <w:r w:rsidR="00F67CDC" w:rsidRPr="00BB4F95">
        <w:rPr>
          <w:i/>
          <w:lang w:val="en-GB"/>
        </w:rPr>
        <w:t>Hirst</w:t>
      </w:r>
      <w:r w:rsidR="00F67CDC" w:rsidRPr="00945ED6">
        <w:rPr>
          <w:i/>
          <w:lang w:val="bg-BG"/>
        </w:rPr>
        <w:t xml:space="preserve">, </w:t>
      </w:r>
      <w:r w:rsidR="00F67CDC" w:rsidRPr="00945ED6">
        <w:rPr>
          <w:lang w:val="bg-BG"/>
        </w:rPr>
        <w:t>цитирано по-г</w:t>
      </w:r>
      <w:r w:rsidR="00F67CDC">
        <w:rPr>
          <w:lang w:val="bg-BG"/>
        </w:rPr>
        <w:t>оре</w:t>
      </w:r>
      <w:r w:rsidR="00F67CDC" w:rsidRPr="00945ED6">
        <w:rPr>
          <w:lang w:val="bg-BG"/>
        </w:rPr>
        <w:t>,</w:t>
      </w:r>
      <w:r w:rsidR="00F67CDC" w:rsidRPr="00945ED6">
        <w:rPr>
          <w:i/>
          <w:lang w:val="bg-BG"/>
        </w:rPr>
        <w:t xml:space="preserve"> </w:t>
      </w:r>
      <w:r w:rsidR="00F67CDC" w:rsidRPr="00945ED6">
        <w:rPr>
          <w:lang w:val="bg-BG"/>
        </w:rPr>
        <w:t>§ 62).</w:t>
      </w:r>
      <w:r w:rsidR="00F67CDC">
        <w:rPr>
          <w:lang w:val="bg-BG"/>
        </w:rPr>
        <w:t xml:space="preserve"> </w:t>
      </w:r>
      <w:r w:rsidR="005D064D">
        <w:rPr>
          <w:lang w:val="bg-BG"/>
        </w:rPr>
        <w:t xml:space="preserve">     </w:t>
      </w:r>
      <w:r w:rsidR="002975AA" w:rsidRPr="00BB4F95">
        <w:rPr>
          <w:lang w:val="en-GB"/>
        </w:rPr>
        <w:t>  </w:t>
      </w:r>
    </w:p>
    <w:p w:rsidR="002975AA" w:rsidRPr="00945ED6" w:rsidRDefault="005D3E62" w:rsidP="00B8206D">
      <w:pPr>
        <w:pStyle w:val="JuPara"/>
        <w:rPr>
          <w:lang w:val="bg-BG"/>
        </w:rPr>
      </w:pPr>
      <w:r w:rsidRPr="00E17978">
        <w:fldChar w:fldCharType="begin"/>
      </w:r>
      <w:r w:rsidR="002975AA" w:rsidRPr="00945ED6">
        <w:rPr>
          <w:lang w:val="bg-BG"/>
        </w:rPr>
        <w:instrText xml:space="preserve"> </w:instrText>
      </w:r>
      <w:r w:rsidR="002975AA" w:rsidRPr="00BB4F95">
        <w:rPr>
          <w:lang w:val="en-GB"/>
        </w:rPr>
        <w:instrText>SEQ</w:instrText>
      </w:r>
      <w:r w:rsidR="002975AA" w:rsidRPr="00945ED6">
        <w:rPr>
          <w:lang w:val="bg-BG"/>
        </w:rPr>
        <w:instrText xml:space="preserve"> </w:instrText>
      </w:r>
      <w:r w:rsidR="002975AA" w:rsidRPr="00BB4F95">
        <w:rPr>
          <w:lang w:val="en-GB"/>
        </w:rPr>
        <w:instrText>level</w:instrText>
      </w:r>
      <w:r w:rsidR="002975AA" w:rsidRPr="00945ED6">
        <w:rPr>
          <w:lang w:val="bg-BG"/>
        </w:rPr>
        <w:instrText>0 \*</w:instrText>
      </w:r>
      <w:r w:rsidR="002975AA" w:rsidRPr="00BB4F95">
        <w:rPr>
          <w:lang w:val="en-GB"/>
        </w:rPr>
        <w:instrText>arabic</w:instrText>
      </w:r>
      <w:r w:rsidR="002975AA" w:rsidRPr="00945ED6">
        <w:rPr>
          <w:lang w:val="bg-BG"/>
        </w:rPr>
        <w:instrText xml:space="preserve"> </w:instrText>
      </w:r>
      <w:r w:rsidRPr="00E17978">
        <w:fldChar w:fldCharType="separate"/>
      </w:r>
      <w:r w:rsidR="00955550" w:rsidRPr="00945ED6">
        <w:rPr>
          <w:noProof/>
          <w:lang w:val="bg-BG"/>
        </w:rPr>
        <w:t>105</w:t>
      </w:r>
      <w:r w:rsidRPr="00E17978">
        <w:fldChar w:fldCharType="end"/>
      </w:r>
      <w:r w:rsidR="002975AA" w:rsidRPr="00945ED6">
        <w:rPr>
          <w:lang w:val="bg-BG"/>
        </w:rPr>
        <w:t>.</w:t>
      </w:r>
      <w:r w:rsidR="00AF2DB3" w:rsidRPr="00945ED6">
        <w:rPr>
          <w:lang w:val="bg-BG"/>
        </w:rPr>
        <w:t xml:space="preserve"> </w:t>
      </w:r>
      <w:r w:rsidR="000B71B0">
        <w:rPr>
          <w:lang w:val="bg-BG"/>
        </w:rPr>
        <w:t>Във връзка със случаите</w:t>
      </w:r>
      <w:r w:rsidR="00AF2DB3">
        <w:rPr>
          <w:lang w:val="bg-BG"/>
        </w:rPr>
        <w:t>, касаещи правото на глас, което представлява т.нар. „активен“ аспект на правата по чл</w:t>
      </w:r>
      <w:r w:rsidR="00B12997">
        <w:rPr>
          <w:lang w:val="bg-BG"/>
        </w:rPr>
        <w:t>ен</w:t>
      </w:r>
      <w:r w:rsidR="00AF2DB3">
        <w:rPr>
          <w:lang w:val="bg-BG"/>
        </w:rPr>
        <w:t xml:space="preserve"> 3 от Протокол </w:t>
      </w:r>
      <w:r w:rsidR="00AF2DB3" w:rsidRPr="00BD78EA">
        <w:rPr>
          <w:szCs w:val="24"/>
          <w:cs/>
        </w:rPr>
        <w:t>№</w:t>
      </w:r>
      <w:r w:rsidR="00AF2DB3" w:rsidRPr="00945ED6">
        <w:rPr>
          <w:lang w:val="bg-BG"/>
        </w:rPr>
        <w:t xml:space="preserve"> 1</w:t>
      </w:r>
      <w:r w:rsidR="002E1F37">
        <w:rPr>
          <w:lang w:val="bg-BG"/>
        </w:rPr>
        <w:t>, Съдът е счел, че из</w:t>
      </w:r>
      <w:r w:rsidR="001E67B5">
        <w:rPr>
          <w:lang w:val="bg-BG"/>
        </w:rPr>
        <w:t xml:space="preserve">ключването на </w:t>
      </w:r>
      <w:r w:rsidR="002E1F37">
        <w:rPr>
          <w:lang w:val="bg-BG"/>
        </w:rPr>
        <w:t xml:space="preserve">групи или категории от населението трябва да съвпада с </w:t>
      </w:r>
      <w:r w:rsidR="00DD2E0E">
        <w:rPr>
          <w:lang w:val="bg-BG"/>
        </w:rPr>
        <w:t>основните</w:t>
      </w:r>
      <w:r w:rsidR="002E1F37">
        <w:rPr>
          <w:lang w:val="bg-BG"/>
        </w:rPr>
        <w:t xml:space="preserve"> цели на чл</w:t>
      </w:r>
      <w:r w:rsidR="00B12997">
        <w:rPr>
          <w:lang w:val="bg-BG"/>
        </w:rPr>
        <w:t>ен</w:t>
      </w:r>
      <w:r w:rsidR="002E1F37">
        <w:rPr>
          <w:lang w:val="bg-BG"/>
        </w:rPr>
        <w:t xml:space="preserve"> 3 от Протокол </w:t>
      </w:r>
      <w:r w:rsidR="002E1F37" w:rsidRPr="00BD78EA">
        <w:rPr>
          <w:szCs w:val="24"/>
          <w:cs/>
        </w:rPr>
        <w:t>№</w:t>
      </w:r>
      <w:r w:rsidR="002E1F37" w:rsidRPr="00945ED6">
        <w:rPr>
          <w:lang w:val="bg-BG"/>
        </w:rPr>
        <w:t xml:space="preserve"> 1</w:t>
      </w:r>
      <w:r w:rsidR="002E1F37">
        <w:rPr>
          <w:lang w:val="bg-BG"/>
        </w:rPr>
        <w:t xml:space="preserve"> </w:t>
      </w:r>
      <w:r w:rsidR="002E1F37" w:rsidRPr="00945ED6">
        <w:rPr>
          <w:lang w:val="bg-BG"/>
        </w:rPr>
        <w:t>(вж</w:t>
      </w:r>
      <w:r w:rsidR="00B12997">
        <w:rPr>
          <w:lang w:val="bg-BG"/>
        </w:rPr>
        <w:t>.</w:t>
      </w:r>
      <w:r w:rsidR="001637F0">
        <w:rPr>
          <w:lang w:val="bg-BG"/>
        </w:rPr>
        <w:t>,</w:t>
      </w:r>
      <w:r w:rsidR="00742229" w:rsidRPr="00945ED6">
        <w:rPr>
          <w:lang w:val="bg-BG"/>
        </w:rPr>
        <w:t xml:space="preserve"> </w:t>
      </w:r>
      <w:r w:rsidR="001637F0" w:rsidRPr="00BB4F95">
        <w:rPr>
          <w:i/>
          <w:lang w:val="en-GB"/>
        </w:rPr>
        <w:t>mutatis</w:t>
      </w:r>
      <w:r w:rsidR="001637F0" w:rsidRPr="00530E30">
        <w:rPr>
          <w:i/>
          <w:lang w:val="bg-BG"/>
        </w:rPr>
        <w:t xml:space="preserve"> </w:t>
      </w:r>
      <w:r w:rsidR="001637F0" w:rsidRPr="00BB4F95">
        <w:rPr>
          <w:i/>
          <w:lang w:val="en-GB"/>
        </w:rPr>
        <w:t>mutandis</w:t>
      </w:r>
      <w:r w:rsidR="001637F0">
        <w:rPr>
          <w:i/>
          <w:lang w:val="bg-BG"/>
        </w:rPr>
        <w:t>,</w:t>
      </w:r>
      <w:r w:rsidR="001637F0" w:rsidRPr="00530E30">
        <w:rPr>
          <w:i/>
          <w:lang w:val="bg-BG"/>
        </w:rPr>
        <w:t xml:space="preserve"> </w:t>
      </w:r>
      <w:r w:rsidR="002E1F37" w:rsidRPr="00BB4F95">
        <w:rPr>
          <w:i/>
          <w:lang w:val="en-GB"/>
        </w:rPr>
        <w:t>Aziz</w:t>
      </w:r>
      <w:r w:rsidR="002E1F37" w:rsidRPr="00945ED6">
        <w:rPr>
          <w:i/>
          <w:lang w:val="bg-BG"/>
        </w:rPr>
        <w:t xml:space="preserve"> </w:t>
      </w:r>
      <w:r w:rsidR="002E1F37" w:rsidRPr="00BB4F95">
        <w:rPr>
          <w:i/>
          <w:lang w:val="en-GB"/>
        </w:rPr>
        <w:t>v</w:t>
      </w:r>
      <w:r w:rsidR="002E1F37" w:rsidRPr="00945ED6">
        <w:rPr>
          <w:i/>
          <w:lang w:val="bg-BG"/>
        </w:rPr>
        <w:t xml:space="preserve">. </w:t>
      </w:r>
      <w:r w:rsidR="002E1F37" w:rsidRPr="00BB4F95">
        <w:rPr>
          <w:i/>
          <w:lang w:val="en-GB"/>
        </w:rPr>
        <w:t>Cyprus</w:t>
      </w:r>
      <w:r w:rsidR="002E1F37" w:rsidRPr="00945ED6">
        <w:rPr>
          <w:lang w:val="bg-BG"/>
        </w:rPr>
        <w:t>, №</w:t>
      </w:r>
      <w:r w:rsidR="002E1F37" w:rsidRPr="00BB4F95">
        <w:rPr>
          <w:lang w:val="en-GB"/>
        </w:rPr>
        <w:t> </w:t>
      </w:r>
      <w:r w:rsidR="002E1F37" w:rsidRPr="00945ED6">
        <w:rPr>
          <w:lang w:val="bg-BG"/>
        </w:rPr>
        <w:t>69949/01, § 28, ЕСПЧ 2004-</w:t>
      </w:r>
      <w:r w:rsidR="002E1F37" w:rsidRPr="00BB4F95">
        <w:rPr>
          <w:lang w:val="en-GB"/>
        </w:rPr>
        <w:t>V</w:t>
      </w:r>
      <w:r w:rsidR="002E1F37" w:rsidRPr="00945ED6">
        <w:rPr>
          <w:lang w:val="bg-BG"/>
        </w:rPr>
        <w:t>).</w:t>
      </w:r>
      <w:r w:rsidR="002E1F37">
        <w:rPr>
          <w:lang w:val="bg-BG"/>
        </w:rPr>
        <w:t xml:space="preserve"> Съдът счита по-конкретно, че въвежда</w:t>
      </w:r>
      <w:r w:rsidR="001637F0">
        <w:rPr>
          <w:lang w:val="bg-BG"/>
        </w:rPr>
        <w:t>нето във вътрешното законодателство на</w:t>
      </w:r>
      <w:r w:rsidR="002E1F37">
        <w:rPr>
          <w:lang w:val="bg-BG"/>
        </w:rPr>
        <w:t xml:space="preserve"> минимална възраст или касаещи гражданството изисквания за упражняването на правото на глас е принципно съвместимо с чл</w:t>
      </w:r>
      <w:r w:rsidR="001637F0">
        <w:rPr>
          <w:lang w:val="bg-BG"/>
        </w:rPr>
        <w:t>ен</w:t>
      </w:r>
      <w:r w:rsidR="002E1F37">
        <w:rPr>
          <w:lang w:val="bg-BG"/>
        </w:rPr>
        <w:t xml:space="preserve"> 3 от Протокол </w:t>
      </w:r>
      <w:r w:rsidR="002E1F37" w:rsidRPr="00BD78EA">
        <w:rPr>
          <w:szCs w:val="24"/>
          <w:cs/>
        </w:rPr>
        <w:t>№</w:t>
      </w:r>
      <w:r w:rsidR="002E1F37" w:rsidRPr="00945ED6">
        <w:rPr>
          <w:lang w:val="bg-BG"/>
        </w:rPr>
        <w:t xml:space="preserve"> 1</w:t>
      </w:r>
      <w:r w:rsidR="002E1F37">
        <w:rPr>
          <w:lang w:val="bg-BG"/>
        </w:rPr>
        <w:t xml:space="preserve"> (</w:t>
      </w:r>
      <w:r w:rsidR="002E1F37" w:rsidRPr="00945ED6">
        <w:rPr>
          <w:lang w:val="bg-BG"/>
        </w:rPr>
        <w:t>вж</w:t>
      </w:r>
      <w:r w:rsidR="001637F0">
        <w:rPr>
          <w:lang w:val="bg-BG"/>
        </w:rPr>
        <w:t>.</w:t>
      </w:r>
      <w:r w:rsidR="002E1F37" w:rsidRPr="00945ED6">
        <w:rPr>
          <w:lang w:val="bg-BG"/>
        </w:rPr>
        <w:t xml:space="preserve"> </w:t>
      </w:r>
      <w:r w:rsidR="002E1F37" w:rsidRPr="00BB4F95">
        <w:rPr>
          <w:i/>
          <w:lang w:val="en-GB"/>
        </w:rPr>
        <w:t>Hilbe</w:t>
      </w:r>
      <w:r w:rsidR="002E1F37" w:rsidRPr="00945ED6">
        <w:rPr>
          <w:i/>
          <w:lang w:val="bg-BG"/>
        </w:rPr>
        <w:t xml:space="preserve"> </w:t>
      </w:r>
      <w:r w:rsidR="002E1F37" w:rsidRPr="00BB4F95">
        <w:rPr>
          <w:i/>
          <w:lang w:val="en-GB"/>
        </w:rPr>
        <w:t>v</w:t>
      </w:r>
      <w:r w:rsidR="002E1F37" w:rsidRPr="00945ED6">
        <w:rPr>
          <w:i/>
          <w:lang w:val="bg-BG"/>
        </w:rPr>
        <w:t xml:space="preserve">. </w:t>
      </w:r>
      <w:r w:rsidR="002E1F37" w:rsidRPr="00BB4F95">
        <w:rPr>
          <w:i/>
          <w:lang w:val="en-GB"/>
        </w:rPr>
        <w:t>Liechtenstein</w:t>
      </w:r>
      <w:r w:rsidR="002E1F37" w:rsidRPr="00945ED6">
        <w:rPr>
          <w:lang w:val="bg-BG"/>
        </w:rPr>
        <w:t xml:space="preserve"> (</w:t>
      </w:r>
      <w:r w:rsidR="001637F0">
        <w:rPr>
          <w:lang w:val="bg-BG"/>
        </w:rPr>
        <w:t>РД</w:t>
      </w:r>
      <w:r w:rsidR="002E1F37" w:rsidRPr="00945ED6">
        <w:rPr>
          <w:lang w:val="bg-BG"/>
        </w:rPr>
        <w:t>),</w:t>
      </w:r>
      <w:r w:rsidR="002E1F37" w:rsidRPr="00945ED6">
        <w:rPr>
          <w:b/>
          <w:lang w:val="bg-BG"/>
        </w:rPr>
        <w:t xml:space="preserve"> </w:t>
      </w:r>
      <w:r w:rsidR="002E1F37" w:rsidRPr="00945ED6">
        <w:rPr>
          <w:lang w:val="bg-BG"/>
        </w:rPr>
        <w:t>№ 31981/96, ЕСПЧ 1999-</w:t>
      </w:r>
      <w:r w:rsidR="002E1F37">
        <w:rPr>
          <w:lang w:val="en-GB"/>
        </w:rPr>
        <w:t>VI</w:t>
      </w:r>
      <w:r w:rsidR="002E1F37" w:rsidRPr="00945ED6">
        <w:rPr>
          <w:lang w:val="bg-BG"/>
        </w:rPr>
        <w:t>; вж</w:t>
      </w:r>
      <w:r w:rsidR="001637F0">
        <w:rPr>
          <w:lang w:val="bg-BG"/>
        </w:rPr>
        <w:t>.</w:t>
      </w:r>
      <w:r w:rsidR="002E1F37" w:rsidRPr="00945ED6">
        <w:rPr>
          <w:lang w:val="bg-BG"/>
        </w:rPr>
        <w:t xml:space="preserve"> също </w:t>
      </w:r>
      <w:r w:rsidR="002E1F37">
        <w:rPr>
          <w:i/>
          <w:lang w:val="en-GB"/>
        </w:rPr>
        <w:t>Hirst</w:t>
      </w:r>
      <w:r w:rsidR="002E1F37" w:rsidRPr="00945ED6">
        <w:rPr>
          <w:lang w:val="bg-BG"/>
        </w:rPr>
        <w:t>, цитирано по-горе, § 62).</w:t>
      </w:r>
      <w:r w:rsidR="002E1F37">
        <w:rPr>
          <w:lang w:val="bg-BG"/>
        </w:rPr>
        <w:t xml:space="preserve"> </w:t>
      </w:r>
      <w:r w:rsidR="009647C5">
        <w:rPr>
          <w:lang w:val="bg-BG"/>
        </w:rPr>
        <w:t>Органите</w:t>
      </w:r>
      <w:r w:rsidR="00631731">
        <w:rPr>
          <w:lang w:val="bg-BG"/>
        </w:rPr>
        <w:t xml:space="preserve"> на Конвенцията </w:t>
      </w:r>
      <w:r w:rsidR="002E1F37">
        <w:rPr>
          <w:lang w:val="bg-BG"/>
        </w:rPr>
        <w:t xml:space="preserve">се придържат </w:t>
      </w:r>
      <w:r w:rsidR="00631731">
        <w:rPr>
          <w:lang w:val="bg-BG"/>
        </w:rPr>
        <w:t xml:space="preserve">и </w:t>
      </w:r>
      <w:r w:rsidR="002E1F37">
        <w:rPr>
          <w:lang w:val="bg-BG"/>
        </w:rPr>
        <w:t>към виждането</w:t>
      </w:r>
      <w:r w:rsidR="00631731">
        <w:rPr>
          <w:lang w:val="bg-BG"/>
        </w:rPr>
        <w:t xml:space="preserve">, че законодателният орган има право да лишава от политически права лица, осъждани за тежки или финансови престъпления </w:t>
      </w:r>
      <w:r w:rsidR="00631731" w:rsidRPr="00945ED6">
        <w:rPr>
          <w:noProof/>
          <w:lang w:val="bg-BG"/>
        </w:rPr>
        <w:t>(вж</w:t>
      </w:r>
      <w:r w:rsidR="007A7442">
        <w:rPr>
          <w:noProof/>
          <w:lang w:val="bg-BG"/>
        </w:rPr>
        <w:t>.</w:t>
      </w:r>
      <w:r w:rsidR="00631731" w:rsidRPr="00945ED6">
        <w:rPr>
          <w:noProof/>
          <w:lang w:val="bg-BG"/>
        </w:rPr>
        <w:t xml:space="preserve"> </w:t>
      </w:r>
      <w:r w:rsidR="00631731" w:rsidRPr="00BB4F95">
        <w:rPr>
          <w:i/>
          <w:noProof/>
          <w:lang w:val="en-GB"/>
        </w:rPr>
        <w:t>Holland</w:t>
      </w:r>
      <w:r w:rsidR="00631731" w:rsidRPr="00945ED6">
        <w:rPr>
          <w:i/>
          <w:noProof/>
          <w:lang w:val="bg-BG"/>
        </w:rPr>
        <w:t xml:space="preserve"> </w:t>
      </w:r>
      <w:r w:rsidR="00631731" w:rsidRPr="00BB4F95">
        <w:rPr>
          <w:i/>
          <w:noProof/>
          <w:lang w:val="en-GB"/>
        </w:rPr>
        <w:t>v</w:t>
      </w:r>
      <w:r w:rsidR="00631731" w:rsidRPr="00945ED6">
        <w:rPr>
          <w:i/>
          <w:noProof/>
          <w:lang w:val="bg-BG"/>
        </w:rPr>
        <w:t xml:space="preserve">. </w:t>
      </w:r>
      <w:r w:rsidR="00631731" w:rsidRPr="00BB4F95">
        <w:rPr>
          <w:i/>
          <w:noProof/>
          <w:lang w:val="en-GB"/>
        </w:rPr>
        <w:t>Ireland</w:t>
      </w:r>
      <w:r w:rsidR="00631731" w:rsidRPr="00945ED6">
        <w:rPr>
          <w:noProof/>
          <w:lang w:val="bg-BG"/>
        </w:rPr>
        <w:t xml:space="preserve">, № 24827/94, </w:t>
      </w:r>
      <w:r w:rsidR="00631731">
        <w:rPr>
          <w:noProof/>
          <w:lang w:val="bg-BG"/>
        </w:rPr>
        <w:t>р</w:t>
      </w:r>
      <w:r w:rsidR="00631731" w:rsidRPr="00945ED6">
        <w:rPr>
          <w:noProof/>
          <w:lang w:val="bg-BG"/>
        </w:rPr>
        <w:t xml:space="preserve">ешение на Комисията от 14 април 1998, </w:t>
      </w:r>
      <w:r w:rsidR="00631731" w:rsidRPr="00BB4F95">
        <w:rPr>
          <w:noProof/>
          <w:lang w:val="en-GB"/>
        </w:rPr>
        <w:t>DR</w:t>
      </w:r>
      <w:r w:rsidR="00631731" w:rsidRPr="00945ED6">
        <w:rPr>
          <w:noProof/>
          <w:lang w:val="bg-BG"/>
        </w:rPr>
        <w:t xml:space="preserve"> 93-</w:t>
      </w:r>
      <w:r w:rsidR="00631731">
        <w:rPr>
          <w:noProof/>
          <w:lang w:val="en-GB"/>
        </w:rPr>
        <w:t>A</w:t>
      </w:r>
      <w:r w:rsidR="00631731" w:rsidRPr="00945ED6">
        <w:rPr>
          <w:noProof/>
          <w:lang w:val="bg-BG"/>
        </w:rPr>
        <w:t>, стр.</w:t>
      </w:r>
      <w:r w:rsidR="00631731">
        <w:rPr>
          <w:noProof/>
          <w:lang w:val="en-GB"/>
        </w:rPr>
        <w:t> </w:t>
      </w:r>
      <w:r w:rsidR="00631731" w:rsidRPr="00945ED6">
        <w:rPr>
          <w:noProof/>
          <w:lang w:val="bg-BG"/>
        </w:rPr>
        <w:t xml:space="preserve">15, и </w:t>
      </w:r>
      <w:r w:rsidR="00631731" w:rsidRPr="00BB4F95">
        <w:rPr>
          <w:i/>
          <w:noProof/>
          <w:lang w:val="en-GB"/>
        </w:rPr>
        <w:t>M</w:t>
      </w:r>
      <w:r w:rsidR="00631731" w:rsidRPr="00945ED6">
        <w:rPr>
          <w:i/>
          <w:noProof/>
          <w:lang w:val="bg-BG"/>
        </w:rPr>
        <w:t>.</w:t>
      </w:r>
      <w:r w:rsidR="00631731" w:rsidRPr="00BB4F95">
        <w:rPr>
          <w:i/>
          <w:noProof/>
          <w:lang w:val="en-GB"/>
        </w:rPr>
        <w:t>D</w:t>
      </w:r>
      <w:r w:rsidR="00631731" w:rsidRPr="00945ED6">
        <w:rPr>
          <w:i/>
          <w:noProof/>
          <w:lang w:val="bg-BG"/>
        </w:rPr>
        <w:t>.</w:t>
      </w:r>
      <w:r w:rsidR="00631731" w:rsidRPr="00BB4F95">
        <w:rPr>
          <w:i/>
          <w:noProof/>
          <w:lang w:val="en-GB"/>
        </w:rPr>
        <w:t>U</w:t>
      </w:r>
      <w:r w:rsidR="00631731" w:rsidRPr="00945ED6">
        <w:rPr>
          <w:i/>
          <w:noProof/>
          <w:lang w:val="bg-BG"/>
        </w:rPr>
        <w:t xml:space="preserve">. </w:t>
      </w:r>
      <w:r w:rsidR="00631731" w:rsidRPr="00BB4F95">
        <w:rPr>
          <w:i/>
          <w:noProof/>
          <w:lang w:val="en-GB"/>
        </w:rPr>
        <w:t>v</w:t>
      </w:r>
      <w:r w:rsidR="00631731" w:rsidRPr="00945ED6">
        <w:rPr>
          <w:i/>
          <w:noProof/>
          <w:lang w:val="bg-BG"/>
        </w:rPr>
        <w:t xml:space="preserve">. </w:t>
      </w:r>
      <w:r w:rsidR="00631731" w:rsidRPr="00BB4F95">
        <w:rPr>
          <w:i/>
          <w:noProof/>
          <w:lang w:val="en-GB"/>
        </w:rPr>
        <w:t>Italy</w:t>
      </w:r>
      <w:r w:rsidR="00631731" w:rsidRPr="00945ED6">
        <w:rPr>
          <w:i/>
          <w:noProof/>
          <w:lang w:val="bg-BG"/>
        </w:rPr>
        <w:t xml:space="preserve"> </w:t>
      </w:r>
      <w:r w:rsidR="00631731" w:rsidRPr="00945ED6">
        <w:rPr>
          <w:noProof/>
          <w:lang w:val="bg-BG"/>
        </w:rPr>
        <w:t>(</w:t>
      </w:r>
      <w:r w:rsidR="007A7442">
        <w:rPr>
          <w:noProof/>
          <w:lang w:val="bg-BG"/>
        </w:rPr>
        <w:t>РД</w:t>
      </w:r>
      <w:r w:rsidR="00631731" w:rsidRPr="00945ED6">
        <w:rPr>
          <w:noProof/>
          <w:lang w:val="bg-BG"/>
        </w:rPr>
        <w:t>),</w:t>
      </w:r>
      <w:r w:rsidR="00631731" w:rsidRPr="00945ED6">
        <w:rPr>
          <w:i/>
          <w:noProof/>
          <w:lang w:val="bg-BG"/>
        </w:rPr>
        <w:t xml:space="preserve"> </w:t>
      </w:r>
      <w:r w:rsidR="00631731" w:rsidRPr="00945ED6">
        <w:rPr>
          <w:noProof/>
          <w:lang w:val="bg-BG"/>
        </w:rPr>
        <w:t>№ 58540/00, 28 януари 2003).</w:t>
      </w:r>
      <w:r w:rsidR="00DD2E0E">
        <w:rPr>
          <w:noProof/>
          <w:lang w:val="bg-BG"/>
        </w:rPr>
        <w:t xml:space="preserve"> По делото </w:t>
      </w:r>
      <w:r w:rsidR="00DD2E0E" w:rsidRPr="00BB4F95">
        <w:rPr>
          <w:i/>
          <w:noProof/>
          <w:lang w:val="en-GB"/>
        </w:rPr>
        <w:t>Hirst</w:t>
      </w:r>
      <w:r w:rsidR="00DD2E0E" w:rsidRPr="00945ED6">
        <w:rPr>
          <w:i/>
          <w:noProof/>
          <w:lang w:val="bg-BG"/>
        </w:rPr>
        <w:t xml:space="preserve"> </w:t>
      </w:r>
      <w:r w:rsidR="00DD2E0E" w:rsidRPr="00945ED6">
        <w:rPr>
          <w:lang w:val="bg-BG"/>
        </w:rPr>
        <w:t>(§ 82)</w:t>
      </w:r>
      <w:r w:rsidR="00DD2E0E">
        <w:rPr>
          <w:lang w:val="bg-BG"/>
        </w:rPr>
        <w:t xml:space="preserve"> обаче Голямата камара изтъква, че</w:t>
      </w:r>
      <w:r w:rsidR="000B71B0">
        <w:rPr>
          <w:lang w:val="bg-BG"/>
        </w:rPr>
        <w:t xml:space="preserve"> </w:t>
      </w:r>
      <w:r w:rsidR="007A7442">
        <w:rPr>
          <w:lang w:val="bg-BG"/>
        </w:rPr>
        <w:t>Д</w:t>
      </w:r>
      <w:r w:rsidR="000B71B0">
        <w:rPr>
          <w:lang w:val="bg-BG"/>
        </w:rPr>
        <w:t>оговарящите страни</w:t>
      </w:r>
      <w:r w:rsidR="00116998">
        <w:rPr>
          <w:lang w:val="bg-BG"/>
        </w:rPr>
        <w:t xml:space="preserve"> не са имали</w:t>
      </w:r>
      <w:r w:rsidR="000B71B0">
        <w:rPr>
          <w:lang w:val="bg-BG"/>
        </w:rPr>
        <w:t xml:space="preserve"> </w:t>
      </w:r>
      <w:r w:rsidR="000B71B0" w:rsidRPr="00BB4F95">
        <w:rPr>
          <w:i/>
          <w:noProof/>
          <w:lang w:val="en-GB"/>
        </w:rPr>
        <w:t>carte</w:t>
      </w:r>
      <w:r w:rsidR="000B71B0" w:rsidRPr="000B71B0">
        <w:rPr>
          <w:i/>
          <w:noProof/>
          <w:lang w:val="bg-BG"/>
        </w:rPr>
        <w:t xml:space="preserve"> </w:t>
      </w:r>
      <w:r w:rsidR="000B71B0" w:rsidRPr="00BB4F95">
        <w:rPr>
          <w:i/>
          <w:noProof/>
          <w:lang w:val="en-GB"/>
        </w:rPr>
        <w:t>blanche</w:t>
      </w:r>
      <w:r w:rsidR="000B71B0" w:rsidRPr="000B71B0">
        <w:rPr>
          <w:i/>
          <w:noProof/>
          <w:lang w:val="bg-BG"/>
        </w:rPr>
        <w:t xml:space="preserve"> </w:t>
      </w:r>
      <w:r w:rsidR="0004677D">
        <w:rPr>
          <w:lang w:val="bg-BG"/>
        </w:rPr>
        <w:t>да лишат</w:t>
      </w:r>
      <w:r w:rsidR="00116998">
        <w:rPr>
          <w:lang w:val="bg-BG"/>
        </w:rPr>
        <w:t xml:space="preserve"> всички </w:t>
      </w:r>
      <w:r w:rsidR="0004677D">
        <w:rPr>
          <w:lang w:val="bg-BG"/>
        </w:rPr>
        <w:t>осъдени затворници от правото на глас, без да обърнат необходим</w:t>
      </w:r>
      <w:r w:rsidR="00D94C17">
        <w:rPr>
          <w:lang w:val="bg-BG"/>
        </w:rPr>
        <w:t>ото внимание на въпроси, свързани с</w:t>
      </w:r>
      <w:r w:rsidR="007A7442">
        <w:rPr>
          <w:lang w:val="bg-BG"/>
        </w:rPr>
        <w:t>ъс</w:t>
      </w:r>
      <w:r w:rsidR="0004677D">
        <w:rPr>
          <w:lang w:val="bg-BG"/>
        </w:rPr>
        <w:t xml:space="preserve"> </w:t>
      </w:r>
      <w:r w:rsidR="007A7442">
        <w:rPr>
          <w:lang w:val="bg-BG"/>
        </w:rPr>
        <w:t xml:space="preserve">срока </w:t>
      </w:r>
      <w:r w:rsidR="0004677D">
        <w:rPr>
          <w:lang w:val="bg-BG"/>
        </w:rPr>
        <w:t>на присъдата</w:t>
      </w:r>
      <w:r w:rsidR="009647C5">
        <w:rPr>
          <w:lang w:val="bg-BG"/>
        </w:rPr>
        <w:t xml:space="preserve"> или естество</w:t>
      </w:r>
      <w:r w:rsidR="00D94C17">
        <w:rPr>
          <w:lang w:val="bg-BG"/>
        </w:rPr>
        <w:t>то</w:t>
      </w:r>
      <w:r w:rsidR="009647C5">
        <w:rPr>
          <w:lang w:val="bg-BG"/>
        </w:rPr>
        <w:t xml:space="preserve"> и тежест</w:t>
      </w:r>
      <w:r w:rsidR="00D94C17">
        <w:rPr>
          <w:lang w:val="bg-BG"/>
        </w:rPr>
        <w:t>та</w:t>
      </w:r>
      <w:r w:rsidR="009647C5">
        <w:rPr>
          <w:lang w:val="bg-BG"/>
        </w:rPr>
        <w:t xml:space="preserve"> на престъплението. Всеобщо</w:t>
      </w:r>
      <w:r w:rsidR="00D94C17">
        <w:rPr>
          <w:lang w:val="bg-BG"/>
        </w:rPr>
        <w:t>то</w:t>
      </w:r>
      <w:r w:rsidR="009647C5">
        <w:rPr>
          <w:lang w:val="bg-BG"/>
        </w:rPr>
        <w:t>, автоматично и безразборно ограничаване на правото на глас на всички осъдени затворници е счетено от Съда за прекрачване на приемливата гр</w:t>
      </w:r>
      <w:r w:rsidR="00D94C17">
        <w:rPr>
          <w:lang w:val="bg-BG"/>
        </w:rPr>
        <w:t>аница на свободата на преценка</w:t>
      </w:r>
      <w:r w:rsidR="009647C5">
        <w:rPr>
          <w:lang w:val="bg-BG"/>
        </w:rPr>
        <w:t xml:space="preserve">. </w:t>
      </w:r>
      <w:r w:rsidR="00116998">
        <w:rPr>
          <w:lang w:val="bg-BG"/>
        </w:rPr>
        <w:t xml:space="preserve"> </w:t>
      </w:r>
      <w:r w:rsidR="00DD2E0E">
        <w:rPr>
          <w:lang w:val="bg-BG"/>
        </w:rPr>
        <w:t xml:space="preserve"> </w:t>
      </w:r>
      <w:r w:rsidR="00631731" w:rsidRPr="00945ED6">
        <w:rPr>
          <w:noProof/>
          <w:lang w:val="bg-BG"/>
        </w:rPr>
        <w:t xml:space="preserve"> </w:t>
      </w:r>
      <w:r w:rsidR="002E1F37">
        <w:rPr>
          <w:lang w:val="bg-BG"/>
        </w:rPr>
        <w:t xml:space="preserve"> </w:t>
      </w:r>
      <w:r w:rsidR="002E1F37" w:rsidRPr="00945ED6">
        <w:rPr>
          <w:lang w:val="bg-BG"/>
        </w:rPr>
        <w:t xml:space="preserve"> </w:t>
      </w:r>
      <w:r w:rsidR="002E1F37">
        <w:rPr>
          <w:lang w:val="bg-BG"/>
        </w:rPr>
        <w:t xml:space="preserve">  </w:t>
      </w:r>
      <w:r w:rsidR="00AF2DB3">
        <w:rPr>
          <w:lang w:val="bg-BG"/>
        </w:rPr>
        <w:t xml:space="preserve"> </w:t>
      </w:r>
    </w:p>
    <w:p w:rsidR="009647C5" w:rsidRPr="00945ED6" w:rsidRDefault="005D3E62" w:rsidP="00B8206D">
      <w:pPr>
        <w:pStyle w:val="JuPara"/>
        <w:rPr>
          <w:lang w:val="bg-BG"/>
        </w:rPr>
      </w:pPr>
      <w:r w:rsidRPr="00E17978">
        <w:fldChar w:fldCharType="begin"/>
      </w:r>
      <w:r w:rsidR="002975AA" w:rsidRPr="00945ED6">
        <w:rPr>
          <w:lang w:val="bg-BG"/>
        </w:rPr>
        <w:instrText xml:space="preserve"> </w:instrText>
      </w:r>
      <w:r w:rsidR="002975AA" w:rsidRPr="00BB4F95">
        <w:rPr>
          <w:lang w:val="en-GB"/>
        </w:rPr>
        <w:instrText>SEQ</w:instrText>
      </w:r>
      <w:r w:rsidR="002975AA" w:rsidRPr="00945ED6">
        <w:rPr>
          <w:lang w:val="bg-BG"/>
        </w:rPr>
        <w:instrText xml:space="preserve"> </w:instrText>
      </w:r>
      <w:r w:rsidR="002975AA" w:rsidRPr="00BB4F95">
        <w:rPr>
          <w:lang w:val="en-GB"/>
        </w:rPr>
        <w:instrText>level</w:instrText>
      </w:r>
      <w:r w:rsidR="002975AA" w:rsidRPr="00945ED6">
        <w:rPr>
          <w:lang w:val="bg-BG"/>
        </w:rPr>
        <w:instrText>0 \*</w:instrText>
      </w:r>
      <w:r w:rsidR="002975AA" w:rsidRPr="00BB4F95">
        <w:rPr>
          <w:lang w:val="en-GB"/>
        </w:rPr>
        <w:instrText>arabic</w:instrText>
      </w:r>
      <w:r w:rsidR="002975AA" w:rsidRPr="00945ED6">
        <w:rPr>
          <w:lang w:val="bg-BG"/>
        </w:rPr>
        <w:instrText xml:space="preserve"> </w:instrText>
      </w:r>
      <w:r w:rsidRPr="00E17978">
        <w:fldChar w:fldCharType="separate"/>
      </w:r>
      <w:r w:rsidR="00955550" w:rsidRPr="00945ED6">
        <w:rPr>
          <w:noProof/>
          <w:lang w:val="bg-BG"/>
        </w:rPr>
        <w:t>106</w:t>
      </w:r>
      <w:r w:rsidRPr="00E17978">
        <w:fldChar w:fldCharType="end"/>
      </w:r>
      <w:r w:rsidR="002975AA" w:rsidRPr="00945ED6">
        <w:rPr>
          <w:lang w:val="bg-BG"/>
        </w:rPr>
        <w:t>.</w:t>
      </w:r>
      <w:r w:rsidR="002975AA" w:rsidRPr="00BB4F95">
        <w:rPr>
          <w:lang w:val="en-GB"/>
        </w:rPr>
        <w:t> </w:t>
      </w:r>
      <w:r w:rsidR="00EC246D">
        <w:rPr>
          <w:lang w:val="bg-BG"/>
        </w:rPr>
        <w:t>По-р</w:t>
      </w:r>
      <w:r w:rsidR="000E3ABD">
        <w:rPr>
          <w:lang w:val="bg-BG"/>
        </w:rPr>
        <w:t>ядко се е случвало о</w:t>
      </w:r>
      <w:r w:rsidR="009647C5">
        <w:rPr>
          <w:lang w:val="bg-BG"/>
        </w:rPr>
        <w:t>рганите на Конвенцията</w:t>
      </w:r>
      <w:r w:rsidR="00267C0D">
        <w:rPr>
          <w:lang w:val="bg-BG"/>
        </w:rPr>
        <w:t xml:space="preserve"> да разглеждат твърдяни</w:t>
      </w:r>
      <w:r w:rsidR="000E3ABD">
        <w:rPr>
          <w:lang w:val="bg-BG"/>
        </w:rPr>
        <w:t xml:space="preserve"> </w:t>
      </w:r>
      <w:r w:rsidR="0017046A">
        <w:rPr>
          <w:lang w:val="bg-BG"/>
        </w:rPr>
        <w:t>нарушения на правото на дадено лице</w:t>
      </w:r>
      <w:r w:rsidR="000E3ABD">
        <w:rPr>
          <w:lang w:val="bg-BG"/>
        </w:rPr>
        <w:t xml:space="preserve"> да се кандидатира на избори,</w:t>
      </w:r>
      <w:r w:rsidR="000E3ABD" w:rsidRPr="000E3ABD">
        <w:rPr>
          <w:lang w:val="bg-BG"/>
        </w:rPr>
        <w:t xml:space="preserve"> </w:t>
      </w:r>
      <w:r w:rsidR="000E3ABD">
        <w:rPr>
          <w:lang w:val="bg-BG"/>
        </w:rPr>
        <w:t>което представлява т.</w:t>
      </w:r>
      <w:r w:rsidR="0017046A">
        <w:rPr>
          <w:lang w:val="bg-BG"/>
        </w:rPr>
        <w:t xml:space="preserve"> </w:t>
      </w:r>
      <w:r w:rsidR="000E3ABD">
        <w:rPr>
          <w:lang w:val="bg-BG"/>
        </w:rPr>
        <w:t>нар. „</w:t>
      </w:r>
      <w:r w:rsidR="00EC246D">
        <w:rPr>
          <w:lang w:val="bg-BG"/>
        </w:rPr>
        <w:t>пасивен</w:t>
      </w:r>
      <w:r w:rsidR="000E3ABD">
        <w:rPr>
          <w:lang w:val="bg-BG"/>
        </w:rPr>
        <w:t>“ аспект на правата по чл</w:t>
      </w:r>
      <w:r w:rsidR="00EC246D">
        <w:rPr>
          <w:lang w:val="bg-BG"/>
        </w:rPr>
        <w:t>ен</w:t>
      </w:r>
      <w:r w:rsidR="000E3ABD">
        <w:rPr>
          <w:lang w:val="bg-BG"/>
        </w:rPr>
        <w:t xml:space="preserve"> 3 от Протокол </w:t>
      </w:r>
      <w:r w:rsidR="000E3ABD" w:rsidRPr="00BD78EA">
        <w:rPr>
          <w:szCs w:val="24"/>
          <w:cs/>
        </w:rPr>
        <w:t>№</w:t>
      </w:r>
      <w:r w:rsidR="000E3ABD" w:rsidRPr="00945ED6">
        <w:rPr>
          <w:lang w:val="bg-BG"/>
        </w:rPr>
        <w:t xml:space="preserve"> 1</w:t>
      </w:r>
      <w:r w:rsidR="0017046A">
        <w:rPr>
          <w:lang w:val="bg-BG"/>
        </w:rPr>
        <w:t xml:space="preserve">. В това отношение Съдът подчертава, че </w:t>
      </w:r>
      <w:r w:rsidR="00107D8D">
        <w:rPr>
          <w:lang w:val="bg-BG"/>
        </w:rPr>
        <w:t>Д</w:t>
      </w:r>
      <w:r w:rsidR="0017046A">
        <w:rPr>
          <w:lang w:val="bg-BG"/>
        </w:rPr>
        <w:t>оговарящите страни</w:t>
      </w:r>
      <w:r w:rsidR="000E3ABD">
        <w:rPr>
          <w:lang w:val="bg-BG"/>
        </w:rPr>
        <w:t xml:space="preserve"> се ползват със значителна свобода в установяването на конституционни правила относно статута на парламентарните членове, включително и критерии, определящи дали е допустимо определено лице да се кандидатира на избори.</w:t>
      </w:r>
      <w:r w:rsidR="009647C5">
        <w:rPr>
          <w:lang w:val="bg-BG"/>
        </w:rPr>
        <w:t xml:space="preserve"> </w:t>
      </w:r>
      <w:r w:rsidR="000E3ABD">
        <w:rPr>
          <w:lang w:val="bg-BG"/>
        </w:rPr>
        <w:t>Въпреки че имат общ корен, състоящ се в нуждата от подсигуряване както на независимостта на избраните кандидати, така и на свободата на избор на избирателите, тези критерии се различават в зависимост от специфичните за всяка държава исторически и политически фактори.</w:t>
      </w:r>
      <w:r w:rsidR="00484E0F">
        <w:rPr>
          <w:lang w:val="bg-BG"/>
        </w:rPr>
        <w:t xml:space="preserve"> Множеството </w:t>
      </w:r>
      <w:r w:rsidR="000E3ABD">
        <w:rPr>
          <w:lang w:val="bg-BG"/>
        </w:rPr>
        <w:t>ситуации, предвидени</w:t>
      </w:r>
      <w:r w:rsidR="008833E9">
        <w:rPr>
          <w:lang w:val="bg-BG"/>
        </w:rPr>
        <w:t xml:space="preserve"> в конституциите и изборните законодателства</w:t>
      </w:r>
      <w:r w:rsidR="00484E0F">
        <w:rPr>
          <w:lang w:val="bg-BG"/>
        </w:rPr>
        <w:t xml:space="preserve"> на различни държави членки на Съвета на Европа, показват разнообразието от възможни подходи в тази сфера. Сл</w:t>
      </w:r>
      <w:r w:rsidR="00D116BF">
        <w:rPr>
          <w:lang w:val="bg-BG"/>
        </w:rPr>
        <w:t>едователно, за целите на приложението</w:t>
      </w:r>
      <w:r w:rsidR="008833E9">
        <w:rPr>
          <w:lang w:val="bg-BG"/>
        </w:rPr>
        <w:t xml:space="preserve"> на чл</w:t>
      </w:r>
      <w:r w:rsidR="00107D8D">
        <w:rPr>
          <w:lang w:val="bg-BG"/>
        </w:rPr>
        <w:t>ен</w:t>
      </w:r>
      <w:r w:rsidR="008833E9">
        <w:rPr>
          <w:lang w:val="bg-BG"/>
        </w:rPr>
        <w:t xml:space="preserve"> 3, всяко изборно</w:t>
      </w:r>
      <w:r w:rsidR="00484E0F">
        <w:rPr>
          <w:lang w:val="bg-BG"/>
        </w:rPr>
        <w:t xml:space="preserve"> законодателство трябва да се оценява с оглед на политическ</w:t>
      </w:r>
      <w:r w:rsidR="00107D8D">
        <w:rPr>
          <w:lang w:val="bg-BG"/>
        </w:rPr>
        <w:t>ото</w:t>
      </w:r>
      <w:r w:rsidR="00484E0F">
        <w:rPr>
          <w:lang w:val="bg-BG"/>
        </w:rPr>
        <w:t xml:space="preserve"> </w:t>
      </w:r>
      <w:r w:rsidR="00107D8D">
        <w:rPr>
          <w:lang w:val="bg-BG"/>
        </w:rPr>
        <w:t>развитие на</w:t>
      </w:r>
      <w:r w:rsidR="00484E0F">
        <w:rPr>
          <w:lang w:val="bg-BG"/>
        </w:rPr>
        <w:t xml:space="preserve"> конкретната страна </w:t>
      </w:r>
      <w:r w:rsidR="00484E0F" w:rsidRPr="00945ED6">
        <w:rPr>
          <w:lang w:val="bg-BG"/>
        </w:rPr>
        <w:t>(вж</w:t>
      </w:r>
      <w:r w:rsidR="00107D8D">
        <w:rPr>
          <w:lang w:val="bg-BG"/>
        </w:rPr>
        <w:t>.</w:t>
      </w:r>
      <w:r w:rsidR="00484E0F" w:rsidRPr="00945ED6">
        <w:rPr>
          <w:lang w:val="bg-BG"/>
        </w:rPr>
        <w:t xml:space="preserve"> </w:t>
      </w:r>
      <w:r w:rsidR="00484E0F" w:rsidRPr="00BB4F95">
        <w:rPr>
          <w:i/>
          <w:iCs/>
          <w:lang w:val="en-GB"/>
        </w:rPr>
        <w:t>Mathieu</w:t>
      </w:r>
      <w:r w:rsidR="00484E0F" w:rsidRPr="00945ED6">
        <w:rPr>
          <w:i/>
          <w:iCs/>
          <w:lang w:val="bg-BG"/>
        </w:rPr>
        <w:t>-</w:t>
      </w:r>
      <w:r w:rsidR="00484E0F" w:rsidRPr="00BB4F95">
        <w:rPr>
          <w:i/>
          <w:iCs/>
          <w:lang w:val="en-GB"/>
        </w:rPr>
        <w:t>Mohin</w:t>
      </w:r>
      <w:r w:rsidR="00484E0F" w:rsidRPr="00945ED6">
        <w:rPr>
          <w:i/>
          <w:iCs/>
          <w:lang w:val="bg-BG"/>
        </w:rPr>
        <w:t xml:space="preserve"> </w:t>
      </w:r>
      <w:r w:rsidR="00484E0F" w:rsidRPr="00BB4F95">
        <w:rPr>
          <w:i/>
          <w:iCs/>
          <w:lang w:val="en-GB"/>
        </w:rPr>
        <w:t>and</w:t>
      </w:r>
      <w:r w:rsidR="00484E0F" w:rsidRPr="00945ED6">
        <w:rPr>
          <w:i/>
          <w:iCs/>
          <w:lang w:val="bg-BG"/>
        </w:rPr>
        <w:t xml:space="preserve"> </w:t>
      </w:r>
      <w:r w:rsidR="00484E0F">
        <w:rPr>
          <w:i/>
          <w:iCs/>
          <w:lang w:val="en-GB"/>
        </w:rPr>
        <w:t>Clerfayt</w:t>
      </w:r>
      <w:r w:rsidR="00484E0F" w:rsidRPr="00945ED6">
        <w:rPr>
          <w:lang w:val="bg-BG"/>
        </w:rPr>
        <w:t xml:space="preserve">, § 54, и </w:t>
      </w:r>
      <w:r w:rsidR="00484E0F">
        <w:rPr>
          <w:i/>
          <w:iCs/>
          <w:lang w:val="en-GB"/>
        </w:rPr>
        <w:t>Podkolzina</w:t>
      </w:r>
      <w:r w:rsidR="00484E0F" w:rsidRPr="00945ED6">
        <w:rPr>
          <w:lang w:val="bg-BG"/>
        </w:rPr>
        <w:t>, § 33,</w:t>
      </w:r>
      <w:r w:rsidR="00484E0F" w:rsidRPr="00945ED6">
        <w:rPr>
          <w:i/>
          <w:lang w:val="bg-BG"/>
        </w:rPr>
        <w:t xml:space="preserve"> </w:t>
      </w:r>
      <w:r w:rsidR="00484E0F" w:rsidRPr="00945ED6">
        <w:rPr>
          <w:lang w:val="bg-BG"/>
        </w:rPr>
        <w:t>и двете цитирани по-горе).</w:t>
      </w:r>
      <w:r w:rsidR="00484E0F">
        <w:rPr>
          <w:lang w:val="bg-BG"/>
        </w:rPr>
        <w:t xml:space="preserve"> </w:t>
      </w:r>
      <w:r w:rsidR="002975AA" w:rsidRPr="00BB4F95">
        <w:rPr>
          <w:lang w:val="en-GB"/>
        </w:rPr>
        <w:t> </w:t>
      </w:r>
    </w:p>
    <w:p w:rsidR="005A5ED0" w:rsidRPr="00945ED6" w:rsidRDefault="005D3E62" w:rsidP="00665A5E">
      <w:pPr>
        <w:pStyle w:val="JuPara"/>
        <w:rPr>
          <w:lang w:val="bg-BG"/>
        </w:rPr>
      </w:pPr>
      <w:r w:rsidRPr="00E17978">
        <w:lastRenderedPageBreak/>
        <w:fldChar w:fldCharType="begin"/>
      </w:r>
      <w:r w:rsidR="002975AA" w:rsidRPr="00945ED6">
        <w:rPr>
          <w:lang w:val="bg-BG"/>
        </w:rPr>
        <w:instrText xml:space="preserve"> </w:instrText>
      </w:r>
      <w:r w:rsidR="002975AA" w:rsidRPr="00BB4F95">
        <w:rPr>
          <w:lang w:val="en-GB"/>
        </w:rPr>
        <w:instrText>SEQ</w:instrText>
      </w:r>
      <w:r w:rsidR="002975AA" w:rsidRPr="00945ED6">
        <w:rPr>
          <w:lang w:val="bg-BG"/>
        </w:rPr>
        <w:instrText xml:space="preserve"> </w:instrText>
      </w:r>
      <w:r w:rsidR="002975AA" w:rsidRPr="00BB4F95">
        <w:rPr>
          <w:lang w:val="en-GB"/>
        </w:rPr>
        <w:instrText>level</w:instrText>
      </w:r>
      <w:r w:rsidR="002975AA" w:rsidRPr="00945ED6">
        <w:rPr>
          <w:lang w:val="bg-BG"/>
        </w:rPr>
        <w:instrText>0 \*</w:instrText>
      </w:r>
      <w:r w:rsidR="002975AA" w:rsidRPr="00BB4F95">
        <w:rPr>
          <w:lang w:val="en-GB"/>
        </w:rPr>
        <w:instrText>arabic</w:instrText>
      </w:r>
      <w:r w:rsidR="002975AA" w:rsidRPr="00945ED6">
        <w:rPr>
          <w:lang w:val="bg-BG"/>
        </w:rPr>
        <w:instrText xml:space="preserve"> </w:instrText>
      </w:r>
      <w:r w:rsidRPr="00E17978">
        <w:fldChar w:fldCharType="separate"/>
      </w:r>
      <w:r w:rsidR="00955550" w:rsidRPr="00945ED6">
        <w:rPr>
          <w:noProof/>
          <w:lang w:val="bg-BG"/>
        </w:rPr>
        <w:t>107</w:t>
      </w:r>
      <w:r w:rsidRPr="00E17978">
        <w:fldChar w:fldCharType="end"/>
      </w:r>
      <w:r w:rsidR="002975AA" w:rsidRPr="00945ED6">
        <w:rPr>
          <w:lang w:val="bg-BG"/>
        </w:rPr>
        <w:t>.</w:t>
      </w:r>
      <w:r w:rsidR="002975AA" w:rsidRPr="00BB4F95">
        <w:rPr>
          <w:lang w:val="en-GB"/>
        </w:rPr>
        <w:t>  </w:t>
      </w:r>
      <w:r w:rsidR="00484E0F">
        <w:rPr>
          <w:lang w:val="bg-BG"/>
        </w:rPr>
        <w:t xml:space="preserve">В делото </w:t>
      </w:r>
      <w:r w:rsidR="002975AA" w:rsidRPr="00BB4F95">
        <w:rPr>
          <w:i/>
          <w:lang w:val="en-GB"/>
        </w:rPr>
        <w:t>Podkolzina</w:t>
      </w:r>
      <w:r w:rsidR="00484E0F" w:rsidRPr="00945ED6">
        <w:rPr>
          <w:lang w:val="bg-BG"/>
        </w:rPr>
        <w:t xml:space="preserve"> Съдът установява нарушение на</w:t>
      </w:r>
      <w:r w:rsidR="003968B1" w:rsidRPr="00945ED6">
        <w:rPr>
          <w:lang w:val="bg-BG"/>
        </w:rPr>
        <w:t xml:space="preserve"> </w:t>
      </w:r>
      <w:r w:rsidR="00484E0F" w:rsidRPr="00945ED6">
        <w:rPr>
          <w:lang w:val="bg-BG"/>
        </w:rPr>
        <w:t>ч</w:t>
      </w:r>
      <w:r w:rsidR="00AF2DB3" w:rsidRPr="00945ED6">
        <w:rPr>
          <w:lang w:val="bg-BG"/>
        </w:rPr>
        <w:t>л</w:t>
      </w:r>
      <w:r w:rsidR="005565D8">
        <w:rPr>
          <w:lang w:val="bg-BG"/>
        </w:rPr>
        <w:t>ен</w:t>
      </w:r>
      <w:r w:rsidR="00AF2DB3" w:rsidRPr="00945ED6">
        <w:rPr>
          <w:lang w:val="bg-BG"/>
        </w:rPr>
        <w:t xml:space="preserve"> 3 от Протокол № 1</w:t>
      </w:r>
      <w:r w:rsidR="00484E0F" w:rsidRPr="00945ED6">
        <w:rPr>
          <w:lang w:val="bg-BG"/>
        </w:rPr>
        <w:t>, свързано с ограничения, наложени</w:t>
      </w:r>
      <w:r w:rsidR="00D94C17">
        <w:rPr>
          <w:lang w:val="bg-BG"/>
        </w:rPr>
        <w:t xml:space="preserve"> върху правото на лицата</w:t>
      </w:r>
      <w:r w:rsidR="00484E0F">
        <w:rPr>
          <w:lang w:val="bg-BG"/>
        </w:rPr>
        <w:t xml:space="preserve"> да се канди</w:t>
      </w:r>
      <w:r w:rsidR="00D94C17">
        <w:rPr>
          <w:lang w:val="bg-BG"/>
        </w:rPr>
        <w:t>датира</w:t>
      </w:r>
      <w:r w:rsidR="005565D8">
        <w:rPr>
          <w:lang w:val="bg-BG"/>
        </w:rPr>
        <w:t>т</w:t>
      </w:r>
      <w:r w:rsidR="00D94C17">
        <w:rPr>
          <w:lang w:val="bg-BG"/>
        </w:rPr>
        <w:t xml:space="preserve"> на избори. В случая</w:t>
      </w:r>
      <w:r w:rsidR="00484E0F">
        <w:rPr>
          <w:lang w:val="bg-BG"/>
        </w:rPr>
        <w:t xml:space="preserve"> </w:t>
      </w:r>
      <w:r w:rsidR="00354C6E">
        <w:rPr>
          <w:lang w:val="bg-BG"/>
        </w:rPr>
        <w:t>жалбоподателката</w:t>
      </w:r>
      <w:r w:rsidR="00484E0F">
        <w:rPr>
          <w:lang w:val="bg-BG"/>
        </w:rPr>
        <w:t xml:space="preserve"> е</w:t>
      </w:r>
      <w:r w:rsidR="00D94C17">
        <w:rPr>
          <w:lang w:val="bg-BG"/>
        </w:rPr>
        <w:t xml:space="preserve"> била</w:t>
      </w:r>
      <w:r w:rsidR="00484E0F">
        <w:rPr>
          <w:lang w:val="bg-BG"/>
        </w:rPr>
        <w:t xml:space="preserve"> изваден</w:t>
      </w:r>
      <w:r w:rsidR="00D94C17">
        <w:rPr>
          <w:lang w:val="bg-BG"/>
        </w:rPr>
        <w:t>а</w:t>
      </w:r>
      <w:r w:rsidR="00484E0F">
        <w:rPr>
          <w:lang w:val="bg-BG"/>
        </w:rPr>
        <w:t xml:space="preserve"> от листата с </w:t>
      </w:r>
      <w:r w:rsidR="00356EE4">
        <w:rPr>
          <w:lang w:val="bg-BG"/>
        </w:rPr>
        <w:t xml:space="preserve">кандидати за </w:t>
      </w:r>
      <w:r w:rsidR="005565D8">
        <w:rPr>
          <w:lang w:val="bg-BG"/>
        </w:rPr>
        <w:t>п</w:t>
      </w:r>
      <w:r w:rsidR="00356EE4">
        <w:rPr>
          <w:lang w:val="bg-BG"/>
        </w:rPr>
        <w:t>арламента въз основа на твърдението, че не владее достатъчно добре официалния език на страната. Съдът потвърждава, че по принцип единствено държавата има властта да взима решение, определящо работния език на пар</w:t>
      </w:r>
      <w:r w:rsidR="00975B03">
        <w:rPr>
          <w:lang w:val="bg-BG"/>
        </w:rPr>
        <w:t>л</w:t>
      </w:r>
      <w:r w:rsidR="00356EE4">
        <w:rPr>
          <w:lang w:val="bg-BG"/>
        </w:rPr>
        <w:t xml:space="preserve">амента, тъй като този фактор се оформя от специфични за конкретната държава исторически и политически съображения. Въпреки това е установено нарушение на </w:t>
      </w:r>
      <w:r w:rsidR="00356EE4" w:rsidRPr="00945ED6">
        <w:rPr>
          <w:lang w:val="bg-BG"/>
        </w:rPr>
        <w:t>чл</w:t>
      </w:r>
      <w:r w:rsidR="005565D8">
        <w:rPr>
          <w:lang w:val="bg-BG"/>
        </w:rPr>
        <w:t>ен</w:t>
      </w:r>
      <w:r w:rsidR="00356EE4" w:rsidRPr="00945ED6">
        <w:rPr>
          <w:lang w:val="bg-BG"/>
        </w:rPr>
        <w:t xml:space="preserve"> 3 от Протокол № 1</w:t>
      </w:r>
      <w:r w:rsidR="00356EE4">
        <w:rPr>
          <w:lang w:val="bg-BG"/>
        </w:rPr>
        <w:t>, тъй като процедурата, на която е подложен</w:t>
      </w:r>
      <w:r w:rsidR="00267C0D">
        <w:rPr>
          <w:lang w:val="bg-BG"/>
        </w:rPr>
        <w:t>а</w:t>
      </w:r>
      <w:r w:rsidR="00356EE4">
        <w:rPr>
          <w:lang w:val="bg-BG"/>
        </w:rPr>
        <w:t xml:space="preserve"> </w:t>
      </w:r>
      <w:r w:rsidR="00354C6E">
        <w:rPr>
          <w:lang w:val="bg-BG"/>
        </w:rPr>
        <w:t>жалбоподателката</w:t>
      </w:r>
      <w:r w:rsidR="00267C0D">
        <w:rPr>
          <w:lang w:val="bg-BG"/>
        </w:rPr>
        <w:t>, за да се определи нивото ѝ</w:t>
      </w:r>
      <w:r w:rsidR="00356EE4">
        <w:rPr>
          <w:lang w:val="bg-BG"/>
        </w:rPr>
        <w:t xml:space="preserve"> на владеене на официалния език, не съответства на изискванията за процесуална справедливост и правна сигурност и в резултат на това</w:t>
      </w:r>
      <w:r w:rsidR="00665A5E">
        <w:rPr>
          <w:lang w:val="bg-BG"/>
        </w:rPr>
        <w:t xml:space="preserve"> негативното заключение, до което </w:t>
      </w:r>
      <w:r w:rsidR="00D94C17">
        <w:rPr>
          <w:lang w:val="bg-BG"/>
        </w:rPr>
        <w:t xml:space="preserve">са достигнали </w:t>
      </w:r>
      <w:r w:rsidR="00665A5E">
        <w:rPr>
          <w:lang w:val="bg-BG"/>
        </w:rPr>
        <w:t>национални</w:t>
      </w:r>
      <w:r w:rsidR="00D94C17">
        <w:rPr>
          <w:lang w:val="bg-BG"/>
        </w:rPr>
        <w:t>те власти</w:t>
      </w:r>
      <w:r w:rsidR="00665A5E">
        <w:rPr>
          <w:lang w:val="bg-BG"/>
        </w:rPr>
        <w:t xml:space="preserve">, може да се счита за недостатъчно </w:t>
      </w:r>
      <w:r w:rsidR="00665A5E" w:rsidRPr="00945ED6">
        <w:rPr>
          <w:lang w:val="bg-BG"/>
        </w:rPr>
        <w:t>(§§ 33-38)</w:t>
      </w:r>
      <w:r w:rsidR="00665A5E">
        <w:rPr>
          <w:lang w:val="bg-BG"/>
        </w:rPr>
        <w:t>.</w:t>
      </w:r>
      <w:r w:rsidR="00356EE4">
        <w:rPr>
          <w:lang w:val="bg-BG"/>
        </w:rPr>
        <w:t xml:space="preserve"> </w:t>
      </w:r>
      <w:r w:rsidR="00484E0F">
        <w:rPr>
          <w:lang w:val="bg-BG"/>
        </w:rPr>
        <w:t xml:space="preserve"> </w:t>
      </w:r>
      <w:r w:rsidR="00484E0F" w:rsidRPr="00945ED6">
        <w:rPr>
          <w:lang w:val="bg-BG"/>
        </w:rPr>
        <w:t xml:space="preserve"> </w:t>
      </w:r>
    </w:p>
    <w:p w:rsidR="00665A5E" w:rsidRPr="00945ED6" w:rsidRDefault="005D3E62" w:rsidP="00B8206D">
      <w:pPr>
        <w:pStyle w:val="JuPara"/>
        <w:rPr>
          <w:lang w:val="bg-BG"/>
        </w:rPr>
      </w:pPr>
      <w:r w:rsidRPr="00E17978">
        <w:fldChar w:fldCharType="begin"/>
      </w:r>
      <w:r w:rsidR="002975AA" w:rsidRPr="00945ED6">
        <w:rPr>
          <w:lang w:val="bg-BG"/>
        </w:rPr>
        <w:instrText xml:space="preserve"> </w:instrText>
      </w:r>
      <w:r w:rsidR="002975AA" w:rsidRPr="00BB4F95">
        <w:rPr>
          <w:lang w:val="en-GB"/>
        </w:rPr>
        <w:instrText>SEQ</w:instrText>
      </w:r>
      <w:r w:rsidR="002975AA" w:rsidRPr="00945ED6">
        <w:rPr>
          <w:lang w:val="bg-BG"/>
        </w:rPr>
        <w:instrText xml:space="preserve"> </w:instrText>
      </w:r>
      <w:r w:rsidR="002975AA" w:rsidRPr="00BB4F95">
        <w:rPr>
          <w:lang w:val="en-GB"/>
        </w:rPr>
        <w:instrText>level</w:instrText>
      </w:r>
      <w:r w:rsidR="002975AA" w:rsidRPr="00945ED6">
        <w:rPr>
          <w:lang w:val="bg-BG"/>
        </w:rPr>
        <w:instrText>0 \*</w:instrText>
      </w:r>
      <w:r w:rsidR="002975AA" w:rsidRPr="00BB4F95">
        <w:rPr>
          <w:lang w:val="en-GB"/>
        </w:rPr>
        <w:instrText>arabic</w:instrText>
      </w:r>
      <w:r w:rsidR="002975AA" w:rsidRPr="00945ED6">
        <w:rPr>
          <w:lang w:val="bg-BG"/>
        </w:rPr>
        <w:instrText xml:space="preserve"> </w:instrText>
      </w:r>
      <w:r w:rsidRPr="00E17978">
        <w:fldChar w:fldCharType="separate"/>
      </w:r>
      <w:r w:rsidR="00955550" w:rsidRPr="00945ED6">
        <w:rPr>
          <w:noProof/>
          <w:lang w:val="bg-BG"/>
        </w:rPr>
        <w:t>108</w:t>
      </w:r>
      <w:r w:rsidRPr="00E17978">
        <w:fldChar w:fldCharType="end"/>
      </w:r>
      <w:r w:rsidR="002975AA" w:rsidRPr="00945ED6">
        <w:rPr>
          <w:lang w:val="bg-BG"/>
        </w:rPr>
        <w:t>.</w:t>
      </w:r>
      <w:r w:rsidR="00665A5E">
        <w:rPr>
          <w:lang w:val="bg-BG"/>
        </w:rPr>
        <w:t xml:space="preserve"> По делото </w:t>
      </w:r>
      <w:r w:rsidR="00665A5E" w:rsidRPr="00BB4F95">
        <w:rPr>
          <w:i/>
          <w:lang w:val="en-GB"/>
        </w:rPr>
        <w:t>Melnychenko</w:t>
      </w:r>
      <w:r w:rsidR="00665A5E" w:rsidRPr="00945ED6">
        <w:rPr>
          <w:i/>
          <w:lang w:val="bg-BG"/>
        </w:rPr>
        <w:t xml:space="preserve"> </w:t>
      </w:r>
      <w:r w:rsidR="00665A5E" w:rsidRPr="00BB4F95">
        <w:rPr>
          <w:i/>
          <w:lang w:val="en-GB"/>
        </w:rPr>
        <w:t>v</w:t>
      </w:r>
      <w:r w:rsidR="00665A5E" w:rsidRPr="00945ED6">
        <w:rPr>
          <w:i/>
          <w:lang w:val="bg-BG"/>
        </w:rPr>
        <w:t xml:space="preserve">. </w:t>
      </w:r>
      <w:r w:rsidR="00665A5E" w:rsidRPr="00BB4F95">
        <w:rPr>
          <w:i/>
          <w:lang w:val="en-GB"/>
        </w:rPr>
        <w:t>Ukraine</w:t>
      </w:r>
      <w:r w:rsidR="00665A5E" w:rsidRPr="00945ED6">
        <w:rPr>
          <w:lang w:val="bg-BG"/>
        </w:rPr>
        <w:t xml:space="preserve"> (№ 17707/02, §§ 53-67, ЕСПЧ 2004</w:t>
      </w:r>
      <w:r w:rsidR="00665A5E" w:rsidRPr="00945ED6">
        <w:rPr>
          <w:lang w:val="bg-BG"/>
        </w:rPr>
        <w:noBreakHyphen/>
      </w:r>
      <w:r w:rsidR="00665A5E">
        <w:rPr>
          <w:lang w:val="en-GB"/>
        </w:rPr>
        <w:t>X</w:t>
      </w:r>
      <w:r w:rsidR="00665A5E" w:rsidRPr="00945ED6">
        <w:rPr>
          <w:lang w:val="bg-BG"/>
        </w:rPr>
        <w:t>)</w:t>
      </w:r>
      <w:r w:rsidR="00D94C17">
        <w:rPr>
          <w:lang w:val="bg-BG"/>
        </w:rPr>
        <w:t xml:space="preserve"> Съдът признава и</w:t>
      </w:r>
      <w:r w:rsidR="003B25A7">
        <w:rPr>
          <w:lang w:val="bg-BG"/>
        </w:rPr>
        <w:t xml:space="preserve"> че законодателство, което поставя </w:t>
      </w:r>
      <w:r w:rsidR="003B25A7" w:rsidRPr="00897C04">
        <w:rPr>
          <w:lang w:val="bg-BG"/>
        </w:rPr>
        <w:t xml:space="preserve">изисквания за </w:t>
      </w:r>
      <w:r w:rsidR="00897C04" w:rsidRPr="00897C04">
        <w:rPr>
          <w:lang w:val="bg-BG"/>
        </w:rPr>
        <w:t>кандидатите</w:t>
      </w:r>
      <w:r w:rsidR="00897C04">
        <w:rPr>
          <w:lang w:val="bg-BG"/>
        </w:rPr>
        <w:t xml:space="preserve"> за членове на парламента да бъдат жители на съответната държава</w:t>
      </w:r>
      <w:r w:rsidR="003B25A7">
        <w:rPr>
          <w:lang w:val="bg-BG"/>
        </w:rPr>
        <w:t xml:space="preserve">, е съвместимо с </w:t>
      </w:r>
      <w:r w:rsidR="003B25A7" w:rsidRPr="00945ED6">
        <w:rPr>
          <w:lang w:val="bg-BG"/>
        </w:rPr>
        <w:t>чл</w:t>
      </w:r>
      <w:r w:rsidR="005565D8">
        <w:rPr>
          <w:lang w:val="bg-BG"/>
        </w:rPr>
        <w:t>ен</w:t>
      </w:r>
      <w:r w:rsidR="003B25A7" w:rsidRPr="00945ED6">
        <w:rPr>
          <w:lang w:val="bg-BG"/>
        </w:rPr>
        <w:t xml:space="preserve"> 3 от Протокол № 1</w:t>
      </w:r>
      <w:r w:rsidR="003B25A7">
        <w:rPr>
          <w:lang w:val="bg-BG"/>
        </w:rPr>
        <w:t xml:space="preserve">. В същото време решението на украинските власти да откажат </w:t>
      </w:r>
      <w:r w:rsidR="00B80984">
        <w:rPr>
          <w:lang w:val="bg-BG"/>
        </w:rPr>
        <w:t>да регистрират</w:t>
      </w:r>
      <w:r w:rsidR="003B25A7">
        <w:rPr>
          <w:lang w:val="bg-BG"/>
        </w:rPr>
        <w:t xml:space="preserve"> </w:t>
      </w:r>
      <w:r w:rsidR="00D94C17">
        <w:rPr>
          <w:lang w:val="bg-BG"/>
        </w:rPr>
        <w:t>жалбоподателя</w:t>
      </w:r>
      <w:r w:rsidR="003B25A7">
        <w:rPr>
          <w:lang w:val="bg-BG"/>
        </w:rPr>
        <w:t xml:space="preserve"> </w:t>
      </w:r>
      <w:r w:rsidR="00B80984">
        <w:rPr>
          <w:lang w:val="bg-BG"/>
        </w:rPr>
        <w:t xml:space="preserve">като кандидат </w:t>
      </w:r>
      <w:r w:rsidR="003B25A7">
        <w:rPr>
          <w:lang w:val="bg-BG"/>
        </w:rPr>
        <w:t xml:space="preserve">за член на парламента е счетено </w:t>
      </w:r>
      <w:r w:rsidR="00B80984">
        <w:rPr>
          <w:lang w:val="bg-BG"/>
        </w:rPr>
        <w:t xml:space="preserve">за </w:t>
      </w:r>
      <w:r w:rsidR="003B25A7">
        <w:rPr>
          <w:lang w:val="bg-BG"/>
        </w:rPr>
        <w:t xml:space="preserve">нарушение на горепосочената </w:t>
      </w:r>
      <w:r w:rsidR="00F40825">
        <w:rPr>
          <w:lang w:val="bg-BG"/>
        </w:rPr>
        <w:t>разпоредба. Причината е, че</w:t>
      </w:r>
      <w:r w:rsidR="00D94C17">
        <w:rPr>
          <w:lang w:val="bg-BG"/>
        </w:rPr>
        <w:t xml:space="preserve"> </w:t>
      </w:r>
      <w:r w:rsidR="003B25A7">
        <w:rPr>
          <w:lang w:val="bg-BG"/>
        </w:rPr>
        <w:t xml:space="preserve">националното законодателство, уреждащо доказването на гражданството на кандидатите, </w:t>
      </w:r>
      <w:r w:rsidR="00D94C17">
        <w:rPr>
          <w:lang w:val="bg-BG"/>
        </w:rPr>
        <w:t>не разполага с</w:t>
      </w:r>
      <w:r w:rsidR="00F40825">
        <w:rPr>
          <w:lang w:val="bg-BG"/>
        </w:rPr>
        <w:t xml:space="preserve"> необходимите сигурност и точност, които да гарантират на </w:t>
      </w:r>
      <w:r w:rsidR="00D94C17">
        <w:rPr>
          <w:lang w:val="bg-BG"/>
        </w:rPr>
        <w:t>жалбоподателя</w:t>
      </w:r>
      <w:r w:rsidR="00F40825">
        <w:rPr>
          <w:lang w:val="bg-BG"/>
        </w:rPr>
        <w:t xml:space="preserve"> адекватна защита срещу произволно отношение. </w:t>
      </w:r>
      <w:r w:rsidR="00A87BC3">
        <w:rPr>
          <w:lang w:val="bg-BG"/>
        </w:rPr>
        <w:t>По отношение на този случай Съдът подчертава</w:t>
      </w:r>
      <w:r w:rsidR="00F40825">
        <w:rPr>
          <w:lang w:val="bg-BG"/>
        </w:rPr>
        <w:t xml:space="preserve">, че макар </w:t>
      </w:r>
      <w:r w:rsidR="00B80984">
        <w:rPr>
          <w:lang w:val="bg-BG"/>
        </w:rPr>
        <w:t>Д</w:t>
      </w:r>
      <w:r w:rsidR="00A87BC3">
        <w:rPr>
          <w:lang w:val="bg-BG"/>
        </w:rPr>
        <w:t>оговарящите страни</w:t>
      </w:r>
      <w:r w:rsidR="00F40825">
        <w:rPr>
          <w:lang w:val="bg-BG"/>
        </w:rPr>
        <w:t xml:space="preserve"> да имат голяма свобода на преценка при определянето на условията за допускане до избори, принципът, че правата трябва да бъдат ефективни, изисква самата процедура по </w:t>
      </w:r>
      <w:r w:rsidR="00326143">
        <w:rPr>
          <w:lang w:val="bg-BG"/>
        </w:rPr>
        <w:t>допускане</w:t>
      </w:r>
      <w:r w:rsidR="00086981">
        <w:rPr>
          <w:lang w:val="bg-BG"/>
        </w:rPr>
        <w:t xml:space="preserve"> да съдържа необходимите предпазни мерки за предотвратяване на произволни решения </w:t>
      </w:r>
      <w:r w:rsidR="00086981" w:rsidRPr="00945ED6">
        <w:rPr>
          <w:lang w:val="bg-BG"/>
        </w:rPr>
        <w:t>(§ 59).</w:t>
      </w:r>
      <w:r w:rsidR="00F40825">
        <w:rPr>
          <w:lang w:val="bg-BG"/>
        </w:rPr>
        <w:t xml:space="preserve">    </w:t>
      </w:r>
      <w:r w:rsidR="003B25A7">
        <w:rPr>
          <w:lang w:val="bg-BG"/>
        </w:rPr>
        <w:t xml:space="preserve">   </w:t>
      </w:r>
      <w:r w:rsidR="00665A5E">
        <w:rPr>
          <w:lang w:val="bg-BG"/>
        </w:rPr>
        <w:t xml:space="preserve"> </w:t>
      </w:r>
      <w:r w:rsidR="002975AA" w:rsidRPr="00BB4F95">
        <w:rPr>
          <w:lang w:val="en-GB"/>
        </w:rPr>
        <w:t>  </w:t>
      </w:r>
    </w:p>
    <w:p w:rsidR="00086981" w:rsidRPr="00945ED6" w:rsidRDefault="005D3E62" w:rsidP="00B8206D">
      <w:pPr>
        <w:pStyle w:val="JuPara"/>
        <w:rPr>
          <w:lang w:val="bg-BG"/>
        </w:rPr>
      </w:pPr>
      <w:r w:rsidRPr="00E17978">
        <w:fldChar w:fldCharType="begin"/>
      </w:r>
      <w:r w:rsidR="002975AA" w:rsidRPr="00126EB2">
        <w:rPr>
          <w:lang w:val="bg-BG"/>
        </w:rPr>
        <w:instrText xml:space="preserve"> </w:instrText>
      </w:r>
      <w:r w:rsidR="002975AA" w:rsidRPr="00BB4F95">
        <w:rPr>
          <w:lang w:val="en-GB"/>
        </w:rPr>
        <w:instrText>SEQ</w:instrText>
      </w:r>
      <w:r w:rsidR="002975AA" w:rsidRPr="00126EB2">
        <w:rPr>
          <w:lang w:val="bg-BG"/>
        </w:rPr>
        <w:instrText xml:space="preserve"> </w:instrText>
      </w:r>
      <w:r w:rsidR="002975AA" w:rsidRPr="00BB4F95">
        <w:rPr>
          <w:lang w:val="en-GB"/>
        </w:rPr>
        <w:instrText>level</w:instrText>
      </w:r>
      <w:r w:rsidR="002975AA" w:rsidRPr="00126EB2">
        <w:rPr>
          <w:lang w:val="bg-BG"/>
        </w:rPr>
        <w:instrText>0 \*</w:instrText>
      </w:r>
      <w:r w:rsidR="002975AA" w:rsidRPr="00BB4F95">
        <w:rPr>
          <w:lang w:val="en-GB"/>
        </w:rPr>
        <w:instrText>arabic</w:instrText>
      </w:r>
      <w:r w:rsidR="002975AA" w:rsidRPr="00126EB2">
        <w:rPr>
          <w:lang w:val="bg-BG"/>
        </w:rPr>
        <w:instrText xml:space="preserve"> </w:instrText>
      </w:r>
      <w:r w:rsidRPr="00E17978">
        <w:fldChar w:fldCharType="separate"/>
      </w:r>
      <w:r w:rsidR="00955550" w:rsidRPr="00126EB2">
        <w:rPr>
          <w:noProof/>
          <w:lang w:val="bg-BG"/>
        </w:rPr>
        <w:t>109</w:t>
      </w:r>
      <w:r w:rsidRPr="00E17978">
        <w:fldChar w:fldCharType="end"/>
      </w:r>
      <w:r w:rsidR="002975AA" w:rsidRPr="00126EB2">
        <w:rPr>
          <w:lang w:val="bg-BG"/>
        </w:rPr>
        <w:t>.</w:t>
      </w:r>
      <w:r w:rsidR="00326143">
        <w:rPr>
          <w:lang w:val="bg-BG"/>
        </w:rPr>
        <w:t xml:space="preserve"> В някои по-стари дела бившата Комисия по различни поводи е</w:t>
      </w:r>
      <w:r w:rsidR="00086981">
        <w:rPr>
          <w:lang w:val="bg-BG"/>
        </w:rPr>
        <w:t xml:space="preserve"> обсъжда</w:t>
      </w:r>
      <w:r w:rsidR="00326143">
        <w:rPr>
          <w:lang w:val="bg-BG"/>
        </w:rPr>
        <w:t>ла</w:t>
      </w:r>
      <w:r w:rsidR="00086981">
        <w:rPr>
          <w:lang w:val="bg-BG"/>
        </w:rPr>
        <w:t xml:space="preserve"> дали решението да се ограничат т.</w:t>
      </w:r>
      <w:r w:rsidR="00E63A5F">
        <w:rPr>
          <w:lang w:val="bg-BG"/>
        </w:rPr>
        <w:t xml:space="preserve"> </w:t>
      </w:r>
      <w:r w:rsidR="00086981">
        <w:rPr>
          <w:lang w:val="bg-BG"/>
        </w:rPr>
        <w:t>нар. „активни“ или „пасивни“ избирателни права на определени лица в</w:t>
      </w:r>
      <w:r w:rsidR="00E63A5F">
        <w:rPr>
          <w:lang w:val="bg-BG"/>
        </w:rPr>
        <w:t>ъз основа на техни предишни действия</w:t>
      </w:r>
      <w:r w:rsidR="00086981">
        <w:rPr>
          <w:lang w:val="bg-BG"/>
        </w:rPr>
        <w:t xml:space="preserve"> представлява нарушение на </w:t>
      </w:r>
      <w:r w:rsidR="00086981" w:rsidRPr="00126EB2">
        <w:rPr>
          <w:lang w:val="bg-BG"/>
        </w:rPr>
        <w:t>чл</w:t>
      </w:r>
      <w:r w:rsidR="0046022B">
        <w:rPr>
          <w:lang w:val="bg-BG"/>
        </w:rPr>
        <w:t>ен</w:t>
      </w:r>
      <w:r w:rsidR="00086981" w:rsidRPr="00126EB2">
        <w:rPr>
          <w:lang w:val="bg-BG"/>
        </w:rPr>
        <w:t xml:space="preserve"> 3 от Протокол № 1.</w:t>
      </w:r>
      <w:r w:rsidR="00086981">
        <w:rPr>
          <w:lang w:val="bg-BG"/>
        </w:rPr>
        <w:t xml:space="preserve"> В</w:t>
      </w:r>
      <w:r w:rsidR="004410F7">
        <w:rPr>
          <w:lang w:val="bg-BG"/>
        </w:rPr>
        <w:t xml:space="preserve"> никое от тези дела Комисията не е намерила нарушение. Така например в делата </w:t>
      </w:r>
      <w:r w:rsidR="004410F7">
        <w:rPr>
          <w:i/>
          <w:iCs/>
          <w:lang w:val="en-GB"/>
        </w:rPr>
        <w:t>X</w:t>
      </w:r>
      <w:r w:rsidR="004410F7" w:rsidRPr="00945ED6">
        <w:rPr>
          <w:i/>
          <w:iCs/>
          <w:lang w:val="bg-BG"/>
        </w:rPr>
        <w:t xml:space="preserve"> </w:t>
      </w:r>
      <w:r w:rsidR="004410F7" w:rsidRPr="00BB4F95">
        <w:rPr>
          <w:i/>
          <w:iCs/>
          <w:lang w:val="en-GB"/>
        </w:rPr>
        <w:t>v</w:t>
      </w:r>
      <w:r w:rsidR="004410F7" w:rsidRPr="00945ED6">
        <w:rPr>
          <w:i/>
          <w:iCs/>
          <w:lang w:val="bg-BG"/>
        </w:rPr>
        <w:t xml:space="preserve">. </w:t>
      </w:r>
      <w:r w:rsidR="004410F7" w:rsidRPr="00BB4F95">
        <w:rPr>
          <w:i/>
          <w:iCs/>
          <w:lang w:val="en-GB"/>
        </w:rPr>
        <w:t>the</w:t>
      </w:r>
      <w:r w:rsidR="004410F7" w:rsidRPr="00945ED6">
        <w:rPr>
          <w:i/>
          <w:iCs/>
          <w:lang w:val="bg-BG"/>
        </w:rPr>
        <w:t xml:space="preserve"> </w:t>
      </w:r>
      <w:r w:rsidR="004410F7" w:rsidRPr="00BB4F95">
        <w:rPr>
          <w:i/>
          <w:iCs/>
          <w:lang w:val="en-GB"/>
        </w:rPr>
        <w:t>Netherlands</w:t>
      </w:r>
      <w:r w:rsidR="004410F7" w:rsidRPr="00945ED6">
        <w:rPr>
          <w:i/>
          <w:iCs/>
          <w:lang w:val="bg-BG"/>
        </w:rPr>
        <w:t xml:space="preserve"> </w:t>
      </w:r>
      <w:r w:rsidR="004410F7" w:rsidRPr="00945ED6">
        <w:rPr>
          <w:lang w:val="bg-BG"/>
        </w:rPr>
        <w:t xml:space="preserve">(№ 6573/74, </w:t>
      </w:r>
      <w:r w:rsidR="004410F7">
        <w:rPr>
          <w:noProof/>
          <w:lang w:val="bg-BG"/>
        </w:rPr>
        <w:t>р</w:t>
      </w:r>
      <w:r w:rsidR="004410F7" w:rsidRPr="00945ED6">
        <w:rPr>
          <w:noProof/>
          <w:lang w:val="bg-BG"/>
        </w:rPr>
        <w:t>ешение на Комисията</w:t>
      </w:r>
      <w:r w:rsidR="004410F7">
        <w:rPr>
          <w:noProof/>
          <w:lang w:val="bg-BG"/>
        </w:rPr>
        <w:t xml:space="preserve"> от</w:t>
      </w:r>
      <w:r w:rsidR="004410F7" w:rsidRPr="00945ED6">
        <w:rPr>
          <w:lang w:val="bg-BG"/>
        </w:rPr>
        <w:t xml:space="preserve"> 19</w:t>
      </w:r>
      <w:r w:rsidR="004410F7">
        <w:rPr>
          <w:lang w:val="en-GB"/>
        </w:rPr>
        <w:t> </w:t>
      </w:r>
      <w:r w:rsidR="004410F7" w:rsidRPr="00945ED6">
        <w:rPr>
          <w:lang w:val="bg-BG"/>
        </w:rPr>
        <w:t xml:space="preserve">декември 1974, </w:t>
      </w:r>
      <w:r w:rsidR="004410F7">
        <w:rPr>
          <w:lang w:val="en-GB"/>
        </w:rPr>
        <w:t>DR</w:t>
      </w:r>
      <w:r w:rsidR="004410F7" w:rsidRPr="00945ED6">
        <w:rPr>
          <w:lang w:val="bg-BG"/>
        </w:rPr>
        <w:t xml:space="preserve"> 1, стр. 87) и </w:t>
      </w:r>
      <w:r w:rsidR="004410F7">
        <w:rPr>
          <w:i/>
          <w:iCs/>
          <w:lang w:val="en-GB"/>
        </w:rPr>
        <w:t>X</w:t>
      </w:r>
      <w:r w:rsidR="004410F7" w:rsidRPr="00945ED6">
        <w:rPr>
          <w:i/>
          <w:iCs/>
          <w:lang w:val="bg-BG"/>
        </w:rPr>
        <w:t xml:space="preserve"> </w:t>
      </w:r>
      <w:r w:rsidR="004410F7" w:rsidRPr="00BB4F95">
        <w:rPr>
          <w:i/>
          <w:iCs/>
          <w:lang w:val="en-GB"/>
        </w:rPr>
        <w:t>v</w:t>
      </w:r>
      <w:r w:rsidR="004410F7" w:rsidRPr="00945ED6">
        <w:rPr>
          <w:i/>
          <w:iCs/>
          <w:lang w:val="bg-BG"/>
        </w:rPr>
        <w:t xml:space="preserve">. </w:t>
      </w:r>
      <w:r w:rsidR="004410F7" w:rsidRPr="00BB4F95">
        <w:rPr>
          <w:i/>
          <w:iCs/>
          <w:lang w:val="en-GB"/>
        </w:rPr>
        <w:t>Belgium</w:t>
      </w:r>
      <w:r w:rsidR="004410F7" w:rsidRPr="00945ED6">
        <w:rPr>
          <w:lang w:val="bg-BG"/>
        </w:rPr>
        <w:t xml:space="preserve"> (№ 8701/79, решение на Комисията</w:t>
      </w:r>
      <w:r w:rsidR="004410F7">
        <w:rPr>
          <w:lang w:val="bg-BG"/>
        </w:rPr>
        <w:t xml:space="preserve"> от</w:t>
      </w:r>
      <w:r w:rsidR="004410F7" w:rsidRPr="00945ED6">
        <w:rPr>
          <w:lang w:val="bg-BG"/>
        </w:rPr>
        <w:t xml:space="preserve"> 3 декември 1979, </w:t>
      </w:r>
      <w:r w:rsidR="004410F7">
        <w:rPr>
          <w:lang w:val="en-GB"/>
        </w:rPr>
        <w:t>DR</w:t>
      </w:r>
      <w:r w:rsidR="004410F7" w:rsidRPr="00945ED6">
        <w:rPr>
          <w:lang w:val="bg-BG"/>
        </w:rPr>
        <w:t xml:space="preserve"> 18, стр. 250)</w:t>
      </w:r>
      <w:r w:rsidR="004410F7">
        <w:rPr>
          <w:lang w:val="bg-BG"/>
        </w:rPr>
        <w:t xml:space="preserve"> за недопустими са обявени жалбите на две лица, които след Втората световна война са били осъждани за сътрудничество с в</w:t>
      </w:r>
      <w:r w:rsidR="004F33D5">
        <w:rPr>
          <w:lang w:val="bg-BG"/>
        </w:rPr>
        <w:t>рага или</w:t>
      </w:r>
      <w:r w:rsidR="00E63A5F">
        <w:rPr>
          <w:lang w:val="bg-BG"/>
        </w:rPr>
        <w:t xml:space="preserve"> </w:t>
      </w:r>
      <w:r w:rsidR="0046022B">
        <w:rPr>
          <w:lang w:val="bg-BG"/>
        </w:rPr>
        <w:t xml:space="preserve">за </w:t>
      </w:r>
      <w:r w:rsidR="00E63A5F">
        <w:rPr>
          <w:lang w:val="bg-BG"/>
        </w:rPr>
        <w:t>т.н.</w:t>
      </w:r>
      <w:r w:rsidR="004F33D5">
        <w:rPr>
          <w:lang w:val="bg-BG"/>
        </w:rPr>
        <w:t xml:space="preserve"> „негражданска дейност</w:t>
      </w:r>
      <w:r w:rsidR="00E63A5F">
        <w:rPr>
          <w:lang w:val="bg-BG"/>
        </w:rPr>
        <w:t>“ и</w:t>
      </w:r>
      <w:r w:rsidR="004410F7">
        <w:rPr>
          <w:lang w:val="bg-BG"/>
        </w:rPr>
        <w:t xml:space="preserve"> въз основа на това са </w:t>
      </w:r>
      <w:r w:rsidR="00326143">
        <w:rPr>
          <w:lang w:val="bg-BG"/>
        </w:rPr>
        <w:t xml:space="preserve">били </w:t>
      </w:r>
      <w:r w:rsidR="004410F7">
        <w:rPr>
          <w:lang w:val="bg-BG"/>
        </w:rPr>
        <w:t xml:space="preserve">трайно лишени от право на глас. Комисията по-конкретно счита, че „целта на законодателство, което лишава </w:t>
      </w:r>
      <w:r w:rsidR="009C7999">
        <w:rPr>
          <w:lang w:val="bg-BG"/>
        </w:rPr>
        <w:t xml:space="preserve">лица, </w:t>
      </w:r>
      <w:r w:rsidR="007F281A">
        <w:rPr>
          <w:lang w:val="bg-BG"/>
        </w:rPr>
        <w:t>осъдени за измяна</w:t>
      </w:r>
      <w:r w:rsidR="009C7999">
        <w:rPr>
          <w:lang w:val="bg-BG"/>
        </w:rPr>
        <w:t>,</w:t>
      </w:r>
      <w:r w:rsidR="007F281A">
        <w:rPr>
          <w:lang w:val="bg-BG"/>
        </w:rPr>
        <w:t xml:space="preserve"> от определени</w:t>
      </w:r>
      <w:r w:rsidR="000411A0">
        <w:rPr>
          <w:lang w:val="bg-BG"/>
        </w:rPr>
        <w:t xml:space="preserve"> </w:t>
      </w:r>
      <w:r w:rsidR="000411A0">
        <w:rPr>
          <w:lang w:val="bg-BG"/>
        </w:rPr>
        <w:lastRenderedPageBreak/>
        <w:t>политически права, по-конкретно</w:t>
      </w:r>
      <w:r w:rsidR="007F281A">
        <w:rPr>
          <w:lang w:val="bg-BG"/>
        </w:rPr>
        <w:t xml:space="preserve"> правото на глас, </w:t>
      </w:r>
      <w:r w:rsidR="007F281A" w:rsidRPr="00945ED6">
        <w:rPr>
          <w:lang w:val="bg-BG"/>
        </w:rPr>
        <w:t>[</w:t>
      </w:r>
      <w:r w:rsidR="007F281A">
        <w:rPr>
          <w:lang w:val="bg-BG"/>
        </w:rPr>
        <w:t>е</w:t>
      </w:r>
      <w:r w:rsidR="007F281A" w:rsidRPr="00945ED6">
        <w:rPr>
          <w:lang w:val="bg-BG"/>
        </w:rPr>
        <w:t>]</w:t>
      </w:r>
      <w:r w:rsidR="007F281A">
        <w:rPr>
          <w:lang w:val="bg-BG"/>
        </w:rPr>
        <w:t xml:space="preserve"> да се гарантира, че лица, които във военно време сериозно са злоупотребили с правото си на участие в обществения живот на страната си, няма да имат в бъдеще възможност да злоупотребят с политическите си права по начин, насочен срещу сигурността на държавата или основите на демократичното общество</w:t>
      </w:r>
      <w:r w:rsidR="0046022B">
        <w:rPr>
          <w:lang w:val="bg-BG"/>
        </w:rPr>
        <w:t>“</w:t>
      </w:r>
      <w:r w:rsidR="007F281A">
        <w:rPr>
          <w:lang w:val="bg-BG"/>
        </w:rPr>
        <w:t xml:space="preserve"> </w:t>
      </w:r>
      <w:r w:rsidR="007F281A" w:rsidRPr="00945ED6">
        <w:rPr>
          <w:lang w:val="bg-BG"/>
        </w:rPr>
        <w:t>(вж</w:t>
      </w:r>
      <w:r w:rsidR="0046022B">
        <w:rPr>
          <w:lang w:val="bg-BG"/>
        </w:rPr>
        <w:t>.</w:t>
      </w:r>
      <w:r w:rsidR="007F281A" w:rsidRPr="00945ED6">
        <w:rPr>
          <w:lang w:val="bg-BG"/>
        </w:rPr>
        <w:t xml:space="preserve"> </w:t>
      </w:r>
      <w:r w:rsidR="007F281A">
        <w:rPr>
          <w:i/>
          <w:iCs/>
          <w:lang w:val="en-GB"/>
        </w:rPr>
        <w:t>X</w:t>
      </w:r>
      <w:r w:rsidR="007F281A" w:rsidRPr="00945ED6">
        <w:rPr>
          <w:i/>
          <w:iCs/>
          <w:lang w:val="bg-BG"/>
        </w:rPr>
        <w:t xml:space="preserve"> </w:t>
      </w:r>
      <w:r w:rsidR="007F281A">
        <w:rPr>
          <w:i/>
          <w:iCs/>
          <w:lang w:val="en-GB"/>
        </w:rPr>
        <w:t>v</w:t>
      </w:r>
      <w:r w:rsidR="007F281A" w:rsidRPr="00945ED6">
        <w:rPr>
          <w:i/>
          <w:iCs/>
          <w:lang w:val="bg-BG"/>
        </w:rPr>
        <w:t xml:space="preserve">. </w:t>
      </w:r>
      <w:r w:rsidR="007F281A" w:rsidRPr="00BB4F95">
        <w:rPr>
          <w:i/>
          <w:iCs/>
          <w:lang w:val="en-GB"/>
        </w:rPr>
        <w:t>Belgium</w:t>
      </w:r>
      <w:r w:rsidR="007F281A" w:rsidRPr="00945ED6">
        <w:rPr>
          <w:iCs/>
          <w:lang w:val="bg-BG"/>
        </w:rPr>
        <w:t>,</w:t>
      </w:r>
      <w:r w:rsidR="007F281A" w:rsidRPr="00945ED6">
        <w:rPr>
          <w:i/>
          <w:iCs/>
          <w:lang w:val="bg-BG"/>
        </w:rPr>
        <w:t xml:space="preserve"> </w:t>
      </w:r>
      <w:r w:rsidR="007F281A" w:rsidRPr="00945ED6">
        <w:rPr>
          <w:iCs/>
          <w:lang w:val="bg-BG"/>
        </w:rPr>
        <w:t>стр. 253</w:t>
      </w:r>
      <w:r w:rsidR="007F281A" w:rsidRPr="00945ED6">
        <w:rPr>
          <w:lang w:val="bg-BG"/>
        </w:rPr>
        <w:t>).</w:t>
      </w:r>
      <w:r w:rsidR="007F281A">
        <w:rPr>
          <w:lang w:val="bg-BG"/>
        </w:rPr>
        <w:t xml:space="preserve">   </w:t>
      </w:r>
      <w:r w:rsidR="004410F7">
        <w:rPr>
          <w:lang w:val="bg-BG"/>
        </w:rPr>
        <w:t xml:space="preserve">   </w:t>
      </w:r>
      <w:r w:rsidR="00086981" w:rsidRPr="00945ED6">
        <w:rPr>
          <w:lang w:val="bg-BG"/>
        </w:rPr>
        <w:t xml:space="preserve"> </w:t>
      </w:r>
      <w:r w:rsidR="00086981">
        <w:rPr>
          <w:lang w:val="bg-BG"/>
        </w:rPr>
        <w:t xml:space="preserve"> </w:t>
      </w:r>
      <w:r w:rsidR="002975AA" w:rsidRPr="00BB4F95">
        <w:rPr>
          <w:lang w:val="en-GB"/>
        </w:rPr>
        <w:t>  </w:t>
      </w:r>
    </w:p>
    <w:p w:rsidR="007F281A" w:rsidRPr="00945ED6" w:rsidRDefault="005D3E62" w:rsidP="00B8206D">
      <w:pPr>
        <w:pStyle w:val="JuPara"/>
        <w:rPr>
          <w:lang w:val="bg-BG"/>
        </w:rPr>
      </w:pPr>
      <w:r w:rsidRPr="00E17978">
        <w:fldChar w:fldCharType="begin"/>
      </w:r>
      <w:r w:rsidR="00CC59B7" w:rsidRPr="00945ED6">
        <w:rPr>
          <w:lang w:val="bg-BG"/>
        </w:rPr>
        <w:instrText xml:space="preserve"> </w:instrText>
      </w:r>
      <w:r w:rsidR="00CC59B7" w:rsidRPr="00BB4F95">
        <w:rPr>
          <w:lang w:val="en-GB"/>
        </w:rPr>
        <w:instrText>SEQ</w:instrText>
      </w:r>
      <w:r w:rsidR="00CC59B7" w:rsidRPr="00945ED6">
        <w:rPr>
          <w:lang w:val="bg-BG"/>
        </w:rPr>
        <w:instrText xml:space="preserve"> </w:instrText>
      </w:r>
      <w:r w:rsidR="00CC59B7" w:rsidRPr="00BB4F95">
        <w:rPr>
          <w:lang w:val="en-GB"/>
        </w:rPr>
        <w:instrText>level</w:instrText>
      </w:r>
      <w:r w:rsidR="00CC59B7" w:rsidRPr="00945ED6">
        <w:rPr>
          <w:lang w:val="bg-BG"/>
        </w:rPr>
        <w:instrText>0 \*</w:instrText>
      </w:r>
      <w:r w:rsidR="00CC59B7" w:rsidRPr="00BB4F95">
        <w:rPr>
          <w:lang w:val="en-GB"/>
        </w:rPr>
        <w:instrText>arabic</w:instrText>
      </w:r>
      <w:r w:rsidR="00CC59B7" w:rsidRPr="00945ED6">
        <w:rPr>
          <w:lang w:val="bg-BG"/>
        </w:rPr>
        <w:instrText xml:space="preserve"> </w:instrText>
      </w:r>
      <w:r w:rsidRPr="00E17978">
        <w:fldChar w:fldCharType="separate"/>
      </w:r>
      <w:r w:rsidR="00955550" w:rsidRPr="00945ED6">
        <w:rPr>
          <w:noProof/>
          <w:lang w:val="bg-BG"/>
        </w:rPr>
        <w:t>110</w:t>
      </w:r>
      <w:r w:rsidRPr="00E17978">
        <w:fldChar w:fldCharType="end"/>
      </w:r>
      <w:r w:rsidR="00CC59B7" w:rsidRPr="00945ED6">
        <w:rPr>
          <w:lang w:val="bg-BG"/>
        </w:rPr>
        <w:t>.</w:t>
      </w:r>
      <w:r w:rsidR="007F281A">
        <w:rPr>
          <w:lang w:val="bg-BG"/>
        </w:rPr>
        <w:t xml:space="preserve"> По делото </w:t>
      </w:r>
      <w:r w:rsidR="007F281A">
        <w:rPr>
          <w:i/>
          <w:iCs/>
          <w:lang w:val="en-GB"/>
        </w:rPr>
        <w:t>Van</w:t>
      </w:r>
      <w:r w:rsidR="007F281A" w:rsidRPr="00945ED6">
        <w:rPr>
          <w:i/>
          <w:iCs/>
          <w:lang w:val="bg-BG"/>
        </w:rPr>
        <w:t xml:space="preserve"> </w:t>
      </w:r>
      <w:r w:rsidR="007F281A">
        <w:rPr>
          <w:i/>
          <w:iCs/>
          <w:lang w:val="en-GB"/>
        </w:rPr>
        <w:t>Wambeke</w:t>
      </w:r>
      <w:r w:rsidR="007F281A" w:rsidRPr="00945ED6">
        <w:rPr>
          <w:i/>
          <w:iCs/>
          <w:lang w:val="bg-BG"/>
        </w:rPr>
        <w:t xml:space="preserve"> </w:t>
      </w:r>
      <w:r w:rsidR="007F281A">
        <w:rPr>
          <w:i/>
          <w:iCs/>
          <w:lang w:val="en-GB"/>
        </w:rPr>
        <w:t>v</w:t>
      </w:r>
      <w:r w:rsidR="007F281A" w:rsidRPr="00945ED6">
        <w:rPr>
          <w:i/>
          <w:iCs/>
          <w:lang w:val="bg-BG"/>
        </w:rPr>
        <w:t xml:space="preserve">. </w:t>
      </w:r>
      <w:r w:rsidR="007F281A" w:rsidRPr="00BB4F95">
        <w:rPr>
          <w:i/>
          <w:iCs/>
          <w:lang w:val="en-GB"/>
        </w:rPr>
        <w:t>Belgium</w:t>
      </w:r>
      <w:r w:rsidR="007F281A" w:rsidRPr="00945ED6">
        <w:rPr>
          <w:lang w:val="bg-BG"/>
        </w:rPr>
        <w:t xml:space="preserve"> (№ 16692/90, решение на Комисия</w:t>
      </w:r>
      <w:r w:rsidR="007F281A">
        <w:rPr>
          <w:lang w:val="bg-BG"/>
        </w:rPr>
        <w:t>та от</w:t>
      </w:r>
      <w:r w:rsidR="007F281A" w:rsidRPr="00945ED6">
        <w:rPr>
          <w:lang w:val="bg-BG"/>
        </w:rPr>
        <w:t xml:space="preserve"> 12 април 1991, </w:t>
      </w:r>
      <w:r w:rsidR="009C7999" w:rsidRPr="009C7999">
        <w:rPr>
          <w:lang w:val="bg-BG"/>
        </w:rPr>
        <w:t>недокладвано</w:t>
      </w:r>
      <w:r w:rsidR="007F281A" w:rsidRPr="00945ED6">
        <w:rPr>
          <w:lang w:val="bg-BG"/>
        </w:rPr>
        <w:t>)</w:t>
      </w:r>
      <w:r w:rsidR="00326143">
        <w:rPr>
          <w:lang w:val="bg-BG"/>
        </w:rPr>
        <w:t xml:space="preserve"> Комисията с</w:t>
      </w:r>
      <w:r w:rsidR="002A7671">
        <w:rPr>
          <w:lang w:val="bg-BG"/>
        </w:rPr>
        <w:t xml:space="preserve"> идентични</w:t>
      </w:r>
      <w:r w:rsidR="00AE4A2D">
        <w:rPr>
          <w:lang w:val="bg-BG"/>
        </w:rPr>
        <w:t xml:space="preserve"> основания обявява за недопустима жалба от бивш член на</w:t>
      </w:r>
      <w:r w:rsidR="006710BC">
        <w:rPr>
          <w:lang w:val="bg-BG"/>
        </w:rPr>
        <w:t xml:space="preserve"> </w:t>
      </w:r>
      <w:r w:rsidR="009C7999" w:rsidRPr="00BB4F95">
        <w:rPr>
          <w:i/>
          <w:iCs/>
          <w:lang w:val="en-GB"/>
        </w:rPr>
        <w:t>Waffen</w:t>
      </w:r>
      <w:r w:rsidR="009C7999" w:rsidRPr="009C7999">
        <w:rPr>
          <w:i/>
          <w:iCs/>
          <w:lang w:val="bg-BG"/>
        </w:rPr>
        <w:t>-</w:t>
      </w:r>
      <w:r w:rsidR="009C7999" w:rsidRPr="00BB4F95">
        <w:rPr>
          <w:i/>
          <w:iCs/>
          <w:lang w:val="en-GB"/>
        </w:rPr>
        <w:t>SS</w:t>
      </w:r>
      <w:r w:rsidR="006710BC">
        <w:rPr>
          <w:lang w:val="bg-BG"/>
        </w:rPr>
        <w:t>, осъден за измяна през 1945 г., който</w:t>
      </w:r>
      <w:r w:rsidR="006710BC" w:rsidRPr="00945ED6">
        <w:rPr>
          <w:lang w:val="bg-BG"/>
        </w:rPr>
        <w:t xml:space="preserve"> </w:t>
      </w:r>
      <w:r w:rsidR="006710BC">
        <w:rPr>
          <w:lang w:val="bg-BG"/>
        </w:rPr>
        <w:t>обжалва решениет</w:t>
      </w:r>
      <w:r w:rsidR="00326143">
        <w:rPr>
          <w:lang w:val="bg-BG"/>
        </w:rPr>
        <w:t>о да не бъде допуснат до участие</w:t>
      </w:r>
      <w:r w:rsidR="006710BC">
        <w:rPr>
          <w:lang w:val="bg-BG"/>
        </w:rPr>
        <w:t xml:space="preserve"> в изборите за Европейски парламент през 1989 г. По делото </w:t>
      </w:r>
      <w:r w:rsidR="006710BC" w:rsidRPr="00BB4F95">
        <w:rPr>
          <w:i/>
          <w:iCs/>
          <w:lang w:val="en-GB"/>
        </w:rPr>
        <w:t>Glimmerveen</w:t>
      </w:r>
      <w:r w:rsidR="006710BC" w:rsidRPr="00945ED6">
        <w:rPr>
          <w:i/>
          <w:iCs/>
          <w:lang w:val="bg-BG"/>
        </w:rPr>
        <w:t xml:space="preserve"> </w:t>
      </w:r>
      <w:r w:rsidR="006710BC" w:rsidRPr="00BB4F95">
        <w:rPr>
          <w:i/>
          <w:iCs/>
          <w:lang w:val="en-GB"/>
        </w:rPr>
        <w:t>and</w:t>
      </w:r>
      <w:r w:rsidR="006710BC" w:rsidRPr="00945ED6">
        <w:rPr>
          <w:i/>
          <w:iCs/>
          <w:lang w:val="bg-BG"/>
        </w:rPr>
        <w:t xml:space="preserve"> </w:t>
      </w:r>
      <w:r w:rsidR="006710BC" w:rsidRPr="00BB4F95">
        <w:rPr>
          <w:i/>
          <w:iCs/>
          <w:lang w:val="en-GB"/>
        </w:rPr>
        <w:t>Hagenbeek</w:t>
      </w:r>
      <w:r w:rsidR="006710BC" w:rsidRPr="00945ED6">
        <w:rPr>
          <w:i/>
          <w:iCs/>
          <w:lang w:val="bg-BG"/>
        </w:rPr>
        <w:t xml:space="preserve"> </w:t>
      </w:r>
      <w:r w:rsidR="006710BC" w:rsidRPr="00BB4F95">
        <w:rPr>
          <w:i/>
          <w:iCs/>
          <w:lang w:val="en-GB"/>
        </w:rPr>
        <w:t>v</w:t>
      </w:r>
      <w:r w:rsidR="006710BC" w:rsidRPr="00945ED6">
        <w:rPr>
          <w:i/>
          <w:iCs/>
          <w:lang w:val="bg-BG"/>
        </w:rPr>
        <w:t xml:space="preserve">. </w:t>
      </w:r>
      <w:r w:rsidR="006710BC" w:rsidRPr="00BB4F95">
        <w:rPr>
          <w:i/>
          <w:iCs/>
          <w:lang w:val="en-GB"/>
        </w:rPr>
        <w:t>the</w:t>
      </w:r>
      <w:r w:rsidR="006710BC" w:rsidRPr="00945ED6">
        <w:rPr>
          <w:i/>
          <w:iCs/>
          <w:lang w:val="bg-BG"/>
        </w:rPr>
        <w:t xml:space="preserve"> </w:t>
      </w:r>
      <w:r w:rsidR="006710BC" w:rsidRPr="00BB4F95">
        <w:rPr>
          <w:i/>
          <w:iCs/>
          <w:lang w:val="en-GB"/>
        </w:rPr>
        <w:t>Netherlands</w:t>
      </w:r>
      <w:r w:rsidR="006710BC" w:rsidRPr="00945ED6">
        <w:rPr>
          <w:i/>
          <w:iCs/>
          <w:lang w:val="bg-BG"/>
        </w:rPr>
        <w:t xml:space="preserve"> </w:t>
      </w:r>
      <w:r w:rsidR="006710BC" w:rsidRPr="00945ED6">
        <w:rPr>
          <w:lang w:val="bg-BG"/>
        </w:rPr>
        <w:t>(№ 8348/78 и 8406/78, решение на Комисията от 11</w:t>
      </w:r>
      <w:r w:rsidR="006710BC">
        <w:rPr>
          <w:lang w:val="en-GB"/>
        </w:rPr>
        <w:t> </w:t>
      </w:r>
      <w:r w:rsidR="006710BC" w:rsidRPr="00945ED6">
        <w:rPr>
          <w:lang w:val="bg-BG"/>
        </w:rPr>
        <w:t xml:space="preserve">октомври 1979, </w:t>
      </w:r>
      <w:r w:rsidR="006710BC">
        <w:rPr>
          <w:lang w:val="en-GB"/>
        </w:rPr>
        <w:t>DR</w:t>
      </w:r>
      <w:r w:rsidR="006710BC" w:rsidRPr="00945ED6">
        <w:rPr>
          <w:lang w:val="bg-BG"/>
        </w:rPr>
        <w:t xml:space="preserve"> 18, стр. 187) Комисията намира за недопустими</w:t>
      </w:r>
      <w:r w:rsidR="006710BC">
        <w:rPr>
          <w:lang w:val="bg-BG"/>
        </w:rPr>
        <w:t xml:space="preserve"> две жалби, касаещи отказа да се позволи на жалбоподателите</w:t>
      </w:r>
      <w:r w:rsidR="00F856BC">
        <w:rPr>
          <w:lang w:val="bg-BG"/>
        </w:rPr>
        <w:t xml:space="preserve">, които са били лидери на забранена организация с расистки и ксенофобски наклонности, да </w:t>
      </w:r>
      <w:r w:rsidR="00E856D0">
        <w:rPr>
          <w:lang w:val="bg-BG"/>
        </w:rPr>
        <w:t>се кандидатират</w:t>
      </w:r>
      <w:r w:rsidR="00F856BC">
        <w:rPr>
          <w:lang w:val="bg-BG"/>
        </w:rPr>
        <w:t>. В този случай Комисията се позовава на чл</w:t>
      </w:r>
      <w:r w:rsidR="00E856D0">
        <w:rPr>
          <w:lang w:val="bg-BG"/>
        </w:rPr>
        <w:t>ен</w:t>
      </w:r>
      <w:r w:rsidR="00F856BC">
        <w:rPr>
          <w:lang w:val="bg-BG"/>
        </w:rPr>
        <w:t xml:space="preserve"> 17 от Конвенцията, отбелязвайки, че жалбоподателите „възнамеряват да участват в тези избори и да се възползват от </w:t>
      </w:r>
      <w:r w:rsidR="00F856BC" w:rsidRPr="00945ED6">
        <w:rPr>
          <w:lang w:val="bg-BG"/>
        </w:rPr>
        <w:t>[</w:t>
      </w:r>
      <w:r w:rsidR="00F856BC">
        <w:rPr>
          <w:lang w:val="bg-BG"/>
        </w:rPr>
        <w:t>съответното</w:t>
      </w:r>
      <w:r w:rsidR="00F856BC" w:rsidRPr="00945ED6">
        <w:rPr>
          <w:lang w:val="bg-BG"/>
        </w:rPr>
        <w:t>]</w:t>
      </w:r>
      <w:r w:rsidR="00F856BC">
        <w:rPr>
          <w:lang w:val="bg-BG"/>
        </w:rPr>
        <w:t xml:space="preserve"> право за цел, която Комисията намира за неприемлива по чл. 17“ (пак там, стр. 197). В хода на това д</w:t>
      </w:r>
      <w:r w:rsidR="009C7999">
        <w:rPr>
          <w:lang w:val="bg-BG"/>
        </w:rPr>
        <w:t>ело се подчертава, че принципът</w:t>
      </w:r>
      <w:r w:rsidR="00F856BC">
        <w:rPr>
          <w:lang w:val="bg-BG"/>
        </w:rPr>
        <w:t xml:space="preserve"> за толерантност не пречи на демократичното общество да предприема стъпки, за да се защитава срещу дейности, чиято цел е да се унищожат заложените в Конвенцията права и свободи. </w:t>
      </w:r>
      <w:r w:rsidR="00F856BC" w:rsidRPr="00945ED6">
        <w:rPr>
          <w:lang w:val="bg-BG"/>
        </w:rPr>
        <w:t>Чл</w:t>
      </w:r>
      <w:r w:rsidR="00393C2D">
        <w:rPr>
          <w:lang w:val="bg-BG"/>
        </w:rPr>
        <w:t>ен</w:t>
      </w:r>
      <w:r w:rsidR="00F856BC" w:rsidRPr="00945ED6">
        <w:rPr>
          <w:lang w:val="bg-BG"/>
        </w:rPr>
        <w:t xml:space="preserve"> 3 от Протокол № 1</w:t>
      </w:r>
      <w:r w:rsidR="00F856BC">
        <w:rPr>
          <w:lang w:val="bg-BG"/>
        </w:rPr>
        <w:t>, който утвърждав</w:t>
      </w:r>
      <w:r w:rsidR="009C7999">
        <w:rPr>
          <w:lang w:val="bg-BG"/>
        </w:rPr>
        <w:t>а правото на дадено лице</w:t>
      </w:r>
      <w:r w:rsidR="00327F52">
        <w:rPr>
          <w:lang w:val="bg-BG"/>
        </w:rPr>
        <w:t xml:space="preserve"> да влияе върху състава на </w:t>
      </w:r>
      <w:r w:rsidR="00393C2D">
        <w:rPr>
          <w:lang w:val="bg-BG"/>
        </w:rPr>
        <w:t xml:space="preserve">законодателната </w:t>
      </w:r>
      <w:r w:rsidR="00327F52">
        <w:rPr>
          <w:lang w:val="bg-BG"/>
        </w:rPr>
        <w:t>власт, не изключва възможността да се налагат ограничения върху избирателни</w:t>
      </w:r>
      <w:r w:rsidR="00393C2D">
        <w:rPr>
          <w:lang w:val="bg-BG"/>
        </w:rPr>
        <w:t>те</w:t>
      </w:r>
      <w:r w:rsidR="00327F52">
        <w:rPr>
          <w:lang w:val="bg-BG"/>
        </w:rPr>
        <w:t xml:space="preserve"> права на лица, които н</w:t>
      </w:r>
      <w:r w:rsidR="00827A92">
        <w:rPr>
          <w:lang w:val="bg-BG"/>
        </w:rPr>
        <w:t>апример сериозно са злоупотреб</w:t>
      </w:r>
      <w:r w:rsidR="00327F52">
        <w:rPr>
          <w:lang w:val="bg-BG"/>
        </w:rPr>
        <w:t xml:space="preserve">явали с </w:t>
      </w:r>
      <w:r w:rsidR="00614283">
        <w:rPr>
          <w:lang w:val="bg-BG"/>
        </w:rPr>
        <w:t>обществена</w:t>
      </w:r>
      <w:r w:rsidR="004F33D5">
        <w:rPr>
          <w:lang w:val="bg-BG"/>
        </w:rPr>
        <w:t xml:space="preserve"> позиция или чиято дейност е заплашвала</w:t>
      </w:r>
      <w:r w:rsidR="00327F52">
        <w:rPr>
          <w:lang w:val="bg-BG"/>
        </w:rPr>
        <w:t xml:space="preserve"> върховенството на закона или демократичните основи.  </w:t>
      </w:r>
      <w:r w:rsidR="00F856BC">
        <w:rPr>
          <w:lang w:val="bg-BG"/>
        </w:rPr>
        <w:t xml:space="preserve">  </w:t>
      </w:r>
      <w:r w:rsidR="006710BC">
        <w:rPr>
          <w:lang w:val="bg-BG"/>
        </w:rPr>
        <w:t xml:space="preserve">  </w:t>
      </w:r>
      <w:r w:rsidR="00AE4A2D">
        <w:rPr>
          <w:lang w:val="bg-BG"/>
        </w:rPr>
        <w:t xml:space="preserve"> </w:t>
      </w:r>
      <w:r w:rsidR="007F281A">
        <w:rPr>
          <w:lang w:val="bg-BG"/>
        </w:rPr>
        <w:t xml:space="preserve"> </w:t>
      </w:r>
      <w:r w:rsidR="00CC59B7" w:rsidRPr="00BB4F95">
        <w:rPr>
          <w:lang w:val="en-GB"/>
        </w:rPr>
        <w:t>  </w:t>
      </w:r>
    </w:p>
    <w:p w:rsidR="00327F52" w:rsidRPr="00945ED6" w:rsidRDefault="005D3E62" w:rsidP="00B8206D">
      <w:pPr>
        <w:pStyle w:val="JuPara"/>
        <w:rPr>
          <w:lang w:val="bg-BG"/>
        </w:rPr>
      </w:pPr>
      <w:r w:rsidRPr="00E17978">
        <w:fldChar w:fldCharType="begin"/>
      </w:r>
      <w:r w:rsidR="000E12E3" w:rsidRPr="00945ED6">
        <w:rPr>
          <w:lang w:val="bg-BG"/>
        </w:rPr>
        <w:instrText xml:space="preserve"> </w:instrText>
      </w:r>
      <w:r w:rsidR="000E12E3" w:rsidRPr="00BB4F95">
        <w:rPr>
          <w:lang w:val="en-GB"/>
        </w:rPr>
        <w:instrText>SEQ</w:instrText>
      </w:r>
      <w:r w:rsidR="000E12E3" w:rsidRPr="00945ED6">
        <w:rPr>
          <w:lang w:val="bg-BG"/>
        </w:rPr>
        <w:instrText xml:space="preserve"> </w:instrText>
      </w:r>
      <w:r w:rsidR="000E12E3" w:rsidRPr="00BB4F95">
        <w:rPr>
          <w:lang w:val="en-GB"/>
        </w:rPr>
        <w:instrText>level</w:instrText>
      </w:r>
      <w:r w:rsidR="000E12E3" w:rsidRPr="00945ED6">
        <w:rPr>
          <w:lang w:val="bg-BG"/>
        </w:rPr>
        <w:instrText>0 \*</w:instrText>
      </w:r>
      <w:r w:rsidR="000E12E3" w:rsidRPr="00BB4F95">
        <w:rPr>
          <w:lang w:val="en-GB"/>
        </w:rPr>
        <w:instrText>arabic</w:instrText>
      </w:r>
      <w:r w:rsidR="000E12E3" w:rsidRPr="00945ED6">
        <w:rPr>
          <w:lang w:val="bg-BG"/>
        </w:rPr>
        <w:instrText xml:space="preserve"> </w:instrText>
      </w:r>
      <w:r w:rsidRPr="00E17978">
        <w:fldChar w:fldCharType="separate"/>
      </w:r>
      <w:r w:rsidR="00955550" w:rsidRPr="00945ED6">
        <w:rPr>
          <w:noProof/>
          <w:lang w:val="bg-BG"/>
        </w:rPr>
        <w:t>111</w:t>
      </w:r>
      <w:r w:rsidRPr="00E17978">
        <w:fldChar w:fldCharType="end"/>
      </w:r>
      <w:r w:rsidR="000E12E3" w:rsidRPr="00945ED6">
        <w:rPr>
          <w:lang w:val="bg-BG"/>
        </w:rPr>
        <w:t>.</w:t>
      </w:r>
      <w:r w:rsidR="00327F52">
        <w:rPr>
          <w:lang w:val="bg-BG"/>
        </w:rPr>
        <w:t xml:space="preserve"> В конт</w:t>
      </w:r>
      <w:r w:rsidR="00C1390D">
        <w:rPr>
          <w:lang w:val="bg-BG"/>
        </w:rPr>
        <w:t>екста на налагани</w:t>
      </w:r>
      <w:r w:rsidR="00614283">
        <w:rPr>
          <w:lang w:val="bg-BG"/>
        </w:rPr>
        <w:t>те</w:t>
      </w:r>
      <w:r w:rsidR="00C1390D">
        <w:rPr>
          <w:lang w:val="bg-BG"/>
        </w:rPr>
        <w:t xml:space="preserve"> ограничения относно</w:t>
      </w:r>
      <w:r w:rsidR="00326143">
        <w:rPr>
          <w:lang w:val="bg-BG"/>
        </w:rPr>
        <w:t xml:space="preserve"> заемани длъжности</w:t>
      </w:r>
      <w:r w:rsidR="00C1390D">
        <w:rPr>
          <w:lang w:val="bg-BG"/>
        </w:rPr>
        <w:t xml:space="preserve"> от държавните служители във връзка с политическата им дейност, Съдът постановява</w:t>
      </w:r>
      <w:r w:rsidR="00327F52">
        <w:rPr>
          <w:lang w:val="bg-BG"/>
        </w:rPr>
        <w:t>, че чл</w:t>
      </w:r>
      <w:r w:rsidR="00614283">
        <w:rPr>
          <w:lang w:val="bg-BG"/>
        </w:rPr>
        <w:t>ен</w:t>
      </w:r>
      <w:r w:rsidR="00327F52">
        <w:rPr>
          <w:lang w:val="bg-BG"/>
        </w:rPr>
        <w:t xml:space="preserve"> 10 от Конвенцията може да се прилага във връзка с тяхното уволнение. В това отношение нарушение на чл</w:t>
      </w:r>
      <w:r w:rsidR="00A6674E">
        <w:rPr>
          <w:lang w:val="bg-BG"/>
        </w:rPr>
        <w:t>ен</w:t>
      </w:r>
      <w:r w:rsidR="00327F52">
        <w:rPr>
          <w:lang w:val="bg-BG"/>
        </w:rPr>
        <w:t xml:space="preserve"> 10 </w:t>
      </w:r>
      <w:r w:rsidR="00961EBA">
        <w:rPr>
          <w:lang w:val="bg-BG"/>
        </w:rPr>
        <w:t xml:space="preserve">е установено по делото </w:t>
      </w:r>
      <w:r w:rsidR="00961EBA">
        <w:rPr>
          <w:rStyle w:val="ju-005fpara--char"/>
          <w:i/>
          <w:iCs/>
          <w:lang w:val="en-GB"/>
        </w:rPr>
        <w:t>Vogt</w:t>
      </w:r>
      <w:r w:rsidR="00961EBA" w:rsidRPr="00945ED6">
        <w:rPr>
          <w:rStyle w:val="ju-005fpara--char"/>
          <w:i/>
          <w:iCs/>
          <w:lang w:val="bg-BG"/>
        </w:rPr>
        <w:t xml:space="preserve"> </w:t>
      </w:r>
      <w:r w:rsidR="00961EBA" w:rsidRPr="00945ED6">
        <w:rPr>
          <w:lang w:val="bg-BG"/>
        </w:rPr>
        <w:t>(цитирано по-горе, §§ 43-44</w:t>
      </w:r>
      <w:r w:rsidR="00961EBA">
        <w:rPr>
          <w:lang w:val="bg-BG"/>
        </w:rPr>
        <w:t xml:space="preserve">), в което </w:t>
      </w:r>
      <w:r w:rsidR="00354C6E">
        <w:rPr>
          <w:lang w:val="bg-BG"/>
        </w:rPr>
        <w:t>жалбоподателката</w:t>
      </w:r>
      <w:r w:rsidR="00961EBA">
        <w:rPr>
          <w:lang w:val="bg-BG"/>
        </w:rPr>
        <w:t xml:space="preserve"> е уволнен</w:t>
      </w:r>
      <w:r w:rsidR="00326143">
        <w:rPr>
          <w:lang w:val="bg-BG"/>
        </w:rPr>
        <w:t>а</w:t>
      </w:r>
      <w:r w:rsidR="00961EBA">
        <w:rPr>
          <w:lang w:val="bg-BG"/>
        </w:rPr>
        <w:t xml:space="preserve"> от поста си на държавен служител заради конкретната си дейност като член на Комунистическата партия в Западна Германия. И все пак по делото </w:t>
      </w:r>
      <w:r w:rsidR="00961EBA" w:rsidRPr="00BB4F95">
        <w:rPr>
          <w:rStyle w:val="ju-005fpara--char"/>
          <w:i/>
          <w:iCs/>
          <w:lang w:val="en-GB"/>
        </w:rPr>
        <w:t>Volkmer</w:t>
      </w:r>
      <w:r w:rsidR="00961EBA" w:rsidRPr="00945ED6">
        <w:rPr>
          <w:rStyle w:val="ju-005fpara--char"/>
          <w:i/>
          <w:iCs/>
          <w:lang w:val="bg-BG"/>
        </w:rPr>
        <w:t xml:space="preserve"> </w:t>
      </w:r>
      <w:r w:rsidR="00961EBA" w:rsidRPr="00BB4F95">
        <w:rPr>
          <w:rStyle w:val="ju-005fpara--char"/>
          <w:i/>
          <w:iCs/>
          <w:lang w:val="en-GB"/>
        </w:rPr>
        <w:t>v</w:t>
      </w:r>
      <w:r w:rsidR="00961EBA" w:rsidRPr="00945ED6">
        <w:rPr>
          <w:rStyle w:val="ju-005fpara--char"/>
          <w:i/>
          <w:iCs/>
          <w:lang w:val="bg-BG"/>
        </w:rPr>
        <w:t xml:space="preserve">. </w:t>
      </w:r>
      <w:r w:rsidR="00961EBA" w:rsidRPr="00BB4F95">
        <w:rPr>
          <w:rStyle w:val="ju-005fpara--char"/>
          <w:i/>
          <w:iCs/>
          <w:lang w:val="en-GB"/>
        </w:rPr>
        <w:t>Germany</w:t>
      </w:r>
      <w:r w:rsidR="00961EBA">
        <w:rPr>
          <w:rStyle w:val="ju-005fpara--char"/>
          <w:i/>
          <w:iCs/>
          <w:lang w:val="bg-BG"/>
        </w:rPr>
        <w:t xml:space="preserve"> </w:t>
      </w:r>
      <w:r w:rsidR="00961EBA">
        <w:rPr>
          <w:rStyle w:val="ju-005fpara--char"/>
          <w:iCs/>
          <w:lang w:val="bg-BG"/>
        </w:rPr>
        <w:t>(</w:t>
      </w:r>
      <w:r w:rsidR="00A6674E">
        <w:rPr>
          <w:rStyle w:val="ju-005fpara--char"/>
          <w:iCs/>
          <w:lang w:val="bg-BG"/>
        </w:rPr>
        <w:t>РД</w:t>
      </w:r>
      <w:r w:rsidR="00961EBA">
        <w:rPr>
          <w:rStyle w:val="ju-005fpara--char"/>
          <w:iCs/>
          <w:lang w:val="bg-BG"/>
        </w:rPr>
        <w:t xml:space="preserve"> </w:t>
      </w:r>
      <w:r w:rsidR="00961EBA" w:rsidRPr="00945ED6">
        <w:rPr>
          <w:lang w:val="bg-BG"/>
        </w:rPr>
        <w:t>№ 39799/98, 22 ноември 2001) и</w:t>
      </w:r>
      <w:r w:rsidR="00961EBA">
        <w:rPr>
          <w:lang w:val="bg-BG"/>
        </w:rPr>
        <w:t xml:space="preserve"> </w:t>
      </w:r>
      <w:r w:rsidR="00961EBA" w:rsidRPr="00BB4F95">
        <w:rPr>
          <w:rStyle w:val="ju-005fpara--char"/>
          <w:i/>
          <w:iCs/>
          <w:lang w:val="en-GB"/>
        </w:rPr>
        <w:t>Petersen</w:t>
      </w:r>
      <w:r w:rsidR="00961EBA" w:rsidRPr="00945ED6">
        <w:rPr>
          <w:rStyle w:val="ju-005fpara--char"/>
          <w:i/>
          <w:iCs/>
          <w:lang w:val="bg-BG"/>
        </w:rPr>
        <w:t xml:space="preserve"> </w:t>
      </w:r>
      <w:r w:rsidR="00961EBA" w:rsidRPr="00BB4F95">
        <w:rPr>
          <w:rStyle w:val="ju-005fpara--char"/>
          <w:i/>
          <w:iCs/>
          <w:lang w:val="en-GB"/>
        </w:rPr>
        <w:t>v</w:t>
      </w:r>
      <w:r w:rsidR="00961EBA" w:rsidRPr="00945ED6">
        <w:rPr>
          <w:rStyle w:val="ju-005fpara--char"/>
          <w:i/>
          <w:iCs/>
          <w:lang w:val="bg-BG"/>
        </w:rPr>
        <w:t xml:space="preserve">. </w:t>
      </w:r>
      <w:r w:rsidR="00961EBA" w:rsidRPr="00BB4F95">
        <w:rPr>
          <w:rStyle w:val="ju-005fpara--char"/>
          <w:i/>
          <w:iCs/>
          <w:lang w:val="en-GB"/>
        </w:rPr>
        <w:t>Germany</w:t>
      </w:r>
      <w:r w:rsidR="00961EBA" w:rsidRPr="00945ED6">
        <w:rPr>
          <w:lang w:val="bg-BG"/>
        </w:rPr>
        <w:t xml:space="preserve"> (</w:t>
      </w:r>
      <w:r w:rsidR="00A6674E">
        <w:rPr>
          <w:lang w:val="bg-BG"/>
        </w:rPr>
        <w:t>РД</w:t>
      </w:r>
      <w:r w:rsidR="00961EBA" w:rsidRPr="00945ED6">
        <w:rPr>
          <w:lang w:val="bg-BG"/>
        </w:rPr>
        <w:t>), № 39793/98, ЕСПЧ 2001-</w:t>
      </w:r>
      <w:r w:rsidR="00961EBA">
        <w:rPr>
          <w:lang w:val="en-GB"/>
        </w:rPr>
        <w:t>XII</w:t>
      </w:r>
      <w:r w:rsidR="00961EBA" w:rsidRPr="00945ED6">
        <w:rPr>
          <w:lang w:val="bg-BG"/>
        </w:rPr>
        <w:t xml:space="preserve">) Съдът </w:t>
      </w:r>
      <w:r w:rsidR="00697E91">
        <w:rPr>
          <w:lang w:val="bg-BG"/>
        </w:rPr>
        <w:t>нами</w:t>
      </w:r>
      <w:r w:rsidR="0034634F">
        <w:rPr>
          <w:lang w:val="bg-BG"/>
        </w:rPr>
        <w:t>ра за недопустими и недоказани оплакванията</w:t>
      </w:r>
      <w:r w:rsidR="00697E91">
        <w:rPr>
          <w:lang w:val="bg-BG"/>
        </w:rPr>
        <w:t xml:space="preserve"> </w:t>
      </w:r>
      <w:r w:rsidR="00A6674E">
        <w:rPr>
          <w:lang w:val="bg-BG"/>
        </w:rPr>
        <w:t xml:space="preserve">по член 10 </w:t>
      </w:r>
      <w:r w:rsidR="00697E91">
        <w:rPr>
          <w:lang w:val="bg-BG"/>
        </w:rPr>
        <w:t xml:space="preserve">на жалбоподателите относно </w:t>
      </w:r>
      <w:r w:rsidR="00724FD1">
        <w:rPr>
          <w:lang w:val="bg-BG"/>
        </w:rPr>
        <w:t xml:space="preserve">освобождаването </w:t>
      </w:r>
      <w:r w:rsidR="00697E91">
        <w:rPr>
          <w:lang w:val="bg-BG"/>
        </w:rPr>
        <w:t>им заради тяхното сътрудничество с режима и тайните служби на бившата Германска демократична република.</w:t>
      </w:r>
      <w:r w:rsidR="00484BEC" w:rsidRPr="00945ED6">
        <w:rPr>
          <w:lang w:val="bg-BG"/>
        </w:rPr>
        <w:t xml:space="preserve"> </w:t>
      </w:r>
      <w:r w:rsidR="00484BEC">
        <w:rPr>
          <w:lang w:val="bg-BG"/>
        </w:rPr>
        <w:t xml:space="preserve">По делото </w:t>
      </w:r>
      <w:r w:rsidR="00484BEC" w:rsidRPr="00BB4F95">
        <w:rPr>
          <w:i/>
          <w:lang w:val="en-GB"/>
        </w:rPr>
        <w:t>Sidabras</w:t>
      </w:r>
      <w:r w:rsidR="00484BEC" w:rsidRPr="00945ED6">
        <w:rPr>
          <w:i/>
          <w:lang w:val="bg-BG"/>
        </w:rPr>
        <w:t xml:space="preserve"> </w:t>
      </w:r>
      <w:r w:rsidR="00484BEC" w:rsidRPr="00BB4F95">
        <w:rPr>
          <w:i/>
          <w:lang w:val="en-GB"/>
        </w:rPr>
        <w:t>and</w:t>
      </w:r>
      <w:r w:rsidR="00484BEC" w:rsidRPr="00945ED6">
        <w:rPr>
          <w:i/>
          <w:lang w:val="bg-BG"/>
        </w:rPr>
        <w:t xml:space="preserve"> </w:t>
      </w:r>
      <w:r w:rsidR="00484BEC" w:rsidRPr="00BB4F95">
        <w:rPr>
          <w:i/>
          <w:lang w:val="en-GB"/>
        </w:rPr>
        <w:t>D</w:t>
      </w:r>
      <w:r w:rsidR="00484BEC" w:rsidRPr="00945ED6">
        <w:rPr>
          <w:i/>
          <w:lang w:val="bg-BG"/>
        </w:rPr>
        <w:t>ž</w:t>
      </w:r>
      <w:r w:rsidR="00484BEC" w:rsidRPr="00BB4F95">
        <w:rPr>
          <w:i/>
          <w:lang w:val="en-GB"/>
        </w:rPr>
        <w:t>iautas</w:t>
      </w:r>
      <w:r w:rsidR="00484BEC" w:rsidRPr="00945ED6">
        <w:rPr>
          <w:i/>
          <w:lang w:val="bg-BG"/>
        </w:rPr>
        <w:t xml:space="preserve"> </w:t>
      </w:r>
      <w:r w:rsidR="00484BEC" w:rsidRPr="00BB4F95">
        <w:rPr>
          <w:i/>
          <w:lang w:val="en-GB"/>
        </w:rPr>
        <w:t>v</w:t>
      </w:r>
      <w:r w:rsidR="00484BEC" w:rsidRPr="00945ED6">
        <w:rPr>
          <w:i/>
          <w:lang w:val="bg-BG"/>
        </w:rPr>
        <w:t xml:space="preserve">. </w:t>
      </w:r>
      <w:r w:rsidR="00484BEC" w:rsidRPr="00BB4F95">
        <w:rPr>
          <w:i/>
          <w:lang w:val="en-GB"/>
        </w:rPr>
        <w:t>Lithuania</w:t>
      </w:r>
      <w:r w:rsidR="00484BEC" w:rsidRPr="00945ED6">
        <w:rPr>
          <w:i/>
          <w:lang w:val="bg-BG"/>
        </w:rPr>
        <w:t xml:space="preserve"> </w:t>
      </w:r>
      <w:r w:rsidR="00484BEC" w:rsidRPr="00945ED6">
        <w:rPr>
          <w:lang w:val="bg-BG"/>
        </w:rPr>
        <w:t>(№ 55480/00 и 59330/00, §§ 51-62, ЕСПЧ 2004-</w:t>
      </w:r>
      <w:r w:rsidR="00484BEC" w:rsidRPr="00BB4F95">
        <w:rPr>
          <w:lang w:val="en-GB"/>
        </w:rPr>
        <w:t>VII</w:t>
      </w:r>
      <w:r w:rsidR="00484BEC">
        <w:rPr>
          <w:lang w:val="en-GB"/>
        </w:rPr>
        <w:t>I</w:t>
      </w:r>
      <w:r w:rsidR="00484BEC" w:rsidRPr="00945ED6">
        <w:rPr>
          <w:lang w:val="bg-BG"/>
        </w:rPr>
        <w:t>)</w:t>
      </w:r>
      <w:r w:rsidR="00484BEC">
        <w:rPr>
          <w:lang w:val="bg-BG"/>
        </w:rPr>
        <w:t xml:space="preserve"> </w:t>
      </w:r>
      <w:r w:rsidR="00484BEC">
        <w:rPr>
          <w:lang w:val="bg-BG"/>
        </w:rPr>
        <w:lastRenderedPageBreak/>
        <w:t>Съдът установява нарушение на чл</w:t>
      </w:r>
      <w:r w:rsidR="00724FD1">
        <w:rPr>
          <w:lang w:val="bg-BG"/>
        </w:rPr>
        <w:t>ен</w:t>
      </w:r>
      <w:r w:rsidR="00484BEC">
        <w:rPr>
          <w:lang w:val="bg-BG"/>
        </w:rPr>
        <w:t xml:space="preserve"> 14 във връзка с чл</w:t>
      </w:r>
      <w:r w:rsidR="00724FD1">
        <w:rPr>
          <w:lang w:val="bg-BG"/>
        </w:rPr>
        <w:t>ен</w:t>
      </w:r>
      <w:r w:rsidR="00484BEC">
        <w:rPr>
          <w:lang w:val="bg-BG"/>
        </w:rPr>
        <w:t xml:space="preserve"> 8 по отношение на съществуването на разнообразни ограничения, които забраняват на бившите служители на КГБ в Литва да заемат длъжности в различни сфери от частния сектор, които са се появили почти десетилетие след възстановяването на литовска</w:t>
      </w:r>
      <w:r w:rsidR="00921075">
        <w:rPr>
          <w:lang w:val="bg-BG"/>
        </w:rPr>
        <w:t>та независимост. В същото време</w:t>
      </w:r>
      <w:r w:rsidR="00484BEC">
        <w:rPr>
          <w:lang w:val="bg-BG"/>
        </w:rPr>
        <w:t xml:space="preserve"> трябва да се отбележи, че </w:t>
      </w:r>
      <w:r w:rsidR="009F2C58">
        <w:rPr>
          <w:lang w:val="bg-BG"/>
        </w:rPr>
        <w:t xml:space="preserve">освобождаването </w:t>
      </w:r>
      <w:r w:rsidR="00484BEC">
        <w:rPr>
          <w:lang w:val="bg-BG"/>
        </w:rPr>
        <w:t xml:space="preserve">на </w:t>
      </w:r>
      <w:r w:rsidR="00921075">
        <w:rPr>
          <w:lang w:val="bg-BG"/>
        </w:rPr>
        <w:t>тези жалбоподатели от позициите им съответно на данъчен инспектор и прокурор въз основа на някогашното им назначение в КГБ не е счетено за равносилно на намеса в правата им по чл</w:t>
      </w:r>
      <w:r w:rsidR="009F2C58">
        <w:rPr>
          <w:lang w:val="bg-BG"/>
        </w:rPr>
        <w:t>ен</w:t>
      </w:r>
      <w:r w:rsidR="00921075">
        <w:rPr>
          <w:lang w:val="bg-BG"/>
        </w:rPr>
        <w:t xml:space="preserve"> 10 от Конвенцията </w:t>
      </w:r>
      <w:r w:rsidR="00921075" w:rsidRPr="00945ED6">
        <w:rPr>
          <w:lang w:val="bg-BG"/>
        </w:rPr>
        <w:t>(пак там, §§ 67-73).</w:t>
      </w:r>
      <w:r w:rsidR="00921075">
        <w:rPr>
          <w:lang w:val="bg-BG"/>
        </w:rPr>
        <w:t xml:space="preserve">   </w:t>
      </w:r>
      <w:r w:rsidR="00484BEC">
        <w:rPr>
          <w:lang w:val="bg-BG"/>
        </w:rPr>
        <w:t xml:space="preserve"> </w:t>
      </w:r>
      <w:r w:rsidR="00697E91">
        <w:rPr>
          <w:lang w:val="bg-BG"/>
        </w:rPr>
        <w:t xml:space="preserve">  </w:t>
      </w:r>
      <w:r w:rsidR="00961EBA" w:rsidRPr="00945ED6">
        <w:rPr>
          <w:lang w:val="bg-BG"/>
        </w:rPr>
        <w:t xml:space="preserve">  </w:t>
      </w:r>
      <w:r w:rsidR="00961EBA">
        <w:rPr>
          <w:rStyle w:val="ju-005fpara--char"/>
          <w:iCs/>
          <w:lang w:val="bg-BG"/>
        </w:rPr>
        <w:t xml:space="preserve"> </w:t>
      </w:r>
      <w:r w:rsidR="000E12E3" w:rsidRPr="00BB4F95">
        <w:rPr>
          <w:lang w:val="en-GB"/>
        </w:rPr>
        <w:t>  </w:t>
      </w:r>
    </w:p>
    <w:p w:rsidR="00921075" w:rsidRPr="00945ED6" w:rsidRDefault="005D3E62" w:rsidP="00B8206D">
      <w:pPr>
        <w:pStyle w:val="JuPara"/>
        <w:rPr>
          <w:lang w:val="bg-BG"/>
        </w:rPr>
      </w:pPr>
      <w:r w:rsidRPr="00E17978">
        <w:fldChar w:fldCharType="begin"/>
      </w:r>
      <w:r w:rsidR="00056651" w:rsidRPr="00945ED6">
        <w:rPr>
          <w:lang w:val="bg-BG"/>
        </w:rPr>
        <w:instrText xml:space="preserve"> </w:instrText>
      </w:r>
      <w:r w:rsidR="00056651" w:rsidRPr="00BB4F95">
        <w:rPr>
          <w:lang w:val="en-GB"/>
        </w:rPr>
        <w:instrText>SEQ</w:instrText>
      </w:r>
      <w:r w:rsidR="00056651" w:rsidRPr="00945ED6">
        <w:rPr>
          <w:lang w:val="bg-BG"/>
        </w:rPr>
        <w:instrText xml:space="preserve"> </w:instrText>
      </w:r>
      <w:r w:rsidR="00056651" w:rsidRPr="00BB4F95">
        <w:rPr>
          <w:lang w:val="en-GB"/>
        </w:rPr>
        <w:instrText>level</w:instrText>
      </w:r>
      <w:r w:rsidR="00056651" w:rsidRPr="00945ED6">
        <w:rPr>
          <w:lang w:val="bg-BG"/>
        </w:rPr>
        <w:instrText>0 \*</w:instrText>
      </w:r>
      <w:r w:rsidR="00056651" w:rsidRPr="00BB4F95">
        <w:rPr>
          <w:lang w:val="en-GB"/>
        </w:rPr>
        <w:instrText>arabic</w:instrText>
      </w:r>
      <w:r w:rsidR="00056651" w:rsidRPr="00945ED6">
        <w:rPr>
          <w:lang w:val="bg-BG"/>
        </w:rPr>
        <w:instrText xml:space="preserve"> </w:instrText>
      </w:r>
      <w:r w:rsidRPr="00E17978">
        <w:fldChar w:fldCharType="separate"/>
      </w:r>
      <w:r w:rsidR="00955550" w:rsidRPr="00945ED6">
        <w:rPr>
          <w:noProof/>
          <w:lang w:val="bg-BG"/>
        </w:rPr>
        <w:t>112</w:t>
      </w:r>
      <w:r w:rsidRPr="00E17978">
        <w:fldChar w:fldCharType="end"/>
      </w:r>
      <w:r w:rsidR="00056651" w:rsidRPr="00945ED6">
        <w:rPr>
          <w:lang w:val="bg-BG"/>
        </w:rPr>
        <w:t>.</w:t>
      </w:r>
      <w:r w:rsidR="00326143">
        <w:rPr>
          <w:lang w:val="bg-BG"/>
        </w:rPr>
        <w:t xml:space="preserve"> В този контекст е важно</w:t>
      </w:r>
      <w:r w:rsidR="00921075">
        <w:rPr>
          <w:lang w:val="bg-BG"/>
        </w:rPr>
        <w:t xml:space="preserve"> да се отбележи също, че </w:t>
      </w:r>
      <w:r w:rsidR="00921075" w:rsidRPr="00945ED6">
        <w:rPr>
          <w:lang w:val="bg-BG"/>
        </w:rPr>
        <w:t>чл</w:t>
      </w:r>
      <w:r w:rsidR="009F2C58">
        <w:rPr>
          <w:lang w:val="bg-BG"/>
        </w:rPr>
        <w:t>ен</w:t>
      </w:r>
      <w:r w:rsidR="00921075" w:rsidRPr="00945ED6">
        <w:rPr>
          <w:lang w:val="bg-BG"/>
        </w:rPr>
        <w:t xml:space="preserve"> 3 от Протокол № 1</w:t>
      </w:r>
      <w:r w:rsidR="00A91E21">
        <w:rPr>
          <w:lang w:val="bg-BG"/>
        </w:rPr>
        <w:t>, както и</w:t>
      </w:r>
      <w:r w:rsidR="00921075">
        <w:rPr>
          <w:lang w:val="bg-BG"/>
        </w:rPr>
        <w:t xml:space="preserve"> други разпоредби на Конвенцията, принципно не забраняват</w:t>
      </w:r>
      <w:r w:rsidR="00C1390D">
        <w:rPr>
          <w:lang w:val="bg-BG"/>
        </w:rPr>
        <w:t xml:space="preserve"> на </w:t>
      </w:r>
      <w:r w:rsidR="009F2C58">
        <w:rPr>
          <w:lang w:val="bg-BG"/>
        </w:rPr>
        <w:t>Д</w:t>
      </w:r>
      <w:r w:rsidR="00C1390D">
        <w:rPr>
          <w:lang w:val="bg-BG"/>
        </w:rPr>
        <w:t>оговарящите страни</w:t>
      </w:r>
      <w:r w:rsidR="00921075">
        <w:rPr>
          <w:lang w:val="bg-BG"/>
        </w:rPr>
        <w:t xml:space="preserve"> да въвеждат</w:t>
      </w:r>
      <w:r w:rsidR="00C1390D">
        <w:rPr>
          <w:lang w:val="bg-BG"/>
        </w:rPr>
        <w:t xml:space="preserve"> общи</w:t>
      </w:r>
      <w:r w:rsidR="00921075">
        <w:rPr>
          <w:lang w:val="bg-BG"/>
        </w:rPr>
        <w:t xml:space="preserve"> политически схеми чрез законодателни мерки, в които определени</w:t>
      </w:r>
      <w:r w:rsidR="00C1390D">
        <w:rPr>
          <w:lang w:val="bg-BG"/>
        </w:rPr>
        <w:t xml:space="preserve"> категории или групи лица</w:t>
      </w:r>
      <w:r w:rsidR="00921075">
        <w:rPr>
          <w:lang w:val="bg-BG"/>
        </w:rPr>
        <w:t xml:space="preserve"> получават различно отношение от другите</w:t>
      </w:r>
      <w:r w:rsidR="007E1FA3">
        <w:rPr>
          <w:lang w:val="bg-BG"/>
        </w:rPr>
        <w:t xml:space="preserve">, стига тази намеса в правата на </w:t>
      </w:r>
      <w:r w:rsidR="00A91E21">
        <w:rPr>
          <w:lang w:val="bg-BG"/>
        </w:rPr>
        <w:t>дадената</w:t>
      </w:r>
      <w:r w:rsidR="007E1FA3">
        <w:rPr>
          <w:lang w:val="bg-BG"/>
        </w:rPr>
        <w:t xml:space="preserve"> категория или група като цяло</w:t>
      </w:r>
      <w:r w:rsidR="00A91E21">
        <w:rPr>
          <w:lang w:val="bg-BG"/>
        </w:rPr>
        <w:t xml:space="preserve"> да е оправдана според Конвенцията (вж</w:t>
      </w:r>
      <w:r w:rsidR="0084549D">
        <w:rPr>
          <w:lang w:val="bg-BG"/>
        </w:rPr>
        <w:t>.</w:t>
      </w:r>
      <w:r w:rsidR="00A91E21">
        <w:rPr>
          <w:lang w:val="bg-BG"/>
        </w:rPr>
        <w:t>, в контекста на законодателната забрана</w:t>
      </w:r>
      <w:r w:rsidR="00326143">
        <w:rPr>
          <w:lang w:val="bg-BG"/>
        </w:rPr>
        <w:t xml:space="preserve"> </w:t>
      </w:r>
      <w:r w:rsidR="00577166">
        <w:rPr>
          <w:lang w:val="bg-BG"/>
        </w:rPr>
        <w:t>полицейски служител да се</w:t>
      </w:r>
      <w:r w:rsidR="00EE1019">
        <w:rPr>
          <w:lang w:val="bg-BG"/>
        </w:rPr>
        <w:t xml:space="preserve"> </w:t>
      </w:r>
      <w:r w:rsidR="00577166">
        <w:rPr>
          <w:lang w:val="bg-BG"/>
        </w:rPr>
        <w:t>ангажира с политическа дейност, разглеждана от Съда по чл</w:t>
      </w:r>
      <w:r w:rsidR="0084549D">
        <w:rPr>
          <w:lang w:val="bg-BG"/>
        </w:rPr>
        <w:t>енове</w:t>
      </w:r>
      <w:r w:rsidR="00577166">
        <w:rPr>
          <w:lang w:val="bg-BG"/>
        </w:rPr>
        <w:t xml:space="preserve"> 10 и 11 от Конвенцията, делото </w:t>
      </w:r>
      <w:r w:rsidR="00577166" w:rsidRPr="00BB4F95">
        <w:rPr>
          <w:i/>
          <w:lang w:val="en-GB"/>
        </w:rPr>
        <w:t>Rekv</w:t>
      </w:r>
      <w:r w:rsidR="00577166" w:rsidRPr="00945ED6">
        <w:rPr>
          <w:i/>
          <w:lang w:val="bg-BG"/>
        </w:rPr>
        <w:t>é</w:t>
      </w:r>
      <w:r w:rsidR="00577166" w:rsidRPr="00BB4F95">
        <w:rPr>
          <w:i/>
          <w:lang w:val="en-GB"/>
        </w:rPr>
        <w:t>nyi</w:t>
      </w:r>
      <w:r w:rsidR="00577166">
        <w:rPr>
          <w:lang w:val="bg-BG"/>
        </w:rPr>
        <w:t xml:space="preserve">, цитирано по-горе, </w:t>
      </w:r>
      <w:r w:rsidR="00577166" w:rsidRPr="00945ED6">
        <w:rPr>
          <w:lang w:val="bg-BG"/>
        </w:rPr>
        <w:t>§§ 34-50 и 58-62).</w:t>
      </w:r>
      <w:r w:rsidR="00577166">
        <w:rPr>
          <w:lang w:val="bg-BG"/>
        </w:rPr>
        <w:t xml:space="preserve"> </w:t>
      </w:r>
      <w:r w:rsidR="007E1FA3">
        <w:rPr>
          <w:lang w:val="bg-BG"/>
        </w:rPr>
        <w:t xml:space="preserve"> </w:t>
      </w:r>
      <w:r w:rsidR="00921075">
        <w:rPr>
          <w:lang w:val="bg-BG"/>
        </w:rPr>
        <w:t xml:space="preserve">  </w:t>
      </w:r>
      <w:r w:rsidR="00056651" w:rsidRPr="00BB4F95">
        <w:rPr>
          <w:lang w:val="en-GB"/>
        </w:rPr>
        <w:t>  </w:t>
      </w:r>
    </w:p>
    <w:p w:rsidR="00577166" w:rsidRPr="00945ED6" w:rsidRDefault="005D3E62" w:rsidP="00B8206D">
      <w:pPr>
        <w:pStyle w:val="JuPara"/>
        <w:rPr>
          <w:lang w:val="bg-BG"/>
        </w:rPr>
      </w:pPr>
      <w:r w:rsidRPr="00E17978">
        <w:fldChar w:fldCharType="begin"/>
      </w:r>
      <w:r w:rsidR="003477D3" w:rsidRPr="00945ED6">
        <w:rPr>
          <w:lang w:val="bg-BG"/>
        </w:rPr>
        <w:instrText xml:space="preserve"> </w:instrText>
      </w:r>
      <w:r w:rsidR="003477D3" w:rsidRPr="00BB4F95">
        <w:rPr>
          <w:lang w:val="en-GB"/>
        </w:rPr>
        <w:instrText>SEQ</w:instrText>
      </w:r>
      <w:r w:rsidR="003477D3" w:rsidRPr="00945ED6">
        <w:rPr>
          <w:lang w:val="bg-BG"/>
        </w:rPr>
        <w:instrText xml:space="preserve"> </w:instrText>
      </w:r>
      <w:r w:rsidR="003477D3" w:rsidRPr="00BB4F95">
        <w:rPr>
          <w:lang w:val="en-GB"/>
        </w:rPr>
        <w:instrText>level</w:instrText>
      </w:r>
      <w:r w:rsidR="003477D3" w:rsidRPr="00945ED6">
        <w:rPr>
          <w:lang w:val="bg-BG"/>
        </w:rPr>
        <w:instrText>0 \*</w:instrText>
      </w:r>
      <w:r w:rsidR="003477D3" w:rsidRPr="00BB4F95">
        <w:rPr>
          <w:lang w:val="en-GB"/>
        </w:rPr>
        <w:instrText>arabic</w:instrText>
      </w:r>
      <w:r w:rsidR="003477D3" w:rsidRPr="00945ED6">
        <w:rPr>
          <w:lang w:val="bg-BG"/>
        </w:rPr>
        <w:instrText xml:space="preserve"> </w:instrText>
      </w:r>
      <w:r w:rsidRPr="00E17978">
        <w:fldChar w:fldCharType="separate"/>
      </w:r>
      <w:r w:rsidR="00955550" w:rsidRPr="00945ED6">
        <w:rPr>
          <w:noProof/>
          <w:lang w:val="bg-BG"/>
        </w:rPr>
        <w:t>113</w:t>
      </w:r>
      <w:r w:rsidRPr="00E17978">
        <w:fldChar w:fldCharType="end"/>
      </w:r>
      <w:r w:rsidR="003477D3" w:rsidRPr="00945ED6">
        <w:rPr>
          <w:lang w:val="bg-BG"/>
        </w:rPr>
        <w:t>.</w:t>
      </w:r>
      <w:r w:rsidR="00577166">
        <w:rPr>
          <w:lang w:val="bg-BG"/>
        </w:rPr>
        <w:t xml:space="preserve"> По делото </w:t>
      </w:r>
      <w:r w:rsidR="00577166" w:rsidRPr="00BB4F95">
        <w:rPr>
          <w:i/>
          <w:lang w:val="en-GB"/>
        </w:rPr>
        <w:t>Rekv</w:t>
      </w:r>
      <w:r w:rsidR="00577166" w:rsidRPr="00945ED6">
        <w:rPr>
          <w:i/>
          <w:lang w:val="bg-BG"/>
        </w:rPr>
        <w:t>é</w:t>
      </w:r>
      <w:r w:rsidR="00577166" w:rsidRPr="00BB4F95">
        <w:rPr>
          <w:i/>
          <w:lang w:val="en-GB"/>
        </w:rPr>
        <w:t>nyi</w:t>
      </w:r>
      <w:r w:rsidR="00577166">
        <w:rPr>
          <w:i/>
          <w:lang w:val="bg-BG"/>
        </w:rPr>
        <w:t xml:space="preserve"> </w:t>
      </w:r>
      <w:r w:rsidR="00577166">
        <w:rPr>
          <w:lang w:val="bg-BG"/>
        </w:rPr>
        <w:t>не е установено нарушение</w:t>
      </w:r>
      <w:r w:rsidR="003C682F">
        <w:rPr>
          <w:lang w:val="bg-BG"/>
        </w:rPr>
        <w:t xml:space="preserve"> на Конвенцията</w:t>
      </w:r>
      <w:r w:rsidR="00577166">
        <w:rPr>
          <w:lang w:val="bg-BG"/>
        </w:rPr>
        <w:t>. Отсъжда се, че въпросното национално законодателство е до</w:t>
      </w:r>
      <w:r w:rsidR="00326143">
        <w:rPr>
          <w:lang w:val="bg-BG"/>
        </w:rPr>
        <w:t>статъчно ясно и прецизно в</w:t>
      </w:r>
      <w:r w:rsidR="00577166">
        <w:rPr>
          <w:lang w:val="bg-BG"/>
        </w:rPr>
        <w:t xml:space="preserve"> категоризирането на засегнатите лица (членове на въоръжените сили, полицията и службите за сигурност</w:t>
      </w:r>
      <w:r w:rsidR="00C1390D">
        <w:rPr>
          <w:lang w:val="bg-BG"/>
        </w:rPr>
        <w:t>) и относно мащаба на прилагане</w:t>
      </w:r>
      <w:r w:rsidR="00577166">
        <w:rPr>
          <w:lang w:val="bg-BG"/>
        </w:rPr>
        <w:t xml:space="preserve"> на оспорваното законово ограничение, като основната цел в изключването на цялата група от </w:t>
      </w:r>
      <w:r w:rsidR="00FB63C3">
        <w:rPr>
          <w:lang w:val="bg-BG"/>
        </w:rPr>
        <w:t>политическата дейност е съвместима с изи</w:t>
      </w:r>
      <w:r w:rsidR="00D9749A">
        <w:rPr>
          <w:lang w:val="bg-BG"/>
        </w:rPr>
        <w:t xml:space="preserve">скванията за </w:t>
      </w:r>
      <w:r w:rsidR="009E3307">
        <w:rPr>
          <w:lang w:val="bg-BG"/>
        </w:rPr>
        <w:t xml:space="preserve">пропорционалност </w:t>
      </w:r>
      <w:r w:rsidR="00D9749A">
        <w:rPr>
          <w:lang w:val="bg-BG"/>
        </w:rPr>
        <w:t>с</w:t>
      </w:r>
      <w:r w:rsidR="009E3307">
        <w:rPr>
          <w:lang w:val="bg-BG"/>
        </w:rPr>
        <w:t>ъгласно</w:t>
      </w:r>
      <w:r w:rsidR="00FB63C3">
        <w:rPr>
          <w:lang w:val="bg-BG"/>
        </w:rPr>
        <w:t xml:space="preserve"> чл</w:t>
      </w:r>
      <w:r w:rsidR="003C682F">
        <w:rPr>
          <w:lang w:val="bg-BG"/>
        </w:rPr>
        <w:t>енове</w:t>
      </w:r>
      <w:r w:rsidR="00FB63C3">
        <w:rPr>
          <w:lang w:val="bg-BG"/>
        </w:rPr>
        <w:t xml:space="preserve"> 10 и 11 от Конвенцията. Следователно, за</w:t>
      </w:r>
      <w:r w:rsidR="00D9749A">
        <w:rPr>
          <w:lang w:val="bg-BG"/>
        </w:rPr>
        <w:t xml:space="preserve"> да направи своята оценка</w:t>
      </w:r>
      <w:r w:rsidR="00FB63C3">
        <w:rPr>
          <w:lang w:val="bg-BG"/>
        </w:rPr>
        <w:t xml:space="preserve"> относно съвместимостта на оспорваните мерки с Конвенцията</w:t>
      </w:r>
      <w:r w:rsidR="00326143">
        <w:rPr>
          <w:lang w:val="bg-BG"/>
        </w:rPr>
        <w:t>,</w:t>
      </w:r>
      <w:r w:rsidR="00FB63C3">
        <w:rPr>
          <w:lang w:val="bg-BG"/>
        </w:rPr>
        <w:t xml:space="preserve"> </w:t>
      </w:r>
      <w:r w:rsidR="00D9749A">
        <w:rPr>
          <w:lang w:val="bg-BG"/>
        </w:rPr>
        <w:t xml:space="preserve">за Съда не </w:t>
      </w:r>
      <w:r w:rsidR="00FB63C3">
        <w:rPr>
          <w:lang w:val="bg-BG"/>
        </w:rPr>
        <w:t>е</w:t>
      </w:r>
      <w:r w:rsidR="00D9749A">
        <w:rPr>
          <w:lang w:val="bg-BG"/>
        </w:rPr>
        <w:t xml:space="preserve"> съществен фактът</w:t>
      </w:r>
      <w:r w:rsidR="00FB63C3">
        <w:rPr>
          <w:lang w:val="bg-BG"/>
        </w:rPr>
        <w:t xml:space="preserve"> дали </w:t>
      </w:r>
      <w:r w:rsidR="00326143">
        <w:rPr>
          <w:lang w:val="bg-BG"/>
        </w:rPr>
        <w:t>жалбоподателят по делото е можел</w:t>
      </w:r>
      <w:r w:rsidR="00FB63C3">
        <w:rPr>
          <w:lang w:val="bg-BG"/>
        </w:rPr>
        <w:t xml:space="preserve"> да изиска от националните съдилища да разгледат внимателно въпроса дали собственото му участие в политиката </w:t>
      </w:r>
      <w:r w:rsidR="00570A86">
        <w:rPr>
          <w:lang w:val="bg-BG"/>
        </w:rPr>
        <w:t xml:space="preserve">е </w:t>
      </w:r>
      <w:r w:rsidR="00FB63C3">
        <w:rPr>
          <w:lang w:val="bg-BG"/>
        </w:rPr>
        <w:t>представлява</w:t>
      </w:r>
      <w:r w:rsidR="00570A86">
        <w:rPr>
          <w:lang w:val="bg-BG"/>
        </w:rPr>
        <w:t>ло</w:t>
      </w:r>
      <w:r w:rsidR="00FB63C3">
        <w:rPr>
          <w:lang w:val="bg-BG"/>
        </w:rPr>
        <w:t xml:space="preserve"> възможна опасност за демократичния ред (пак там). По същия начин, във връзка с делата </w:t>
      </w:r>
      <w:r w:rsidR="00FB63C3" w:rsidRPr="00BB4F95">
        <w:rPr>
          <w:i/>
          <w:lang w:val="en-GB"/>
        </w:rPr>
        <w:t>Podkolzina</w:t>
      </w:r>
      <w:r w:rsidR="00FB63C3" w:rsidRPr="00945ED6">
        <w:rPr>
          <w:i/>
          <w:lang w:val="bg-BG"/>
        </w:rPr>
        <w:t xml:space="preserve"> </w:t>
      </w:r>
      <w:r w:rsidR="00FB63C3" w:rsidRPr="00945ED6">
        <w:rPr>
          <w:lang w:val="bg-BG"/>
        </w:rPr>
        <w:t>и</w:t>
      </w:r>
      <w:r w:rsidR="00FB63C3" w:rsidRPr="00945ED6">
        <w:rPr>
          <w:i/>
          <w:lang w:val="bg-BG"/>
        </w:rPr>
        <w:t xml:space="preserve"> </w:t>
      </w:r>
      <w:r w:rsidR="00FB63C3" w:rsidRPr="00BB4F95">
        <w:rPr>
          <w:i/>
          <w:lang w:val="en-GB"/>
        </w:rPr>
        <w:t>Melnychenko</w:t>
      </w:r>
      <w:r w:rsidR="00FB63C3">
        <w:rPr>
          <w:lang w:val="bg-BG"/>
        </w:rPr>
        <w:t>, и двете цитирани по-горе,</w:t>
      </w:r>
      <w:r w:rsidR="009E3307" w:rsidRPr="009E3307">
        <w:rPr>
          <w:lang w:val="bg-BG"/>
        </w:rPr>
        <w:t xml:space="preserve"> </w:t>
      </w:r>
      <w:r w:rsidR="009E3307">
        <w:rPr>
          <w:lang w:val="bg-BG"/>
        </w:rPr>
        <w:t>Съдът не посочва, че Конвенцията изисква на националните съдилища да се предостави правомощието да разглеждат въпроси като пропорционалността на законовите задължения, наложени на тези жалбоподатели, респективно изисквания, свързани с езика и гражданстово</w:t>
      </w:r>
      <w:r w:rsidR="00D94F58">
        <w:rPr>
          <w:lang w:val="bg-BG"/>
        </w:rPr>
        <w:t>то</w:t>
      </w:r>
      <w:r w:rsidR="009E3307">
        <w:rPr>
          <w:lang w:val="bg-BG"/>
        </w:rPr>
        <w:t xml:space="preserve">, за да могат да упражняват правото си да се кандидатират на избори, </w:t>
      </w:r>
      <w:r w:rsidR="00D94F58">
        <w:rPr>
          <w:lang w:val="bg-BG"/>
        </w:rPr>
        <w:t>при положение</w:t>
      </w:r>
      <w:r w:rsidR="009E3307">
        <w:rPr>
          <w:lang w:val="bg-BG"/>
        </w:rPr>
        <w:t xml:space="preserve"> че тези законови изисквания са сами по себе си напълно приемливи от гледна точка на Конвенцията</w:t>
      </w:r>
      <w:r w:rsidR="0061459E">
        <w:rPr>
          <w:lang w:val="bg-BG"/>
        </w:rPr>
        <w:t xml:space="preserve">.  </w:t>
      </w:r>
      <w:r w:rsidR="00FB63C3">
        <w:rPr>
          <w:lang w:val="bg-BG"/>
        </w:rPr>
        <w:t xml:space="preserve">   </w:t>
      </w:r>
      <w:r w:rsidR="00577166">
        <w:rPr>
          <w:lang w:val="bg-BG"/>
        </w:rPr>
        <w:t xml:space="preserve">  </w:t>
      </w:r>
      <w:r w:rsidR="003477D3" w:rsidRPr="00BB4F95">
        <w:rPr>
          <w:lang w:val="en-GB"/>
        </w:rPr>
        <w:t>  </w:t>
      </w:r>
    </w:p>
    <w:p w:rsidR="00FB50B8" w:rsidRPr="00945ED6" w:rsidRDefault="005D3E62" w:rsidP="00A1184C">
      <w:pPr>
        <w:pStyle w:val="JuPara"/>
        <w:rPr>
          <w:lang w:val="bg-BG"/>
        </w:rPr>
      </w:pPr>
      <w:r w:rsidRPr="00E17978">
        <w:fldChar w:fldCharType="begin"/>
      </w:r>
      <w:r w:rsidR="003477D3" w:rsidRPr="00945ED6">
        <w:rPr>
          <w:lang w:val="bg-BG"/>
        </w:rPr>
        <w:instrText xml:space="preserve"> </w:instrText>
      </w:r>
      <w:r w:rsidR="003477D3" w:rsidRPr="00BB4F95">
        <w:rPr>
          <w:lang w:val="en-GB"/>
        </w:rPr>
        <w:instrText>SEQ</w:instrText>
      </w:r>
      <w:r w:rsidR="003477D3" w:rsidRPr="00945ED6">
        <w:rPr>
          <w:lang w:val="bg-BG"/>
        </w:rPr>
        <w:instrText xml:space="preserve"> </w:instrText>
      </w:r>
      <w:r w:rsidR="003477D3" w:rsidRPr="00BB4F95">
        <w:rPr>
          <w:lang w:val="en-GB"/>
        </w:rPr>
        <w:instrText>level</w:instrText>
      </w:r>
      <w:r w:rsidR="003477D3" w:rsidRPr="00945ED6">
        <w:rPr>
          <w:lang w:val="bg-BG"/>
        </w:rPr>
        <w:instrText>0 \*</w:instrText>
      </w:r>
      <w:r w:rsidR="003477D3" w:rsidRPr="00BB4F95">
        <w:rPr>
          <w:lang w:val="en-GB"/>
        </w:rPr>
        <w:instrText>arabic</w:instrText>
      </w:r>
      <w:r w:rsidR="003477D3" w:rsidRPr="00945ED6">
        <w:rPr>
          <w:lang w:val="bg-BG"/>
        </w:rPr>
        <w:instrText xml:space="preserve"> </w:instrText>
      </w:r>
      <w:r w:rsidRPr="00E17978">
        <w:fldChar w:fldCharType="separate"/>
      </w:r>
      <w:r w:rsidR="00955550" w:rsidRPr="00945ED6">
        <w:rPr>
          <w:noProof/>
          <w:lang w:val="bg-BG"/>
        </w:rPr>
        <w:t>114</w:t>
      </w:r>
      <w:r w:rsidRPr="00E17978">
        <w:fldChar w:fldCharType="end"/>
      </w:r>
      <w:r w:rsidR="003477D3" w:rsidRPr="00945ED6">
        <w:rPr>
          <w:lang w:val="bg-BG"/>
        </w:rPr>
        <w:t>.</w:t>
      </w:r>
      <w:r w:rsidR="0061459E">
        <w:rPr>
          <w:lang w:val="bg-BG"/>
        </w:rPr>
        <w:t xml:space="preserve"> От горния анализ следва, че стига нормативното разграничение сам</w:t>
      </w:r>
      <w:r w:rsidR="009E3307">
        <w:rPr>
          <w:lang w:val="bg-BG"/>
        </w:rPr>
        <w:t xml:space="preserve">о по себе си да е пропорционално и да </w:t>
      </w:r>
      <w:r w:rsidR="0061459E">
        <w:rPr>
          <w:lang w:val="bg-BG"/>
        </w:rPr>
        <w:t>не</w:t>
      </w:r>
      <w:r w:rsidR="00E77F51">
        <w:rPr>
          <w:lang w:val="bg-BG"/>
        </w:rPr>
        <w:t xml:space="preserve"> е дискриминативно спрямо </w:t>
      </w:r>
      <w:r w:rsidR="00E77F51">
        <w:rPr>
          <w:lang w:val="bg-BG"/>
        </w:rPr>
        <w:lastRenderedPageBreak/>
        <w:t>цяла</w:t>
      </w:r>
      <w:r w:rsidR="0061459E">
        <w:rPr>
          <w:lang w:val="bg-BG"/>
        </w:rPr>
        <w:t xml:space="preserve"> категория или група</w:t>
      </w:r>
      <w:r w:rsidR="00E77F51">
        <w:rPr>
          <w:lang w:val="bg-BG"/>
        </w:rPr>
        <w:t xml:space="preserve"> лица</w:t>
      </w:r>
      <w:r w:rsidR="0061459E">
        <w:rPr>
          <w:lang w:val="bg-BG"/>
        </w:rPr>
        <w:t>, определена от законодателството, задачата на националните съдилища може да се ограничи до това да установя</w:t>
      </w:r>
      <w:r w:rsidR="00A1184C">
        <w:rPr>
          <w:lang w:val="bg-BG"/>
        </w:rPr>
        <w:t>т дали конкретно</w:t>
      </w:r>
      <w:r w:rsidR="00E77F51">
        <w:rPr>
          <w:lang w:val="bg-BG"/>
        </w:rPr>
        <w:t>то</w:t>
      </w:r>
      <w:r w:rsidR="00A1184C">
        <w:rPr>
          <w:lang w:val="bg-BG"/>
        </w:rPr>
        <w:t xml:space="preserve"> лице принадлежи към оспорваната категория или група. Изискването за „индивидуализация“, т.е. необходимостта националните съдебни власти</w:t>
      </w:r>
      <w:r w:rsidR="00E77F51">
        <w:rPr>
          <w:lang w:val="bg-BG"/>
        </w:rPr>
        <w:t xml:space="preserve"> да следят за </w:t>
      </w:r>
      <w:r w:rsidR="009E3307">
        <w:rPr>
          <w:lang w:val="bg-BG"/>
        </w:rPr>
        <w:t xml:space="preserve">пропорционалността </w:t>
      </w:r>
      <w:r w:rsidR="00A1184C">
        <w:rPr>
          <w:lang w:val="bg-BG"/>
        </w:rPr>
        <w:t>на оспорваното законово ограничение от гледна точка на спецификите във всеки един случай, не е пре</w:t>
      </w:r>
      <w:r w:rsidR="00B43F18">
        <w:rPr>
          <w:lang w:val="bg-BG"/>
        </w:rPr>
        <w:t>поставка</w:t>
      </w:r>
      <w:r w:rsidR="00A1184C">
        <w:rPr>
          <w:lang w:val="bg-BG"/>
        </w:rPr>
        <w:t xml:space="preserve"> за съвместимостта на мярката с Конвенцията.</w:t>
      </w:r>
      <w:r w:rsidR="003477D3" w:rsidRPr="00BB4F95">
        <w:rPr>
          <w:lang w:val="en-GB"/>
        </w:rPr>
        <w:t>  </w:t>
      </w:r>
    </w:p>
    <w:p w:rsidR="000E12E3" w:rsidRPr="0068476B" w:rsidRDefault="000E12E3" w:rsidP="000E12E3">
      <w:pPr>
        <w:pStyle w:val="JuHa0"/>
        <w:rPr>
          <w:lang w:val="bg-BG"/>
        </w:rPr>
      </w:pPr>
      <w:r w:rsidRPr="0068476B">
        <w:rPr>
          <w:lang w:val="bg-BG"/>
        </w:rPr>
        <w:t>(</w:t>
      </w:r>
      <w:r w:rsidR="00913921" w:rsidRPr="0068476B">
        <w:rPr>
          <w:lang w:val="bg-BG"/>
        </w:rPr>
        <w:t>в</w:t>
      </w:r>
      <w:r w:rsidRPr="0068476B">
        <w:rPr>
          <w:lang w:val="bg-BG"/>
        </w:rPr>
        <w:t>)</w:t>
      </w:r>
      <w:r w:rsidRPr="0068476B">
        <w:t> </w:t>
      </w:r>
      <w:r w:rsidR="005A5ED0" w:rsidRPr="0068476B">
        <w:t> </w:t>
      </w:r>
      <w:r w:rsidR="00A1184C" w:rsidRPr="0068476B">
        <w:rPr>
          <w:lang w:val="bg-BG"/>
        </w:rPr>
        <w:t>Заключението на Съда относно принципите, които трябва да се прилагат по ч</w:t>
      </w:r>
      <w:r w:rsidR="00AF2DB3" w:rsidRPr="0068476B">
        <w:rPr>
          <w:lang w:val="bg-BG"/>
        </w:rPr>
        <w:t>л</w:t>
      </w:r>
      <w:r w:rsidR="00B43F18">
        <w:rPr>
          <w:lang w:val="bg-BG"/>
        </w:rPr>
        <w:t>ен</w:t>
      </w:r>
      <w:r w:rsidR="00AF2DB3" w:rsidRPr="0068476B">
        <w:rPr>
          <w:lang w:val="bg-BG"/>
        </w:rPr>
        <w:t xml:space="preserve"> 3 от Протокол № 1</w:t>
      </w:r>
    </w:p>
    <w:p w:rsidR="005A5ED0" w:rsidRPr="00945ED6" w:rsidRDefault="005D3E62" w:rsidP="00B8206D">
      <w:pPr>
        <w:pStyle w:val="JuPara"/>
        <w:rPr>
          <w:lang w:val="bg-BG"/>
        </w:rPr>
      </w:pPr>
      <w:r w:rsidRPr="0068476B">
        <w:fldChar w:fldCharType="begin"/>
      </w:r>
      <w:r w:rsidR="003477D3" w:rsidRPr="0068476B">
        <w:rPr>
          <w:lang w:val="bg-BG"/>
        </w:rPr>
        <w:instrText xml:space="preserve"> </w:instrText>
      </w:r>
      <w:r w:rsidR="003477D3" w:rsidRPr="0068476B">
        <w:rPr>
          <w:lang w:val="en-GB"/>
        </w:rPr>
        <w:instrText>SEQ</w:instrText>
      </w:r>
      <w:r w:rsidR="003477D3" w:rsidRPr="0068476B">
        <w:rPr>
          <w:lang w:val="bg-BG"/>
        </w:rPr>
        <w:instrText xml:space="preserve"> </w:instrText>
      </w:r>
      <w:r w:rsidR="003477D3" w:rsidRPr="0068476B">
        <w:rPr>
          <w:lang w:val="en-GB"/>
        </w:rPr>
        <w:instrText>level</w:instrText>
      </w:r>
      <w:r w:rsidR="003477D3" w:rsidRPr="0068476B">
        <w:rPr>
          <w:lang w:val="bg-BG"/>
        </w:rPr>
        <w:instrText>0 \*</w:instrText>
      </w:r>
      <w:r w:rsidR="003477D3" w:rsidRPr="0068476B">
        <w:rPr>
          <w:lang w:val="en-GB"/>
        </w:rPr>
        <w:instrText>arabic</w:instrText>
      </w:r>
      <w:r w:rsidR="003477D3" w:rsidRPr="0068476B">
        <w:rPr>
          <w:lang w:val="bg-BG"/>
        </w:rPr>
        <w:instrText xml:space="preserve"> </w:instrText>
      </w:r>
      <w:r w:rsidRPr="0068476B">
        <w:fldChar w:fldCharType="separate"/>
      </w:r>
      <w:r w:rsidR="00955550" w:rsidRPr="0068476B">
        <w:rPr>
          <w:noProof/>
          <w:lang w:val="bg-BG"/>
        </w:rPr>
        <w:t>115</w:t>
      </w:r>
      <w:r w:rsidRPr="0068476B">
        <w:fldChar w:fldCharType="end"/>
      </w:r>
      <w:r w:rsidR="003477D3" w:rsidRPr="0068476B">
        <w:rPr>
          <w:lang w:val="bg-BG"/>
        </w:rPr>
        <w:t>.</w:t>
      </w:r>
      <w:r w:rsidR="003477D3" w:rsidRPr="0068476B">
        <w:rPr>
          <w:lang w:val="en-GB"/>
        </w:rPr>
        <w:t>  </w:t>
      </w:r>
      <w:r w:rsidR="00B43F18">
        <w:rPr>
          <w:lang w:val="bg-BG"/>
        </w:rPr>
        <w:t>Като се позовава</w:t>
      </w:r>
      <w:r w:rsidR="00F539EE" w:rsidRPr="0068476B">
        <w:rPr>
          <w:lang w:val="bg-BG"/>
        </w:rPr>
        <w:t xml:space="preserve"> на посочените по-горе случаи, Съдът достиг</w:t>
      </w:r>
      <w:r w:rsidR="0068476B" w:rsidRPr="0068476B">
        <w:rPr>
          <w:lang w:val="bg-BG"/>
        </w:rPr>
        <w:t>а до следните заключения за</w:t>
      </w:r>
      <w:r w:rsidR="00F539EE" w:rsidRPr="0068476B">
        <w:rPr>
          <w:lang w:val="bg-BG"/>
        </w:rPr>
        <w:t xml:space="preserve"> </w:t>
      </w:r>
      <w:r w:rsidR="006F6BA8">
        <w:rPr>
          <w:lang w:val="bg-BG"/>
        </w:rPr>
        <w:t>проверката</w:t>
      </w:r>
      <w:r w:rsidR="0068476B" w:rsidRPr="0068476B">
        <w:rPr>
          <w:lang w:val="bg-BG"/>
        </w:rPr>
        <w:t>, ко</w:t>
      </w:r>
      <w:r w:rsidR="006F6BA8">
        <w:rPr>
          <w:lang w:val="bg-BG"/>
        </w:rPr>
        <w:t>я</w:t>
      </w:r>
      <w:r w:rsidR="0068476B" w:rsidRPr="0068476B">
        <w:rPr>
          <w:lang w:val="bg-BG"/>
        </w:rPr>
        <w:t xml:space="preserve">то </w:t>
      </w:r>
      <w:r w:rsidR="00913921" w:rsidRPr="0068476B">
        <w:rPr>
          <w:lang w:val="bg-BG"/>
        </w:rPr>
        <w:t>трябва да приложи</w:t>
      </w:r>
      <w:r w:rsidR="008B545E" w:rsidRPr="0068476B">
        <w:rPr>
          <w:lang w:val="bg-BG"/>
        </w:rPr>
        <w:t xml:space="preserve"> </w:t>
      </w:r>
      <w:r w:rsidR="0068476B" w:rsidRPr="0068476B">
        <w:rPr>
          <w:lang w:val="bg-BG"/>
        </w:rPr>
        <w:t xml:space="preserve">при </w:t>
      </w:r>
      <w:r w:rsidR="006F6BA8">
        <w:rPr>
          <w:lang w:val="bg-BG"/>
        </w:rPr>
        <w:t>разглеждането</w:t>
      </w:r>
      <w:r w:rsidR="006F6BA8" w:rsidRPr="0068476B">
        <w:rPr>
          <w:lang w:val="bg-BG"/>
        </w:rPr>
        <w:t xml:space="preserve"> </w:t>
      </w:r>
      <w:r w:rsidR="0068476B" w:rsidRPr="0068476B">
        <w:rPr>
          <w:lang w:val="bg-BG"/>
        </w:rPr>
        <w:t xml:space="preserve">на съответствието </w:t>
      </w:r>
      <w:r w:rsidR="00F539EE" w:rsidRPr="0068476B">
        <w:rPr>
          <w:lang w:val="bg-BG"/>
        </w:rPr>
        <w:t>с ч</w:t>
      </w:r>
      <w:r w:rsidR="00AF2DB3" w:rsidRPr="0068476B">
        <w:rPr>
          <w:lang w:val="bg-BG"/>
        </w:rPr>
        <w:t>л</w:t>
      </w:r>
      <w:r w:rsidR="006F6BA8">
        <w:rPr>
          <w:lang w:val="bg-BG"/>
        </w:rPr>
        <w:t>ен</w:t>
      </w:r>
      <w:r w:rsidR="00AF2DB3" w:rsidRPr="0068476B">
        <w:rPr>
          <w:lang w:val="bg-BG"/>
        </w:rPr>
        <w:t xml:space="preserve"> 3 от Протокол № 1</w:t>
      </w:r>
      <w:r w:rsidR="009E75FE" w:rsidRPr="0068476B">
        <w:rPr>
          <w:lang w:val="bg-BG"/>
        </w:rPr>
        <w:t>.</w:t>
      </w:r>
    </w:p>
    <w:p w:rsidR="00BE09B7" w:rsidRPr="00945ED6" w:rsidRDefault="00977881" w:rsidP="00B8206D">
      <w:pPr>
        <w:pStyle w:val="JuPara"/>
        <w:rPr>
          <w:lang w:val="bg-BG"/>
        </w:rPr>
      </w:pPr>
      <w:r w:rsidRPr="00945ED6">
        <w:rPr>
          <w:lang w:val="bg-BG"/>
        </w:rPr>
        <w:t>(</w:t>
      </w:r>
      <w:r>
        <w:rPr>
          <w:lang w:val="en-GB"/>
        </w:rPr>
        <w:t>a</w:t>
      </w:r>
      <w:r w:rsidRPr="00945ED6">
        <w:rPr>
          <w:lang w:val="bg-BG"/>
        </w:rPr>
        <w:t>)</w:t>
      </w:r>
      <w:r>
        <w:rPr>
          <w:lang w:val="en-GB"/>
        </w:rPr>
        <w:t>  </w:t>
      </w:r>
      <w:r w:rsidR="00AF2DB3" w:rsidRPr="00945ED6">
        <w:rPr>
          <w:lang w:val="bg-BG"/>
        </w:rPr>
        <w:t>Чл</w:t>
      </w:r>
      <w:r w:rsidR="006F6BA8">
        <w:rPr>
          <w:lang w:val="bg-BG"/>
        </w:rPr>
        <w:t>ен</w:t>
      </w:r>
      <w:r w:rsidR="00AF2DB3" w:rsidRPr="00945ED6">
        <w:rPr>
          <w:lang w:val="bg-BG"/>
        </w:rPr>
        <w:t xml:space="preserve"> 3 от Протокол № 1</w:t>
      </w:r>
      <w:r w:rsidR="00BE09B7">
        <w:rPr>
          <w:lang w:val="bg-BG"/>
        </w:rPr>
        <w:t xml:space="preserve"> е </w:t>
      </w:r>
      <w:r w:rsidR="006F6BA8">
        <w:rPr>
          <w:lang w:val="bg-BG"/>
        </w:rPr>
        <w:t>сроден с</w:t>
      </w:r>
      <w:r w:rsidR="00BE09B7">
        <w:rPr>
          <w:lang w:val="bg-BG"/>
        </w:rPr>
        <w:t xml:space="preserve"> други разпоредби на Конвенцията, защитаващи различни форми на граждански и политически права, като например чл</w:t>
      </w:r>
      <w:r w:rsidR="006F6BA8">
        <w:rPr>
          <w:lang w:val="bg-BG"/>
        </w:rPr>
        <w:t>ен</w:t>
      </w:r>
      <w:r w:rsidR="00BE09B7">
        <w:rPr>
          <w:lang w:val="bg-BG"/>
        </w:rPr>
        <w:t xml:space="preserve"> 10, който защитава правото на свобода на изразяване, или чл</w:t>
      </w:r>
      <w:r w:rsidR="006F6BA8">
        <w:rPr>
          <w:lang w:val="bg-BG"/>
        </w:rPr>
        <w:t>ен</w:t>
      </w:r>
      <w:r w:rsidR="00BE09B7">
        <w:rPr>
          <w:lang w:val="bg-BG"/>
        </w:rPr>
        <w:t xml:space="preserve"> 11, който гарантира правото на </w:t>
      </w:r>
      <w:r w:rsidR="007632D5">
        <w:rPr>
          <w:lang w:val="bg-BG"/>
        </w:rPr>
        <w:t>свобода на сдружаване, в</w:t>
      </w:r>
      <w:r w:rsidR="00570A86">
        <w:rPr>
          <w:lang w:val="bg-BG"/>
        </w:rPr>
        <w:t>ключително правото на индивида н</w:t>
      </w:r>
      <w:r w:rsidR="007632D5">
        <w:rPr>
          <w:lang w:val="bg-BG"/>
        </w:rPr>
        <w:t xml:space="preserve">а политическо сдружаване чрез членство в определена партия. Безспорно съществува връзка между всички тези разпоредби, а именно необходимостта да се гарантира </w:t>
      </w:r>
      <w:r w:rsidR="006F6BA8">
        <w:rPr>
          <w:lang w:val="bg-BG"/>
        </w:rPr>
        <w:t>зачитане на</w:t>
      </w:r>
      <w:r w:rsidR="007632D5">
        <w:rPr>
          <w:lang w:val="bg-BG"/>
        </w:rPr>
        <w:t xml:space="preserve"> плурализма </w:t>
      </w:r>
      <w:r w:rsidR="006F6BA8">
        <w:rPr>
          <w:lang w:val="bg-BG"/>
        </w:rPr>
        <w:t xml:space="preserve">на </w:t>
      </w:r>
      <w:r w:rsidR="007632D5">
        <w:rPr>
          <w:lang w:val="bg-BG"/>
        </w:rPr>
        <w:t>мнени</w:t>
      </w:r>
      <w:r w:rsidR="006F6BA8">
        <w:rPr>
          <w:lang w:val="bg-BG"/>
        </w:rPr>
        <w:t>ята</w:t>
      </w:r>
      <w:r w:rsidR="007632D5">
        <w:rPr>
          <w:lang w:val="bg-BG"/>
        </w:rPr>
        <w:t xml:space="preserve"> в демократичното общество </w:t>
      </w:r>
      <w:r w:rsidR="007448C4">
        <w:rPr>
          <w:lang w:val="bg-BG"/>
        </w:rPr>
        <w:t>чрез</w:t>
      </w:r>
      <w:r w:rsidR="007632D5">
        <w:rPr>
          <w:lang w:val="bg-BG"/>
        </w:rPr>
        <w:t xml:space="preserve"> упражнява</w:t>
      </w:r>
      <w:r w:rsidR="007448C4">
        <w:rPr>
          <w:lang w:val="bg-BG"/>
        </w:rPr>
        <w:t>не</w:t>
      </w:r>
      <w:r w:rsidR="007632D5">
        <w:rPr>
          <w:lang w:val="bg-BG"/>
        </w:rPr>
        <w:t xml:space="preserve"> </w:t>
      </w:r>
      <w:r w:rsidR="007448C4">
        <w:rPr>
          <w:lang w:val="bg-BG"/>
        </w:rPr>
        <w:t xml:space="preserve">на </w:t>
      </w:r>
      <w:r w:rsidR="004141C4">
        <w:rPr>
          <w:lang w:val="bg-BG"/>
        </w:rPr>
        <w:t>гражданските и политически</w:t>
      </w:r>
      <w:r w:rsidR="007448C4">
        <w:rPr>
          <w:lang w:val="bg-BG"/>
        </w:rPr>
        <w:t>те</w:t>
      </w:r>
      <w:r w:rsidR="004141C4">
        <w:rPr>
          <w:lang w:val="bg-BG"/>
        </w:rPr>
        <w:t xml:space="preserve"> свободи. Конвенцията и прот</w:t>
      </w:r>
      <w:r w:rsidR="00570A86">
        <w:rPr>
          <w:lang w:val="bg-BG"/>
        </w:rPr>
        <w:t xml:space="preserve">околите трябва </w:t>
      </w:r>
      <w:r w:rsidR="004141C4">
        <w:rPr>
          <w:lang w:val="bg-BG"/>
        </w:rPr>
        <w:t xml:space="preserve">да се разглеждат като едно цяло. Въпреки това, когато става </w:t>
      </w:r>
      <w:r w:rsidR="004609D9">
        <w:rPr>
          <w:lang w:val="bg-BG"/>
        </w:rPr>
        <w:t>въпрос за намеса във връзка с</w:t>
      </w:r>
      <w:r w:rsidR="004141C4">
        <w:rPr>
          <w:lang w:val="bg-BG"/>
        </w:rPr>
        <w:t xml:space="preserve"> </w:t>
      </w:r>
      <w:r w:rsidR="004141C4" w:rsidRPr="00945ED6">
        <w:rPr>
          <w:lang w:val="bg-BG"/>
        </w:rPr>
        <w:t>чл</w:t>
      </w:r>
      <w:r w:rsidR="007448C4">
        <w:rPr>
          <w:lang w:val="bg-BG"/>
        </w:rPr>
        <w:t>ен</w:t>
      </w:r>
      <w:r w:rsidR="004141C4" w:rsidRPr="00945ED6">
        <w:rPr>
          <w:lang w:val="bg-BG"/>
        </w:rPr>
        <w:t xml:space="preserve"> 3 от Протокол № 1</w:t>
      </w:r>
      <w:r w:rsidR="004141C4">
        <w:rPr>
          <w:lang w:val="bg-BG"/>
        </w:rPr>
        <w:t>, Съдът не трябва автоматично да прилага същите критерии, които се прилагат във връзка с намесата, разреше</w:t>
      </w:r>
      <w:r w:rsidR="00CE3770">
        <w:rPr>
          <w:lang w:val="bg-BG"/>
        </w:rPr>
        <w:t>на от вторите алинеи на чл</w:t>
      </w:r>
      <w:r w:rsidR="007448C4">
        <w:rPr>
          <w:lang w:val="bg-BG"/>
        </w:rPr>
        <w:t>ен</w:t>
      </w:r>
      <w:r w:rsidR="00CE3770">
        <w:rPr>
          <w:lang w:val="bg-BG"/>
        </w:rPr>
        <w:t xml:space="preserve"> 8 –</w:t>
      </w:r>
      <w:r w:rsidR="004141C4">
        <w:rPr>
          <w:lang w:val="bg-BG"/>
        </w:rPr>
        <w:t xml:space="preserve"> 11 от Конвенцията. Не е задължително </w:t>
      </w:r>
      <w:r w:rsidR="00A25166">
        <w:rPr>
          <w:lang w:val="bg-BG"/>
        </w:rPr>
        <w:t xml:space="preserve">Съдът </w:t>
      </w:r>
      <w:r w:rsidR="004141C4">
        <w:rPr>
          <w:lang w:val="bg-BG"/>
        </w:rPr>
        <w:t xml:space="preserve">да основава заключенията си по </w:t>
      </w:r>
      <w:r w:rsidR="004141C4" w:rsidRPr="00945ED6">
        <w:rPr>
          <w:lang w:val="bg-BG"/>
        </w:rPr>
        <w:t>чл</w:t>
      </w:r>
      <w:r w:rsidR="007448C4">
        <w:rPr>
          <w:lang w:val="bg-BG"/>
        </w:rPr>
        <w:t>ен</w:t>
      </w:r>
      <w:r w:rsidR="004141C4" w:rsidRPr="00945ED6">
        <w:rPr>
          <w:lang w:val="bg-BG"/>
        </w:rPr>
        <w:t xml:space="preserve"> 3 от Протокол № 1</w:t>
      </w:r>
      <w:r w:rsidR="004141C4">
        <w:rPr>
          <w:lang w:val="bg-BG"/>
        </w:rPr>
        <w:t xml:space="preserve"> върху принци</w:t>
      </w:r>
      <w:r w:rsidR="00D116BF">
        <w:rPr>
          <w:lang w:val="bg-BG"/>
        </w:rPr>
        <w:t>пите, произтичащи от приложението</w:t>
      </w:r>
      <w:r w:rsidR="004609D9">
        <w:rPr>
          <w:lang w:val="bg-BG"/>
        </w:rPr>
        <w:t xml:space="preserve"> на чл</w:t>
      </w:r>
      <w:r w:rsidR="007448C4">
        <w:rPr>
          <w:lang w:val="bg-BG"/>
        </w:rPr>
        <w:t>ен</w:t>
      </w:r>
      <w:r w:rsidR="004609D9">
        <w:rPr>
          <w:lang w:val="bg-BG"/>
        </w:rPr>
        <w:t xml:space="preserve"> 8 – </w:t>
      </w:r>
      <w:r w:rsidR="004141C4">
        <w:rPr>
          <w:lang w:val="bg-BG"/>
        </w:rPr>
        <w:t>11 от Конвенцията.</w:t>
      </w:r>
      <w:r w:rsidR="00A17B30" w:rsidRPr="00945ED6">
        <w:rPr>
          <w:lang w:val="bg-BG"/>
        </w:rPr>
        <w:t xml:space="preserve"> </w:t>
      </w:r>
      <w:r w:rsidR="00873B42">
        <w:rPr>
          <w:lang w:val="bg-BG"/>
        </w:rPr>
        <w:t>Поради</w:t>
      </w:r>
      <w:r w:rsidR="00A17B30">
        <w:rPr>
          <w:lang w:val="bg-BG"/>
        </w:rPr>
        <w:t xml:space="preserve"> значимостта на </w:t>
      </w:r>
      <w:r w:rsidR="00A17B30" w:rsidRPr="00945ED6">
        <w:rPr>
          <w:lang w:val="bg-BG"/>
        </w:rPr>
        <w:t>чл</w:t>
      </w:r>
      <w:r w:rsidR="007448C4">
        <w:rPr>
          <w:lang w:val="bg-BG"/>
        </w:rPr>
        <w:t>ен</w:t>
      </w:r>
      <w:r w:rsidR="00A17B30" w:rsidRPr="00945ED6">
        <w:rPr>
          <w:lang w:val="bg-BG"/>
        </w:rPr>
        <w:t xml:space="preserve"> 3 от Протокол № 1</w:t>
      </w:r>
      <w:r w:rsidR="00A17B30">
        <w:rPr>
          <w:lang w:val="bg-BG"/>
        </w:rPr>
        <w:t xml:space="preserve"> за институ</w:t>
      </w:r>
      <w:r w:rsidR="00873B42">
        <w:rPr>
          <w:lang w:val="bg-BG"/>
        </w:rPr>
        <w:t xml:space="preserve">ционалния ред </w:t>
      </w:r>
      <w:r w:rsidR="007448C4">
        <w:rPr>
          <w:lang w:val="bg-BG"/>
        </w:rPr>
        <w:t xml:space="preserve">в </w:t>
      </w:r>
      <w:r w:rsidR="00873B42">
        <w:rPr>
          <w:lang w:val="bg-BG"/>
        </w:rPr>
        <w:t>държавата, въпросната</w:t>
      </w:r>
      <w:r w:rsidR="00A17B30">
        <w:rPr>
          <w:lang w:val="bg-BG"/>
        </w:rPr>
        <w:t xml:space="preserve"> разпоредба </w:t>
      </w:r>
      <w:r w:rsidR="00A17B30">
        <w:rPr>
          <w:lang w:val="en-US"/>
        </w:rPr>
        <w:t>e</w:t>
      </w:r>
      <w:r w:rsidR="00A17B30" w:rsidRPr="00945ED6">
        <w:rPr>
          <w:lang w:val="bg-BG"/>
        </w:rPr>
        <w:t xml:space="preserve"> </w:t>
      </w:r>
      <w:r w:rsidR="00A17B30">
        <w:rPr>
          <w:lang w:val="bg-BG"/>
        </w:rPr>
        <w:t>оформена по с</w:t>
      </w:r>
      <w:r w:rsidR="004609D9">
        <w:rPr>
          <w:lang w:val="bg-BG"/>
        </w:rPr>
        <w:t>ъвсем различен начин от чл</w:t>
      </w:r>
      <w:r w:rsidR="007448C4">
        <w:rPr>
          <w:lang w:val="bg-BG"/>
        </w:rPr>
        <w:t>ен</w:t>
      </w:r>
      <w:r w:rsidR="004609D9">
        <w:rPr>
          <w:lang w:val="bg-BG"/>
        </w:rPr>
        <w:t xml:space="preserve"> 8 –</w:t>
      </w:r>
      <w:r w:rsidR="00A17B30">
        <w:rPr>
          <w:lang w:val="bg-BG"/>
        </w:rPr>
        <w:t xml:space="preserve"> 11 от Конвенцията. </w:t>
      </w:r>
      <w:r w:rsidR="00A17B30" w:rsidRPr="00945ED6">
        <w:rPr>
          <w:lang w:val="bg-BG"/>
        </w:rPr>
        <w:t>Чл</w:t>
      </w:r>
      <w:r w:rsidR="007448C4">
        <w:rPr>
          <w:lang w:val="bg-BG"/>
        </w:rPr>
        <w:t>ен</w:t>
      </w:r>
      <w:r w:rsidR="00A17B30" w:rsidRPr="00945ED6">
        <w:rPr>
          <w:lang w:val="bg-BG"/>
        </w:rPr>
        <w:t xml:space="preserve"> 3 от Протокол № 1</w:t>
      </w:r>
      <w:r w:rsidR="00A17B30">
        <w:rPr>
          <w:lang w:val="bg-BG"/>
        </w:rPr>
        <w:t xml:space="preserve"> е формулиран по събирателен и общ начин, въпреки че </w:t>
      </w:r>
      <w:r w:rsidR="00A25166">
        <w:rPr>
          <w:lang w:val="bg-BG"/>
        </w:rPr>
        <w:t>се е случвало Съдът да го интерпретира</w:t>
      </w:r>
      <w:r w:rsidR="00A17B30">
        <w:rPr>
          <w:lang w:val="bg-BG"/>
        </w:rPr>
        <w:t xml:space="preserve"> и като предполагащ определени индивидуални права. Следователно стандартите, които трябва да се прилагат за установяване на съответствие с </w:t>
      </w:r>
      <w:r w:rsidR="00A17B30" w:rsidRPr="00945ED6">
        <w:rPr>
          <w:lang w:val="bg-BG"/>
        </w:rPr>
        <w:t>чл</w:t>
      </w:r>
      <w:r w:rsidR="00CA3B25">
        <w:rPr>
          <w:lang w:val="bg-BG"/>
        </w:rPr>
        <w:t>ен</w:t>
      </w:r>
      <w:r w:rsidR="00A17B30" w:rsidRPr="00945ED6">
        <w:rPr>
          <w:lang w:val="bg-BG"/>
        </w:rPr>
        <w:t xml:space="preserve"> 3 от Протокол № 1</w:t>
      </w:r>
      <w:r w:rsidR="00A17B30">
        <w:rPr>
          <w:lang w:val="bg-BG"/>
        </w:rPr>
        <w:t>, трябва да се смятат за по-малко строги от онези</w:t>
      </w:r>
      <w:r w:rsidR="004609D9">
        <w:rPr>
          <w:lang w:val="bg-BG"/>
        </w:rPr>
        <w:t>, които се прилагат към чл</w:t>
      </w:r>
      <w:r w:rsidR="00CA3B25">
        <w:rPr>
          <w:lang w:val="bg-BG"/>
        </w:rPr>
        <w:t>ен</w:t>
      </w:r>
      <w:r w:rsidR="004609D9">
        <w:rPr>
          <w:lang w:val="bg-BG"/>
        </w:rPr>
        <w:t xml:space="preserve"> 8 –</w:t>
      </w:r>
      <w:r w:rsidR="00A17B30">
        <w:rPr>
          <w:lang w:val="bg-BG"/>
        </w:rPr>
        <w:t xml:space="preserve"> 11.</w:t>
      </w:r>
      <w:r w:rsidR="00A17B30" w:rsidRPr="00945ED6">
        <w:rPr>
          <w:lang w:val="bg-BG"/>
        </w:rPr>
        <w:t xml:space="preserve"> </w:t>
      </w:r>
      <w:r w:rsidR="00A17B30">
        <w:rPr>
          <w:lang w:val="bg-BG"/>
        </w:rPr>
        <w:t xml:space="preserve"> </w:t>
      </w:r>
      <w:r w:rsidR="00A17B30" w:rsidRPr="00945ED6">
        <w:rPr>
          <w:lang w:val="bg-BG"/>
        </w:rPr>
        <w:t xml:space="preserve"> </w:t>
      </w:r>
      <w:r w:rsidR="00A17B30">
        <w:rPr>
          <w:lang w:val="bg-BG"/>
        </w:rPr>
        <w:t xml:space="preserve"> </w:t>
      </w:r>
      <w:r w:rsidR="004141C4" w:rsidRPr="00945ED6">
        <w:rPr>
          <w:lang w:val="bg-BG"/>
        </w:rPr>
        <w:t xml:space="preserve"> </w:t>
      </w:r>
      <w:r w:rsidR="004141C4">
        <w:rPr>
          <w:lang w:val="bg-BG"/>
        </w:rPr>
        <w:t xml:space="preserve"> </w:t>
      </w:r>
      <w:r w:rsidR="004141C4" w:rsidRPr="00945ED6">
        <w:rPr>
          <w:lang w:val="bg-BG"/>
        </w:rPr>
        <w:t xml:space="preserve"> </w:t>
      </w:r>
      <w:r w:rsidR="004141C4">
        <w:rPr>
          <w:lang w:val="bg-BG"/>
        </w:rPr>
        <w:t xml:space="preserve">  </w:t>
      </w:r>
      <w:r w:rsidR="007632D5">
        <w:rPr>
          <w:lang w:val="bg-BG"/>
        </w:rPr>
        <w:t xml:space="preserve"> </w:t>
      </w:r>
      <w:r w:rsidR="0029103B" w:rsidRPr="00945ED6">
        <w:rPr>
          <w:lang w:val="bg-BG"/>
        </w:rPr>
        <w:t xml:space="preserve"> </w:t>
      </w:r>
    </w:p>
    <w:p w:rsidR="00A17B30" w:rsidRPr="00945ED6" w:rsidRDefault="00A17B30" w:rsidP="00B8206D">
      <w:pPr>
        <w:pStyle w:val="JuPara"/>
        <w:rPr>
          <w:lang w:val="bg-BG"/>
        </w:rPr>
      </w:pPr>
      <w:r w:rsidRPr="00945ED6">
        <w:rPr>
          <w:lang w:val="bg-BG"/>
        </w:rPr>
        <w:t xml:space="preserve"> </w:t>
      </w:r>
      <w:r w:rsidR="00E22DD5" w:rsidRPr="00126EB2">
        <w:rPr>
          <w:lang w:val="bg-BG"/>
        </w:rPr>
        <w:t>(</w:t>
      </w:r>
      <w:r w:rsidR="004609D9">
        <w:rPr>
          <w:lang w:val="bg-BG"/>
        </w:rPr>
        <w:t>б</w:t>
      </w:r>
      <w:r w:rsidR="00E22DD5" w:rsidRPr="00126EB2">
        <w:rPr>
          <w:lang w:val="bg-BG"/>
        </w:rPr>
        <w:t>)</w:t>
      </w:r>
      <w:r w:rsidR="00DD39B0">
        <w:rPr>
          <w:lang w:val="bg-BG"/>
        </w:rPr>
        <w:t xml:space="preserve"> Идеята за „</w:t>
      </w:r>
      <w:r w:rsidR="00232BBD">
        <w:rPr>
          <w:lang w:val="bg-BG"/>
        </w:rPr>
        <w:t>имплицитни</w:t>
      </w:r>
      <w:r w:rsidR="00DD39B0">
        <w:rPr>
          <w:lang w:val="bg-BG"/>
        </w:rPr>
        <w:t xml:space="preserve"> ограничения“ по </w:t>
      </w:r>
      <w:r w:rsidR="00DD39B0" w:rsidRPr="00126EB2">
        <w:rPr>
          <w:lang w:val="bg-BG"/>
        </w:rPr>
        <w:t>чл</w:t>
      </w:r>
      <w:r w:rsidR="00CA3B25">
        <w:rPr>
          <w:lang w:val="bg-BG"/>
        </w:rPr>
        <w:t>ен</w:t>
      </w:r>
      <w:r w:rsidR="00DD39B0" w:rsidRPr="00126EB2">
        <w:rPr>
          <w:lang w:val="bg-BG"/>
        </w:rPr>
        <w:t xml:space="preserve"> 3 от Протокол № 1</w:t>
      </w:r>
      <w:r w:rsidR="00DD39B0">
        <w:rPr>
          <w:lang w:val="bg-BG"/>
        </w:rPr>
        <w:t xml:space="preserve"> е от основно значение п</w:t>
      </w:r>
      <w:r w:rsidR="001E20A1">
        <w:rPr>
          <w:lang w:val="bg-BG"/>
        </w:rPr>
        <w:t xml:space="preserve">ри определяне </w:t>
      </w:r>
      <w:r w:rsidR="00CA3B25">
        <w:rPr>
          <w:lang w:val="bg-BG"/>
        </w:rPr>
        <w:t xml:space="preserve">релевантността </w:t>
      </w:r>
      <w:r w:rsidR="00DD39B0">
        <w:rPr>
          <w:lang w:val="bg-BG"/>
        </w:rPr>
        <w:t>на целите</w:t>
      </w:r>
      <w:r w:rsidR="00DD39B0" w:rsidRPr="00126EB2">
        <w:rPr>
          <w:lang w:val="bg-BG"/>
        </w:rPr>
        <w:t xml:space="preserve">, </w:t>
      </w:r>
      <w:r w:rsidR="00A25166">
        <w:rPr>
          <w:lang w:val="bg-BG"/>
        </w:rPr>
        <w:t>заради които се огран</w:t>
      </w:r>
      <w:r w:rsidR="00DD39B0">
        <w:rPr>
          <w:lang w:val="bg-BG"/>
        </w:rPr>
        <w:t>ичават гарантираните от тази разпо</w:t>
      </w:r>
      <w:r w:rsidR="00A25166">
        <w:rPr>
          <w:lang w:val="bg-BG"/>
        </w:rPr>
        <w:t xml:space="preserve">редба права. </w:t>
      </w:r>
      <w:r w:rsidR="00CA3B25">
        <w:rPr>
          <w:lang w:val="bg-BG"/>
        </w:rPr>
        <w:t>При услови</w:t>
      </w:r>
      <w:r w:rsidR="00CD2508">
        <w:rPr>
          <w:lang w:val="bg-BG"/>
        </w:rPr>
        <w:t>е</w:t>
      </w:r>
      <w:r w:rsidR="00DD39B0">
        <w:rPr>
          <w:lang w:val="bg-BG"/>
        </w:rPr>
        <w:t xml:space="preserve"> че </w:t>
      </w:r>
      <w:r w:rsidR="001E20A1">
        <w:rPr>
          <w:lang w:val="bg-BG"/>
        </w:rPr>
        <w:t>ч</w:t>
      </w:r>
      <w:r w:rsidR="00DD39B0" w:rsidRPr="00945ED6">
        <w:rPr>
          <w:lang w:val="bg-BG"/>
        </w:rPr>
        <w:t>л</w:t>
      </w:r>
      <w:r w:rsidR="00CA3B25">
        <w:rPr>
          <w:lang w:val="bg-BG"/>
        </w:rPr>
        <w:t>ен</w:t>
      </w:r>
      <w:r w:rsidR="00DD39B0" w:rsidRPr="00945ED6">
        <w:rPr>
          <w:lang w:val="bg-BG"/>
        </w:rPr>
        <w:t xml:space="preserve"> 3 от Протокол № 1 не е о</w:t>
      </w:r>
      <w:r w:rsidR="001E20A1">
        <w:rPr>
          <w:lang w:val="bg-BG"/>
        </w:rPr>
        <w:t>граничен с определен списък от „</w:t>
      </w:r>
      <w:r w:rsidR="00DD39B0">
        <w:rPr>
          <w:lang w:val="bg-BG"/>
        </w:rPr>
        <w:t>легитимни цели“ като изброени</w:t>
      </w:r>
      <w:r w:rsidR="00CD2508">
        <w:rPr>
          <w:lang w:val="bg-BG"/>
        </w:rPr>
        <w:t>те</w:t>
      </w:r>
      <w:r w:rsidR="00DD39B0">
        <w:rPr>
          <w:lang w:val="bg-BG"/>
        </w:rPr>
        <w:t xml:space="preserve"> в чл</w:t>
      </w:r>
      <w:r w:rsidR="00CA3B25">
        <w:rPr>
          <w:lang w:val="bg-BG"/>
        </w:rPr>
        <w:t>ен</w:t>
      </w:r>
      <w:r w:rsidR="00DD39B0">
        <w:rPr>
          <w:lang w:val="bg-BG"/>
        </w:rPr>
        <w:t xml:space="preserve"> 8 до 11 от Конвен</w:t>
      </w:r>
      <w:r w:rsidR="00501F16">
        <w:rPr>
          <w:lang w:val="bg-BG"/>
        </w:rPr>
        <w:t xml:space="preserve">цията, </w:t>
      </w:r>
      <w:r w:rsidR="005E517B">
        <w:rPr>
          <w:lang w:val="bg-BG"/>
        </w:rPr>
        <w:lastRenderedPageBreak/>
        <w:t>Д</w:t>
      </w:r>
      <w:r w:rsidR="00501F16">
        <w:rPr>
          <w:lang w:val="bg-BG"/>
        </w:rPr>
        <w:t>оговарящите страни</w:t>
      </w:r>
      <w:r w:rsidR="00DD39B0">
        <w:rPr>
          <w:lang w:val="bg-BG"/>
        </w:rPr>
        <w:t xml:space="preserve"> са свободни да се </w:t>
      </w:r>
      <w:r w:rsidR="005E517B">
        <w:rPr>
          <w:lang w:val="bg-BG"/>
        </w:rPr>
        <w:t xml:space="preserve">позоват </w:t>
      </w:r>
      <w:r w:rsidR="00DD39B0">
        <w:rPr>
          <w:lang w:val="bg-BG"/>
        </w:rPr>
        <w:t>на цел, която не се съдържа в списъка, за да оправдаят дадено ограничение, стига в конкретните обстоятелства по делото да се докаже, че тази цел е съвместима с принципа на върховенството на закона</w:t>
      </w:r>
      <w:r w:rsidR="00232BBD">
        <w:rPr>
          <w:lang w:val="bg-BG"/>
        </w:rPr>
        <w:t xml:space="preserve"> и с общите</w:t>
      </w:r>
      <w:r w:rsidR="00DD39B0">
        <w:rPr>
          <w:lang w:val="bg-BG"/>
        </w:rPr>
        <w:t xml:space="preserve"> цели на Конвенцията.   </w:t>
      </w:r>
      <w:r w:rsidR="00DD39B0" w:rsidRPr="00945ED6">
        <w:rPr>
          <w:lang w:val="bg-BG"/>
        </w:rPr>
        <w:t xml:space="preserve"> </w:t>
      </w:r>
      <w:r w:rsidR="00DD39B0">
        <w:rPr>
          <w:lang w:val="bg-BG"/>
        </w:rPr>
        <w:t xml:space="preserve"> </w:t>
      </w:r>
      <w:r w:rsidR="00E22DD5">
        <w:rPr>
          <w:lang w:val="en-GB"/>
        </w:rPr>
        <w:t>  </w:t>
      </w:r>
    </w:p>
    <w:p w:rsidR="00232BBD" w:rsidRPr="00945ED6" w:rsidRDefault="00232BBD" w:rsidP="00B8206D">
      <w:pPr>
        <w:pStyle w:val="JuPara"/>
        <w:rPr>
          <w:lang w:val="bg-BG"/>
        </w:rPr>
      </w:pPr>
      <w:r w:rsidRPr="00945ED6">
        <w:rPr>
          <w:lang w:val="bg-BG"/>
        </w:rPr>
        <w:t xml:space="preserve"> </w:t>
      </w:r>
      <w:r w:rsidR="00E22DD5" w:rsidRPr="00945ED6">
        <w:rPr>
          <w:lang w:val="bg-BG"/>
        </w:rPr>
        <w:t>(</w:t>
      </w:r>
      <w:r w:rsidR="00501F16">
        <w:rPr>
          <w:lang w:val="bg-BG"/>
        </w:rPr>
        <w:t>в</w:t>
      </w:r>
      <w:r w:rsidR="00E22DD5" w:rsidRPr="00945ED6">
        <w:rPr>
          <w:lang w:val="bg-BG"/>
        </w:rPr>
        <w:t>)</w:t>
      </w:r>
      <w:r>
        <w:rPr>
          <w:lang w:val="bg-BG"/>
        </w:rPr>
        <w:t xml:space="preserve"> Идеята за „имплицитните ограничения“ по </w:t>
      </w:r>
      <w:r w:rsidRPr="00945ED6">
        <w:rPr>
          <w:lang w:val="bg-BG"/>
        </w:rPr>
        <w:t>чл</w:t>
      </w:r>
      <w:r w:rsidR="005E517B">
        <w:rPr>
          <w:lang w:val="bg-BG"/>
        </w:rPr>
        <w:t>ен</w:t>
      </w:r>
      <w:r w:rsidRPr="00945ED6">
        <w:rPr>
          <w:lang w:val="bg-BG"/>
        </w:rPr>
        <w:t xml:space="preserve"> 3 от Протокол № 1</w:t>
      </w:r>
      <w:r>
        <w:rPr>
          <w:lang w:val="bg-BG"/>
        </w:rPr>
        <w:t xml:space="preserve"> означава още, че Съдът не прилага </w:t>
      </w:r>
      <w:r w:rsidRPr="00B7435B">
        <w:rPr>
          <w:lang w:val="bg-BG"/>
        </w:rPr>
        <w:t xml:space="preserve">обичайните </w:t>
      </w:r>
      <w:r w:rsidR="005E517B">
        <w:rPr>
          <w:lang w:val="bg-BG"/>
        </w:rPr>
        <w:t>методи за проверка</w:t>
      </w:r>
      <w:r w:rsidR="005E517B" w:rsidRPr="00B7435B">
        <w:rPr>
          <w:lang w:val="bg-BG"/>
        </w:rPr>
        <w:t xml:space="preserve"> </w:t>
      </w:r>
      <w:r w:rsidRPr="00B7435B">
        <w:rPr>
          <w:lang w:val="bg-BG"/>
        </w:rPr>
        <w:t>за</w:t>
      </w:r>
      <w:r>
        <w:rPr>
          <w:lang w:val="bg-BG"/>
        </w:rPr>
        <w:t xml:space="preserve"> „необходимост“ или „належаща обществена нужда“, които се и</w:t>
      </w:r>
      <w:r w:rsidR="00501F16">
        <w:rPr>
          <w:lang w:val="bg-BG"/>
        </w:rPr>
        <w:t>зползват в контекста на чл</w:t>
      </w:r>
      <w:r w:rsidR="005E517B">
        <w:rPr>
          <w:lang w:val="bg-BG"/>
        </w:rPr>
        <w:t>ен</w:t>
      </w:r>
      <w:r w:rsidR="00501F16">
        <w:rPr>
          <w:lang w:val="bg-BG"/>
        </w:rPr>
        <w:t xml:space="preserve"> 8 – </w:t>
      </w:r>
      <w:r>
        <w:rPr>
          <w:lang w:val="bg-BG"/>
        </w:rPr>
        <w:t>11 от Конвенцията.</w:t>
      </w:r>
      <w:r w:rsidR="00FA220F">
        <w:rPr>
          <w:lang w:val="bg-BG"/>
        </w:rPr>
        <w:t xml:space="preserve"> В случай че</w:t>
      </w:r>
      <w:r w:rsidR="008B545E">
        <w:rPr>
          <w:lang w:val="bg-BG"/>
        </w:rPr>
        <w:t xml:space="preserve"> разглежда съвместимост с </w:t>
      </w:r>
      <w:r w:rsidR="008B545E" w:rsidRPr="00945ED6">
        <w:rPr>
          <w:lang w:val="bg-BG"/>
        </w:rPr>
        <w:t>чл</w:t>
      </w:r>
      <w:r w:rsidR="005E517B">
        <w:rPr>
          <w:lang w:val="bg-BG"/>
        </w:rPr>
        <w:t>ен</w:t>
      </w:r>
      <w:r w:rsidR="008B545E" w:rsidRPr="00945ED6">
        <w:rPr>
          <w:lang w:val="bg-BG"/>
        </w:rPr>
        <w:t xml:space="preserve"> 3 от Протокол № 1</w:t>
      </w:r>
      <w:r w:rsidR="008B545E">
        <w:rPr>
          <w:lang w:val="bg-BG"/>
        </w:rPr>
        <w:t>, Съдът се фокусира основно върху два к</w:t>
      </w:r>
      <w:r w:rsidR="002F3065">
        <w:rPr>
          <w:lang w:val="bg-BG"/>
        </w:rPr>
        <w:t>р</w:t>
      </w:r>
      <w:r w:rsidR="008B545E">
        <w:rPr>
          <w:lang w:val="bg-BG"/>
        </w:rPr>
        <w:t>итерия: дали е имало произв</w:t>
      </w:r>
      <w:r w:rsidR="002F3065">
        <w:rPr>
          <w:lang w:val="bg-BG"/>
        </w:rPr>
        <w:t xml:space="preserve">ол или липса на </w:t>
      </w:r>
      <w:r w:rsidR="00FC1828">
        <w:rPr>
          <w:lang w:val="bg-BG"/>
        </w:rPr>
        <w:t>пропорционалност</w:t>
      </w:r>
      <w:r w:rsidR="008B545E">
        <w:rPr>
          <w:lang w:val="bg-BG"/>
        </w:rPr>
        <w:t xml:space="preserve"> и дали ограничението се намесва в </w:t>
      </w:r>
      <w:r w:rsidR="0005263F">
        <w:rPr>
          <w:lang w:val="bg-BG"/>
        </w:rPr>
        <w:t xml:space="preserve">правото на </w:t>
      </w:r>
      <w:r w:rsidR="008B545E">
        <w:rPr>
          <w:lang w:val="bg-BG"/>
        </w:rPr>
        <w:t>свободното изразяв</w:t>
      </w:r>
      <w:r w:rsidR="0005263F">
        <w:rPr>
          <w:lang w:val="bg-BG"/>
        </w:rPr>
        <w:t>ане на мнение</w:t>
      </w:r>
      <w:r w:rsidR="008B545E">
        <w:rPr>
          <w:lang w:val="bg-BG"/>
        </w:rPr>
        <w:t>. В тази връзка винаги е била подчертавана широката свобода на преценка от стр</w:t>
      </w:r>
      <w:r w:rsidR="002F3065">
        <w:rPr>
          <w:lang w:val="bg-BG"/>
        </w:rPr>
        <w:t xml:space="preserve">ана на </w:t>
      </w:r>
      <w:r w:rsidR="005E517B">
        <w:rPr>
          <w:lang w:val="bg-BG"/>
        </w:rPr>
        <w:t>Д</w:t>
      </w:r>
      <w:r w:rsidR="002F3065">
        <w:rPr>
          <w:lang w:val="bg-BG"/>
        </w:rPr>
        <w:t>оговарящите страни</w:t>
      </w:r>
      <w:r w:rsidR="008B545E">
        <w:rPr>
          <w:lang w:val="bg-BG"/>
        </w:rPr>
        <w:t>.</w:t>
      </w:r>
      <w:r w:rsidR="001C4997">
        <w:rPr>
          <w:lang w:val="bg-BG"/>
        </w:rPr>
        <w:t xml:space="preserve"> Съдът набляга и на нуждата всяко изборно законодателство да се оценява в светлината на политическ</w:t>
      </w:r>
      <w:r w:rsidR="005E517B">
        <w:rPr>
          <w:lang w:val="bg-BG"/>
        </w:rPr>
        <w:t>ото развитие</w:t>
      </w:r>
      <w:r w:rsidR="001C4997">
        <w:rPr>
          <w:lang w:val="bg-BG"/>
        </w:rPr>
        <w:t xml:space="preserve"> на съответната страна. В резултат на това неприемливото в контекста на една система може да бъде оправдано в контекста на друга </w:t>
      </w:r>
      <w:r w:rsidR="001C4997" w:rsidRPr="00945ED6">
        <w:rPr>
          <w:lang w:val="bg-BG"/>
        </w:rPr>
        <w:t>(вж</w:t>
      </w:r>
      <w:r w:rsidR="00802253">
        <w:rPr>
          <w:lang w:val="bg-BG"/>
        </w:rPr>
        <w:t>.</w:t>
      </w:r>
      <w:r w:rsidR="001C4997" w:rsidRPr="00945ED6">
        <w:rPr>
          <w:lang w:val="bg-BG"/>
        </w:rPr>
        <w:t xml:space="preserve"> </w:t>
      </w:r>
      <w:r w:rsidR="001C4997" w:rsidRPr="001C4997">
        <w:rPr>
          <w:lang w:val="bg-BG"/>
        </w:rPr>
        <w:t>наред с всичко друго</w:t>
      </w:r>
      <w:r w:rsidR="001C4997" w:rsidRPr="00945ED6">
        <w:rPr>
          <w:lang w:val="bg-BG"/>
        </w:rPr>
        <w:t xml:space="preserve">, </w:t>
      </w:r>
      <w:r w:rsidR="001C4997" w:rsidRPr="00BB4F95">
        <w:rPr>
          <w:i/>
          <w:lang w:val="en-GB"/>
        </w:rPr>
        <w:t>Mathieu</w:t>
      </w:r>
      <w:r w:rsidR="001C4997" w:rsidRPr="00945ED6">
        <w:rPr>
          <w:i/>
          <w:lang w:val="bg-BG"/>
        </w:rPr>
        <w:t>-</w:t>
      </w:r>
      <w:r w:rsidR="001C4997" w:rsidRPr="00BB4F95">
        <w:rPr>
          <w:i/>
          <w:lang w:val="en-GB"/>
        </w:rPr>
        <w:t>Mohin</w:t>
      </w:r>
      <w:r w:rsidR="001C4997" w:rsidRPr="00945ED6">
        <w:rPr>
          <w:i/>
          <w:lang w:val="bg-BG"/>
        </w:rPr>
        <w:t xml:space="preserve"> </w:t>
      </w:r>
      <w:r w:rsidR="001C4997">
        <w:rPr>
          <w:i/>
          <w:lang w:val="en-GB"/>
        </w:rPr>
        <w:t>and</w:t>
      </w:r>
      <w:r w:rsidR="001C4997" w:rsidRPr="00945ED6">
        <w:rPr>
          <w:i/>
          <w:lang w:val="bg-BG"/>
        </w:rPr>
        <w:t xml:space="preserve"> </w:t>
      </w:r>
      <w:r w:rsidR="001C4997">
        <w:rPr>
          <w:i/>
          <w:lang w:val="en-GB"/>
        </w:rPr>
        <w:t>Clerfayt</w:t>
      </w:r>
      <w:r w:rsidR="001C4997" w:rsidRPr="00945ED6">
        <w:rPr>
          <w:lang w:val="bg-BG"/>
        </w:rPr>
        <w:t xml:space="preserve"> и </w:t>
      </w:r>
      <w:r w:rsidR="001C4997" w:rsidRPr="00BB4F95">
        <w:rPr>
          <w:i/>
          <w:lang w:val="en-GB"/>
        </w:rPr>
        <w:t>Podkolzina</w:t>
      </w:r>
      <w:r w:rsidR="001C4997" w:rsidRPr="00945ED6">
        <w:rPr>
          <w:lang w:val="bg-BG"/>
        </w:rPr>
        <w:t>, и двете цитирани по-горе).</w:t>
      </w:r>
      <w:r w:rsidR="001C4997">
        <w:rPr>
          <w:lang w:val="bg-BG"/>
        </w:rPr>
        <w:t xml:space="preserve"> </w:t>
      </w:r>
      <w:r w:rsidR="008B545E">
        <w:rPr>
          <w:lang w:val="bg-BG"/>
        </w:rPr>
        <w:t xml:space="preserve"> </w:t>
      </w:r>
      <w:r w:rsidRPr="00945ED6">
        <w:rPr>
          <w:lang w:val="bg-BG"/>
        </w:rPr>
        <w:t xml:space="preserve"> </w:t>
      </w:r>
      <w:r>
        <w:rPr>
          <w:lang w:val="bg-BG"/>
        </w:rPr>
        <w:t xml:space="preserve"> </w:t>
      </w:r>
      <w:r w:rsidR="00E22DD5">
        <w:rPr>
          <w:lang w:val="en-GB"/>
        </w:rPr>
        <w:t>  </w:t>
      </w:r>
    </w:p>
    <w:p w:rsidR="001C4997" w:rsidRPr="00945ED6" w:rsidRDefault="001C4997" w:rsidP="00B8206D">
      <w:pPr>
        <w:pStyle w:val="JuPara"/>
        <w:rPr>
          <w:lang w:val="bg-BG"/>
        </w:rPr>
      </w:pPr>
      <w:r w:rsidRPr="00945ED6">
        <w:rPr>
          <w:lang w:val="bg-BG"/>
        </w:rPr>
        <w:t xml:space="preserve"> </w:t>
      </w:r>
      <w:r w:rsidR="00056651" w:rsidRPr="00945ED6">
        <w:rPr>
          <w:lang w:val="bg-BG"/>
        </w:rPr>
        <w:t>(</w:t>
      </w:r>
      <w:r w:rsidR="002C7FA6">
        <w:rPr>
          <w:lang w:val="bg-BG"/>
        </w:rPr>
        <w:t>г</w:t>
      </w:r>
      <w:r w:rsidR="001056E9" w:rsidRPr="00945ED6">
        <w:rPr>
          <w:lang w:val="bg-BG"/>
        </w:rPr>
        <w:t>)</w:t>
      </w:r>
      <w:r>
        <w:rPr>
          <w:lang w:val="bg-BG"/>
        </w:rPr>
        <w:t xml:space="preserve"> Необходимостта от индивидуализация на определена законодателна мярка, за която определено лице твърди, че </w:t>
      </w:r>
      <w:r w:rsidR="00802253">
        <w:rPr>
          <w:lang w:val="bg-BG"/>
        </w:rPr>
        <w:t>е</w:t>
      </w:r>
      <w:r>
        <w:rPr>
          <w:lang w:val="bg-BG"/>
        </w:rPr>
        <w:t xml:space="preserve"> в нарушение </w:t>
      </w:r>
      <w:r w:rsidR="00802253">
        <w:rPr>
          <w:lang w:val="bg-BG"/>
        </w:rPr>
        <w:t xml:space="preserve">на </w:t>
      </w:r>
      <w:r>
        <w:rPr>
          <w:lang w:val="bg-BG"/>
        </w:rPr>
        <w:t>Конвенцията, както и степ</w:t>
      </w:r>
      <w:r w:rsidR="00FA220F">
        <w:rPr>
          <w:lang w:val="bg-BG"/>
        </w:rPr>
        <w:t>ента на индивидуализация, ако</w:t>
      </w:r>
      <w:r>
        <w:rPr>
          <w:lang w:val="bg-BG"/>
        </w:rPr>
        <w:t xml:space="preserve"> такава се налага от Конвенцията, зависят от обстоятелствата по всеки </w:t>
      </w:r>
      <w:r w:rsidR="005F4B2D">
        <w:rPr>
          <w:lang w:val="bg-BG"/>
        </w:rPr>
        <w:t xml:space="preserve">конкретен случай, а именно естеството, вида, продължителността и последствията от оспорваното законово ограничение. За да бъде една ограничителна мярка съвместима с </w:t>
      </w:r>
      <w:r w:rsidR="005F4B2D" w:rsidRPr="00945ED6">
        <w:rPr>
          <w:lang w:val="bg-BG"/>
        </w:rPr>
        <w:t>чл</w:t>
      </w:r>
      <w:r w:rsidR="00957900">
        <w:rPr>
          <w:lang w:val="bg-BG"/>
        </w:rPr>
        <w:t>ен</w:t>
      </w:r>
      <w:r w:rsidR="005F4B2D" w:rsidRPr="00945ED6">
        <w:rPr>
          <w:lang w:val="bg-BG"/>
        </w:rPr>
        <w:t xml:space="preserve"> 3 от Протокол № 1</w:t>
      </w:r>
      <w:r w:rsidR="005F4B2D">
        <w:rPr>
          <w:lang w:val="bg-BG"/>
        </w:rPr>
        <w:t>, може да е достатъчна по-малка степен на индивидуализация в сравнение със ситу</w:t>
      </w:r>
      <w:r w:rsidR="00267C0D">
        <w:rPr>
          <w:lang w:val="bg-BG"/>
        </w:rPr>
        <w:t>ациите, свързани с твърдяни</w:t>
      </w:r>
      <w:r w:rsidR="0005263F">
        <w:rPr>
          <w:lang w:val="bg-BG"/>
        </w:rPr>
        <w:t xml:space="preserve"> нарушения по</w:t>
      </w:r>
      <w:r w:rsidR="005F4B2D">
        <w:rPr>
          <w:lang w:val="bg-BG"/>
        </w:rPr>
        <w:t xml:space="preserve"> чл</w:t>
      </w:r>
      <w:r w:rsidR="00957900">
        <w:rPr>
          <w:lang w:val="bg-BG"/>
        </w:rPr>
        <w:t>ен</w:t>
      </w:r>
      <w:r w:rsidR="005F4B2D">
        <w:rPr>
          <w:lang w:val="bg-BG"/>
        </w:rPr>
        <w:t xml:space="preserve"> 8 до 11 от Конвенцията. </w:t>
      </w:r>
      <w:r w:rsidR="001056E9">
        <w:rPr>
          <w:lang w:val="en-GB"/>
        </w:rPr>
        <w:t>  </w:t>
      </w:r>
    </w:p>
    <w:p w:rsidR="005A5ED0" w:rsidRPr="00945ED6" w:rsidRDefault="005F4B2D" w:rsidP="00175C05">
      <w:pPr>
        <w:pStyle w:val="JuPara"/>
        <w:rPr>
          <w:lang w:val="bg-BG"/>
        </w:rPr>
      </w:pPr>
      <w:r w:rsidRPr="00945ED6">
        <w:rPr>
          <w:lang w:val="bg-BG"/>
        </w:rPr>
        <w:t xml:space="preserve"> </w:t>
      </w:r>
      <w:r w:rsidR="007C5018" w:rsidRPr="00126EB2">
        <w:rPr>
          <w:lang w:val="bg-BG"/>
        </w:rPr>
        <w:t>(</w:t>
      </w:r>
      <w:r w:rsidR="00B75901">
        <w:rPr>
          <w:lang w:val="bg-BG"/>
        </w:rPr>
        <w:t>д</w:t>
      </w:r>
      <w:r w:rsidR="001056E9" w:rsidRPr="00126EB2">
        <w:rPr>
          <w:lang w:val="bg-BG"/>
        </w:rPr>
        <w:t>)</w:t>
      </w:r>
      <w:r w:rsidRPr="00126EB2">
        <w:rPr>
          <w:lang w:val="bg-BG"/>
        </w:rPr>
        <w:t xml:space="preserve"> </w:t>
      </w:r>
      <w:r w:rsidR="00CB5D81">
        <w:rPr>
          <w:lang w:val="bg-BG"/>
        </w:rPr>
        <w:t>Относно</w:t>
      </w:r>
      <w:r w:rsidR="0005263F">
        <w:rPr>
          <w:lang w:val="bg-BG"/>
        </w:rPr>
        <w:t xml:space="preserve"> правото на лицата</w:t>
      </w:r>
      <w:r>
        <w:rPr>
          <w:lang w:val="bg-BG"/>
        </w:rPr>
        <w:t xml:space="preserve"> да се кандидатира на избори, т.нар. „пасивен“ аспект на гарантираните по </w:t>
      </w:r>
      <w:r w:rsidRPr="00126EB2">
        <w:rPr>
          <w:lang w:val="bg-BG"/>
        </w:rPr>
        <w:t>чл</w:t>
      </w:r>
      <w:r w:rsidR="00957900">
        <w:rPr>
          <w:lang w:val="bg-BG"/>
        </w:rPr>
        <w:t>ен</w:t>
      </w:r>
      <w:r w:rsidRPr="00126EB2">
        <w:rPr>
          <w:lang w:val="bg-BG"/>
        </w:rPr>
        <w:t xml:space="preserve"> 3 от Протокол № 1</w:t>
      </w:r>
      <w:r>
        <w:rPr>
          <w:lang w:val="bg-BG"/>
        </w:rPr>
        <w:t xml:space="preserve"> права, Съдът е още по-внимателен в оценката с</w:t>
      </w:r>
      <w:r w:rsidR="0005263F">
        <w:rPr>
          <w:lang w:val="bg-BG"/>
        </w:rPr>
        <w:t>и на ограниченията</w:t>
      </w:r>
      <w:r>
        <w:rPr>
          <w:lang w:val="bg-BG"/>
        </w:rPr>
        <w:t xml:space="preserve">, отколкото в случаите, в които </w:t>
      </w:r>
      <w:r w:rsidR="00A723D4">
        <w:rPr>
          <w:lang w:val="bg-BG"/>
        </w:rPr>
        <w:t>е призован да разглежда ограничения върху правото на глас, т.</w:t>
      </w:r>
      <w:r w:rsidR="00B75901">
        <w:rPr>
          <w:lang w:val="bg-BG"/>
        </w:rPr>
        <w:t xml:space="preserve"> </w:t>
      </w:r>
      <w:r w:rsidR="00A723D4">
        <w:rPr>
          <w:lang w:val="bg-BG"/>
        </w:rPr>
        <w:t xml:space="preserve">нар. „активен“ елемент на правата по </w:t>
      </w:r>
      <w:r w:rsidR="00A723D4" w:rsidRPr="00126EB2">
        <w:rPr>
          <w:lang w:val="bg-BG"/>
        </w:rPr>
        <w:t>чл</w:t>
      </w:r>
      <w:r w:rsidR="00957900">
        <w:rPr>
          <w:lang w:val="bg-BG"/>
        </w:rPr>
        <w:t>ен</w:t>
      </w:r>
      <w:r w:rsidR="00A723D4" w:rsidRPr="00126EB2">
        <w:rPr>
          <w:lang w:val="bg-BG"/>
        </w:rPr>
        <w:t xml:space="preserve"> 3 от Протокол № 1</w:t>
      </w:r>
      <w:r w:rsidR="00A723D4">
        <w:rPr>
          <w:lang w:val="bg-BG"/>
        </w:rPr>
        <w:t xml:space="preserve">. По делото </w:t>
      </w:r>
      <w:r w:rsidR="00A723D4" w:rsidRPr="00BB4F95">
        <w:rPr>
          <w:i/>
          <w:lang w:val="en-GB"/>
        </w:rPr>
        <w:t>Melnychenko</w:t>
      </w:r>
      <w:r w:rsidR="00A723D4" w:rsidRPr="00945ED6">
        <w:rPr>
          <w:lang w:val="bg-BG"/>
        </w:rPr>
        <w:t xml:space="preserve"> (цитирано по-горе, § 57)</w:t>
      </w:r>
      <w:r w:rsidR="00B75901">
        <w:rPr>
          <w:lang w:val="bg-BG"/>
        </w:rPr>
        <w:t>,</w:t>
      </w:r>
      <w:r w:rsidR="00A723D4">
        <w:rPr>
          <w:lang w:val="bg-BG"/>
        </w:rPr>
        <w:t xml:space="preserve"> Съдът отбелязва, че по-стриктни изисквания могат да се налагат по отношение на възможността човек да</w:t>
      </w:r>
      <w:r w:rsidR="00B75901">
        <w:rPr>
          <w:lang w:val="bg-BG"/>
        </w:rPr>
        <w:t xml:space="preserve"> се кандидатира на избори за парламента</w:t>
      </w:r>
      <w:r w:rsidR="00A723D4">
        <w:rPr>
          <w:lang w:val="bg-BG"/>
        </w:rPr>
        <w:t xml:space="preserve">, отколкото по отношение на възможността да гласува. Фактически, докато </w:t>
      </w:r>
      <w:r w:rsidR="00957900">
        <w:rPr>
          <w:lang w:val="bg-BG"/>
        </w:rPr>
        <w:t xml:space="preserve">проверката </w:t>
      </w:r>
      <w:r w:rsidR="00A723D4" w:rsidRPr="0005263F">
        <w:rPr>
          <w:lang w:val="bg-BG"/>
        </w:rPr>
        <w:t xml:space="preserve">във връзка с „активния“ аспект на </w:t>
      </w:r>
      <w:r w:rsidR="00A723D4" w:rsidRPr="00945ED6">
        <w:rPr>
          <w:lang w:val="bg-BG"/>
        </w:rPr>
        <w:t>чл</w:t>
      </w:r>
      <w:r w:rsidR="00957900">
        <w:rPr>
          <w:lang w:val="bg-BG"/>
        </w:rPr>
        <w:t>ен</w:t>
      </w:r>
      <w:r w:rsidR="00A723D4" w:rsidRPr="00945ED6">
        <w:rPr>
          <w:lang w:val="bg-BG"/>
        </w:rPr>
        <w:t xml:space="preserve"> 3 от Протокол № 1</w:t>
      </w:r>
      <w:r w:rsidR="00A723D4">
        <w:rPr>
          <w:lang w:val="bg-BG"/>
        </w:rPr>
        <w:t xml:space="preserve"> обикновено включва по-шир</w:t>
      </w:r>
      <w:r w:rsidR="00B75901">
        <w:rPr>
          <w:lang w:val="bg-BG"/>
        </w:rPr>
        <w:t xml:space="preserve">ока оценка на </w:t>
      </w:r>
      <w:r w:rsidR="00FC1828">
        <w:rPr>
          <w:lang w:val="bg-BG"/>
        </w:rPr>
        <w:t xml:space="preserve">пропорционалността </w:t>
      </w:r>
      <w:r w:rsidR="00167AE8">
        <w:rPr>
          <w:lang w:val="bg-BG"/>
        </w:rPr>
        <w:t>на законовите изисквания</w:t>
      </w:r>
      <w:r w:rsidR="00A723D4">
        <w:rPr>
          <w:lang w:val="bg-BG"/>
        </w:rPr>
        <w:t>, които лишават лице или определена група лица от право на глас</w:t>
      </w:r>
      <w:r w:rsidR="00A723D4" w:rsidRPr="00B7435B">
        <w:rPr>
          <w:lang w:val="bg-BG"/>
        </w:rPr>
        <w:t xml:space="preserve">, </w:t>
      </w:r>
      <w:r w:rsidR="008C1569">
        <w:rPr>
          <w:lang w:val="bg-BG"/>
        </w:rPr>
        <w:t>проверката</w:t>
      </w:r>
      <w:r w:rsidR="008C1569" w:rsidRPr="00B7435B">
        <w:rPr>
          <w:lang w:val="bg-BG"/>
        </w:rPr>
        <w:t xml:space="preserve"> </w:t>
      </w:r>
      <w:r w:rsidR="00A723D4" w:rsidRPr="00B7435B">
        <w:rPr>
          <w:lang w:val="bg-BG"/>
        </w:rPr>
        <w:t>на</w:t>
      </w:r>
      <w:r w:rsidR="00A723D4">
        <w:rPr>
          <w:lang w:val="bg-BG"/>
        </w:rPr>
        <w:t xml:space="preserve"> Съда във връзка с „пасивния“ аспект на гореспоменатата разпоредба до голяма степен се ограничава до проверка относно ли</w:t>
      </w:r>
      <w:r w:rsidR="00D116BF">
        <w:rPr>
          <w:lang w:val="bg-BG"/>
        </w:rPr>
        <w:t>псата на произвол в извършените в Латвия</w:t>
      </w:r>
      <w:r w:rsidR="00A723D4">
        <w:rPr>
          <w:lang w:val="bg-BG"/>
        </w:rPr>
        <w:t xml:space="preserve"> </w:t>
      </w:r>
      <w:r w:rsidR="00A723D4">
        <w:rPr>
          <w:lang w:val="bg-BG"/>
        </w:rPr>
        <w:lastRenderedPageBreak/>
        <w:t>процедури</w:t>
      </w:r>
      <w:r w:rsidR="00175C05">
        <w:rPr>
          <w:lang w:val="bg-BG"/>
        </w:rPr>
        <w:t>, довели до забраната на лицето да се кандидатира (вж</w:t>
      </w:r>
      <w:r w:rsidR="00EE43D6">
        <w:rPr>
          <w:lang w:val="bg-BG"/>
        </w:rPr>
        <w:t>.</w:t>
      </w:r>
      <w:r w:rsidR="00175C05">
        <w:rPr>
          <w:lang w:val="bg-BG"/>
        </w:rPr>
        <w:t xml:space="preserve"> по-конкретно параграфи </w:t>
      </w:r>
      <w:r w:rsidR="00175C05" w:rsidRPr="00945ED6">
        <w:rPr>
          <w:lang w:val="bg-BG"/>
        </w:rPr>
        <w:t>106</w:t>
      </w:r>
      <w:r w:rsidR="00175C05" w:rsidRPr="00945ED6">
        <w:rPr>
          <w:lang w:val="bg-BG"/>
        </w:rPr>
        <w:noBreakHyphen/>
      </w:r>
      <w:r w:rsidR="00B75901">
        <w:rPr>
          <w:lang w:val="bg-BG"/>
        </w:rPr>
        <w:t>1</w:t>
      </w:r>
      <w:r w:rsidR="00175C05" w:rsidRPr="00945ED6">
        <w:rPr>
          <w:lang w:val="bg-BG"/>
        </w:rPr>
        <w:t>08 по-горе).</w:t>
      </w:r>
      <w:r w:rsidR="00175C05">
        <w:rPr>
          <w:lang w:val="bg-BG"/>
        </w:rPr>
        <w:t xml:space="preserve">  </w:t>
      </w:r>
      <w:r w:rsidR="00A723D4">
        <w:rPr>
          <w:lang w:val="bg-BG"/>
        </w:rPr>
        <w:t xml:space="preserve">      </w:t>
      </w:r>
      <w:r>
        <w:rPr>
          <w:lang w:val="bg-BG"/>
        </w:rPr>
        <w:t xml:space="preserve"> </w:t>
      </w:r>
      <w:r w:rsidR="001056E9">
        <w:rPr>
          <w:lang w:val="en-GB"/>
        </w:rPr>
        <w:t>  </w:t>
      </w:r>
    </w:p>
    <w:p w:rsidR="00741FDE" w:rsidRPr="00945ED6" w:rsidRDefault="00741FDE" w:rsidP="00741FDE">
      <w:pPr>
        <w:pStyle w:val="JuH1"/>
        <w:rPr>
          <w:lang w:val="bg-BG"/>
        </w:rPr>
      </w:pPr>
      <w:r w:rsidRPr="00945ED6">
        <w:rPr>
          <w:lang w:val="bg-BG"/>
        </w:rPr>
        <w:t>3.</w:t>
      </w:r>
      <w:r w:rsidRPr="00E17978">
        <w:t> </w:t>
      </w:r>
      <w:r w:rsidR="005A5ED0">
        <w:t> </w:t>
      </w:r>
      <w:r w:rsidR="00175C05">
        <w:rPr>
          <w:lang w:val="bg-BG"/>
        </w:rPr>
        <w:t xml:space="preserve">Приложение на </w:t>
      </w:r>
      <w:r w:rsidR="00B77121">
        <w:rPr>
          <w:lang w:val="bg-BG"/>
        </w:rPr>
        <w:t>тези принципи в настоящото дело</w:t>
      </w:r>
      <w:r w:rsidR="00175C05">
        <w:rPr>
          <w:lang w:val="bg-BG"/>
        </w:rPr>
        <w:t xml:space="preserve"> </w:t>
      </w:r>
    </w:p>
    <w:p w:rsidR="00B77121" w:rsidRPr="00126EB2" w:rsidRDefault="005D3E62" w:rsidP="00B8206D">
      <w:pPr>
        <w:pStyle w:val="JuPara"/>
        <w:rPr>
          <w:lang w:val="bg-BG"/>
        </w:rPr>
      </w:pPr>
      <w:r w:rsidRPr="00E17978">
        <w:fldChar w:fldCharType="begin"/>
      </w:r>
      <w:r w:rsidR="00107A1A" w:rsidRPr="00126EB2">
        <w:rPr>
          <w:lang w:val="bg-BG"/>
        </w:rPr>
        <w:instrText xml:space="preserve"> </w:instrText>
      </w:r>
      <w:r w:rsidR="00107A1A" w:rsidRPr="00BB4F95">
        <w:rPr>
          <w:lang w:val="en-GB"/>
        </w:rPr>
        <w:instrText>SEQ</w:instrText>
      </w:r>
      <w:r w:rsidR="00107A1A" w:rsidRPr="00126EB2">
        <w:rPr>
          <w:lang w:val="bg-BG"/>
        </w:rPr>
        <w:instrText xml:space="preserve"> </w:instrText>
      </w:r>
      <w:r w:rsidR="00107A1A" w:rsidRPr="00BB4F95">
        <w:rPr>
          <w:lang w:val="en-GB"/>
        </w:rPr>
        <w:instrText>level</w:instrText>
      </w:r>
      <w:r w:rsidR="00107A1A" w:rsidRPr="00126EB2">
        <w:rPr>
          <w:lang w:val="bg-BG"/>
        </w:rPr>
        <w:instrText>0 \*</w:instrText>
      </w:r>
      <w:r w:rsidR="00107A1A" w:rsidRPr="00BB4F95">
        <w:rPr>
          <w:lang w:val="en-GB"/>
        </w:rPr>
        <w:instrText>arabic</w:instrText>
      </w:r>
      <w:r w:rsidR="00107A1A" w:rsidRPr="00126EB2">
        <w:rPr>
          <w:lang w:val="bg-BG"/>
        </w:rPr>
        <w:instrText xml:space="preserve"> </w:instrText>
      </w:r>
      <w:r w:rsidRPr="00E17978">
        <w:fldChar w:fldCharType="separate"/>
      </w:r>
      <w:r w:rsidR="00955550" w:rsidRPr="00126EB2">
        <w:rPr>
          <w:noProof/>
          <w:lang w:val="bg-BG"/>
        </w:rPr>
        <w:t>116</w:t>
      </w:r>
      <w:r w:rsidRPr="00E17978">
        <w:fldChar w:fldCharType="end"/>
      </w:r>
      <w:r w:rsidR="00107A1A" w:rsidRPr="00126EB2">
        <w:rPr>
          <w:lang w:val="bg-BG"/>
        </w:rPr>
        <w:t>.</w:t>
      </w:r>
      <w:r w:rsidR="00B77121">
        <w:rPr>
          <w:lang w:val="bg-BG"/>
        </w:rPr>
        <w:t xml:space="preserve"> </w:t>
      </w:r>
      <w:r w:rsidR="00EE43D6">
        <w:rPr>
          <w:lang w:val="bg-BG"/>
        </w:rPr>
        <w:t>Като се о</w:t>
      </w:r>
      <w:r w:rsidR="00B77121">
        <w:rPr>
          <w:lang w:val="bg-BG"/>
        </w:rPr>
        <w:t xml:space="preserve">бръща към обстоятелствата по настоящото дело, Съдът отбелязва, че </w:t>
      </w:r>
      <w:r w:rsidR="00354C6E">
        <w:rPr>
          <w:lang w:val="bg-BG"/>
        </w:rPr>
        <w:t>жалбоподателката</w:t>
      </w:r>
      <w:r w:rsidR="0005263F">
        <w:rPr>
          <w:lang w:val="bg-BG"/>
        </w:rPr>
        <w:t xml:space="preserve"> твърди </w:t>
      </w:r>
      <w:r w:rsidR="0057207A">
        <w:rPr>
          <w:lang w:val="bg-BG"/>
        </w:rPr>
        <w:t xml:space="preserve">за </w:t>
      </w:r>
      <w:r w:rsidR="0005263F">
        <w:rPr>
          <w:lang w:val="bg-BG"/>
        </w:rPr>
        <w:t>наличие на нарушение по</w:t>
      </w:r>
      <w:r w:rsidR="00B77121">
        <w:rPr>
          <w:lang w:val="bg-BG"/>
        </w:rPr>
        <w:t xml:space="preserve"> </w:t>
      </w:r>
      <w:r w:rsidR="00B77121" w:rsidRPr="00126EB2">
        <w:rPr>
          <w:lang w:val="bg-BG"/>
        </w:rPr>
        <w:t>чл</w:t>
      </w:r>
      <w:r w:rsidR="00EE43D6">
        <w:rPr>
          <w:lang w:val="bg-BG"/>
        </w:rPr>
        <w:t>ен</w:t>
      </w:r>
      <w:r w:rsidR="00B77121" w:rsidRPr="00126EB2">
        <w:rPr>
          <w:lang w:val="bg-BG"/>
        </w:rPr>
        <w:t xml:space="preserve"> 3 от Протокол № 1</w:t>
      </w:r>
      <w:r w:rsidR="0005263F">
        <w:rPr>
          <w:lang w:val="bg-BG"/>
        </w:rPr>
        <w:t xml:space="preserve"> с оглед на недопускането ѝ</w:t>
      </w:r>
      <w:r w:rsidR="00B77121">
        <w:rPr>
          <w:lang w:val="bg-BG"/>
        </w:rPr>
        <w:t xml:space="preserve"> да се кандидатира за член на латви</w:t>
      </w:r>
      <w:r w:rsidR="00652202">
        <w:rPr>
          <w:lang w:val="bg-BG"/>
        </w:rPr>
        <w:t>йския парламент съгласно</w:t>
      </w:r>
      <w:r w:rsidR="00B77121">
        <w:rPr>
          <w:lang w:val="bg-BG"/>
        </w:rPr>
        <w:t xml:space="preserve"> </w:t>
      </w:r>
      <w:r w:rsidR="00EE43D6">
        <w:rPr>
          <w:lang w:val="bg-BG"/>
        </w:rPr>
        <w:t>раздел</w:t>
      </w:r>
      <w:r w:rsidR="00B77121">
        <w:rPr>
          <w:lang w:val="bg-BG"/>
        </w:rPr>
        <w:t xml:space="preserve"> 5(6) от Закон</w:t>
      </w:r>
      <w:r w:rsidR="003F7CBC">
        <w:rPr>
          <w:lang w:val="bg-BG"/>
        </w:rPr>
        <w:t>а</w:t>
      </w:r>
      <w:r w:rsidR="00B77121">
        <w:rPr>
          <w:lang w:val="bg-BG"/>
        </w:rPr>
        <w:t xml:space="preserve"> за парламентарните избори</w:t>
      </w:r>
      <w:r w:rsidR="003F7CBC">
        <w:rPr>
          <w:lang w:val="bg-BG"/>
        </w:rPr>
        <w:t xml:space="preserve"> от 1995 г.</w:t>
      </w:r>
      <w:r w:rsidR="00B77121">
        <w:rPr>
          <w:lang w:val="bg-BG"/>
        </w:rPr>
        <w:t>, на основание, че е „участвал</w:t>
      </w:r>
      <w:r w:rsidR="0005263F">
        <w:rPr>
          <w:lang w:val="bg-BG"/>
        </w:rPr>
        <w:t>а</w:t>
      </w:r>
      <w:r w:rsidR="00B77121">
        <w:rPr>
          <w:lang w:val="bg-BG"/>
        </w:rPr>
        <w:t xml:space="preserve"> активно“ в дейността на КПСС (ЛКП) след 13 януари 1991 г.  </w:t>
      </w:r>
      <w:r w:rsidR="00B77121" w:rsidRPr="00126EB2">
        <w:rPr>
          <w:lang w:val="bg-BG"/>
        </w:rPr>
        <w:t xml:space="preserve"> </w:t>
      </w:r>
      <w:r w:rsidR="00B77121">
        <w:rPr>
          <w:lang w:val="bg-BG"/>
        </w:rPr>
        <w:t xml:space="preserve"> </w:t>
      </w:r>
      <w:r w:rsidR="00107A1A" w:rsidRPr="00BB4F95">
        <w:rPr>
          <w:lang w:val="en-GB"/>
        </w:rPr>
        <w:t>  </w:t>
      </w:r>
    </w:p>
    <w:p w:rsidR="005A5ED0" w:rsidRPr="00945ED6" w:rsidRDefault="005D3E62" w:rsidP="000546F1">
      <w:pPr>
        <w:pStyle w:val="JuPara"/>
        <w:rPr>
          <w:lang w:val="bg-BG"/>
        </w:rPr>
      </w:pPr>
      <w:r w:rsidRPr="00E17978">
        <w:fldChar w:fldCharType="begin"/>
      </w:r>
      <w:r w:rsidR="0009396C" w:rsidRPr="00126EB2">
        <w:rPr>
          <w:lang w:val="bg-BG"/>
        </w:rPr>
        <w:instrText xml:space="preserve"> </w:instrText>
      </w:r>
      <w:r w:rsidR="0009396C" w:rsidRPr="00BB4F95">
        <w:rPr>
          <w:lang w:val="en-GB"/>
        </w:rPr>
        <w:instrText>SEQ</w:instrText>
      </w:r>
      <w:r w:rsidR="0009396C" w:rsidRPr="00126EB2">
        <w:rPr>
          <w:lang w:val="bg-BG"/>
        </w:rPr>
        <w:instrText xml:space="preserve"> </w:instrText>
      </w:r>
      <w:r w:rsidR="0009396C" w:rsidRPr="00BB4F95">
        <w:rPr>
          <w:lang w:val="en-GB"/>
        </w:rPr>
        <w:instrText>level</w:instrText>
      </w:r>
      <w:r w:rsidR="0009396C" w:rsidRPr="00126EB2">
        <w:rPr>
          <w:lang w:val="bg-BG"/>
        </w:rPr>
        <w:instrText>0 \*</w:instrText>
      </w:r>
      <w:r w:rsidR="0009396C" w:rsidRPr="00BB4F95">
        <w:rPr>
          <w:lang w:val="en-GB"/>
        </w:rPr>
        <w:instrText>arabic</w:instrText>
      </w:r>
      <w:r w:rsidR="0009396C" w:rsidRPr="00126EB2">
        <w:rPr>
          <w:lang w:val="bg-BG"/>
        </w:rPr>
        <w:instrText xml:space="preserve"> </w:instrText>
      </w:r>
      <w:r w:rsidRPr="00E17978">
        <w:fldChar w:fldCharType="separate"/>
      </w:r>
      <w:r w:rsidR="00955550" w:rsidRPr="00126EB2">
        <w:rPr>
          <w:noProof/>
          <w:lang w:val="bg-BG"/>
        </w:rPr>
        <w:t>117</w:t>
      </w:r>
      <w:r w:rsidRPr="00E17978">
        <w:fldChar w:fldCharType="end"/>
      </w:r>
      <w:r w:rsidR="0009396C" w:rsidRPr="00126EB2">
        <w:rPr>
          <w:lang w:val="bg-BG"/>
        </w:rPr>
        <w:t>.</w:t>
      </w:r>
      <w:r w:rsidR="0005263F">
        <w:rPr>
          <w:lang w:val="bg-BG"/>
        </w:rPr>
        <w:t xml:space="preserve"> </w:t>
      </w:r>
      <w:r w:rsidR="00335431">
        <w:rPr>
          <w:lang w:val="bg-BG"/>
        </w:rPr>
        <w:t>Съдът изтъква, че</w:t>
      </w:r>
      <w:r w:rsidR="00527BC4">
        <w:rPr>
          <w:lang w:val="bg-BG"/>
        </w:rPr>
        <w:t xml:space="preserve"> критерият за политическа лоялност, който може да се прилага по отношение на държавни служители, почти няма връзка с обстоятелствата по настоящото дело. То разглежда съвсем различен въпрос, а именно допустимостта отделни лица да</w:t>
      </w:r>
      <w:r w:rsidR="0057207A">
        <w:rPr>
          <w:lang w:val="bg-BG"/>
        </w:rPr>
        <w:t xml:space="preserve"> се кандидатират за членове на п</w:t>
      </w:r>
      <w:r w:rsidR="00527BC4">
        <w:rPr>
          <w:lang w:val="bg-BG"/>
        </w:rPr>
        <w:t xml:space="preserve">арламента. Критерият за „политически </w:t>
      </w:r>
      <w:r w:rsidR="000546F1">
        <w:rPr>
          <w:lang w:val="bg-BG"/>
        </w:rPr>
        <w:t xml:space="preserve">неутралитет“ не може да се прилага по отношение на парламентарните членове по същия начин, по който се отнася към други държавни служители, тъй като първите </w:t>
      </w:r>
      <w:r w:rsidR="0005263F">
        <w:rPr>
          <w:lang w:val="bg-BG"/>
        </w:rPr>
        <w:t xml:space="preserve">по дефиниция </w:t>
      </w:r>
      <w:r w:rsidR="000546F1">
        <w:rPr>
          <w:lang w:val="bg-BG"/>
        </w:rPr>
        <w:t>не могат да бъдат „пол</w:t>
      </w:r>
      <w:r w:rsidR="0005263F">
        <w:rPr>
          <w:lang w:val="bg-BG"/>
        </w:rPr>
        <w:t>итически неутрални“</w:t>
      </w:r>
      <w:r w:rsidR="000546F1">
        <w:rPr>
          <w:lang w:val="bg-BG"/>
        </w:rPr>
        <w:t>.</w:t>
      </w:r>
      <w:r w:rsidR="00527BC4">
        <w:rPr>
          <w:lang w:val="bg-BG"/>
        </w:rPr>
        <w:t xml:space="preserve"> </w:t>
      </w:r>
      <w:r w:rsidR="00335431">
        <w:rPr>
          <w:lang w:val="bg-BG"/>
        </w:rPr>
        <w:t xml:space="preserve"> </w:t>
      </w:r>
      <w:r w:rsidR="0009396C" w:rsidRPr="00BB4F95">
        <w:rPr>
          <w:lang w:val="en-GB"/>
        </w:rPr>
        <w:t>  </w:t>
      </w:r>
    </w:p>
    <w:p w:rsidR="000546F1" w:rsidRPr="00945ED6" w:rsidRDefault="005D3E62" w:rsidP="00B8206D">
      <w:pPr>
        <w:pStyle w:val="JuPara"/>
        <w:rPr>
          <w:lang w:val="bg-BG"/>
        </w:rPr>
      </w:pPr>
      <w:r w:rsidRPr="00E17978">
        <w:fldChar w:fldCharType="begin"/>
      </w:r>
      <w:r w:rsidR="0009396C" w:rsidRPr="00945ED6">
        <w:rPr>
          <w:lang w:val="bg-BG"/>
        </w:rPr>
        <w:instrText xml:space="preserve"> </w:instrText>
      </w:r>
      <w:r w:rsidR="0009396C" w:rsidRPr="00BB4F95">
        <w:rPr>
          <w:lang w:val="en-GB"/>
        </w:rPr>
        <w:instrText>SEQ</w:instrText>
      </w:r>
      <w:r w:rsidR="0009396C" w:rsidRPr="00945ED6">
        <w:rPr>
          <w:lang w:val="bg-BG"/>
        </w:rPr>
        <w:instrText xml:space="preserve"> </w:instrText>
      </w:r>
      <w:r w:rsidR="0009396C" w:rsidRPr="00BB4F95">
        <w:rPr>
          <w:lang w:val="en-GB"/>
        </w:rPr>
        <w:instrText>level</w:instrText>
      </w:r>
      <w:r w:rsidR="0009396C" w:rsidRPr="00945ED6">
        <w:rPr>
          <w:lang w:val="bg-BG"/>
        </w:rPr>
        <w:instrText>0 \*</w:instrText>
      </w:r>
      <w:r w:rsidR="0009396C" w:rsidRPr="00BB4F95">
        <w:rPr>
          <w:lang w:val="en-GB"/>
        </w:rPr>
        <w:instrText>arabic</w:instrText>
      </w:r>
      <w:r w:rsidR="0009396C" w:rsidRPr="00945ED6">
        <w:rPr>
          <w:lang w:val="bg-BG"/>
        </w:rPr>
        <w:instrText xml:space="preserve"> </w:instrText>
      </w:r>
      <w:r w:rsidRPr="00E17978">
        <w:fldChar w:fldCharType="separate"/>
      </w:r>
      <w:r w:rsidR="00955550" w:rsidRPr="00945ED6">
        <w:rPr>
          <w:noProof/>
          <w:lang w:val="bg-BG"/>
        </w:rPr>
        <w:t>118</w:t>
      </w:r>
      <w:r w:rsidRPr="00E17978">
        <w:fldChar w:fldCharType="end"/>
      </w:r>
      <w:r w:rsidR="0009396C" w:rsidRPr="00945ED6">
        <w:rPr>
          <w:lang w:val="bg-BG"/>
        </w:rPr>
        <w:t>.</w:t>
      </w:r>
      <w:r w:rsidR="0057207A">
        <w:rPr>
          <w:lang w:val="bg-BG"/>
        </w:rPr>
        <w:t xml:space="preserve"> Съдът приема</w:t>
      </w:r>
      <w:r w:rsidR="000546F1">
        <w:rPr>
          <w:lang w:val="bg-BG"/>
        </w:rPr>
        <w:t xml:space="preserve"> също така, че оспорваното</w:t>
      </w:r>
      <w:r w:rsidR="0029722C">
        <w:rPr>
          <w:lang w:val="bg-BG"/>
        </w:rPr>
        <w:t xml:space="preserve"> ограничение преследва цели, съвместими с принципа за върховенство на закона и с общите цели на Конвенцията, а именно защита на държавната независимост, демократичния ред и националната сигурност. </w:t>
      </w:r>
      <w:r w:rsidR="000546F1">
        <w:rPr>
          <w:lang w:val="bg-BG"/>
        </w:rPr>
        <w:t xml:space="preserve"> </w:t>
      </w:r>
      <w:r w:rsidR="0009396C" w:rsidRPr="00BB4F95">
        <w:rPr>
          <w:lang w:val="en-GB"/>
        </w:rPr>
        <w:t>  </w:t>
      </w:r>
    </w:p>
    <w:p w:rsidR="0029722C" w:rsidRPr="00945ED6" w:rsidRDefault="005D3E62" w:rsidP="00B8206D">
      <w:pPr>
        <w:pStyle w:val="JuPara"/>
        <w:rPr>
          <w:lang w:val="bg-BG"/>
        </w:rPr>
      </w:pPr>
      <w:r w:rsidRPr="00E17978">
        <w:fldChar w:fldCharType="begin"/>
      </w:r>
      <w:r w:rsidR="003477D3" w:rsidRPr="00945ED6">
        <w:rPr>
          <w:lang w:val="bg-BG"/>
        </w:rPr>
        <w:instrText xml:space="preserve"> </w:instrText>
      </w:r>
      <w:r w:rsidR="003477D3" w:rsidRPr="00BB4F95">
        <w:rPr>
          <w:lang w:val="en-GB"/>
        </w:rPr>
        <w:instrText>SEQ</w:instrText>
      </w:r>
      <w:r w:rsidR="003477D3" w:rsidRPr="00945ED6">
        <w:rPr>
          <w:lang w:val="bg-BG"/>
        </w:rPr>
        <w:instrText xml:space="preserve"> </w:instrText>
      </w:r>
      <w:r w:rsidR="003477D3" w:rsidRPr="00BB4F95">
        <w:rPr>
          <w:lang w:val="en-GB"/>
        </w:rPr>
        <w:instrText>level</w:instrText>
      </w:r>
      <w:r w:rsidR="003477D3" w:rsidRPr="00945ED6">
        <w:rPr>
          <w:lang w:val="bg-BG"/>
        </w:rPr>
        <w:instrText>0 \*</w:instrText>
      </w:r>
      <w:r w:rsidR="003477D3" w:rsidRPr="00BB4F95">
        <w:rPr>
          <w:lang w:val="en-GB"/>
        </w:rPr>
        <w:instrText>arabic</w:instrText>
      </w:r>
      <w:r w:rsidR="003477D3" w:rsidRPr="00945ED6">
        <w:rPr>
          <w:lang w:val="bg-BG"/>
        </w:rPr>
        <w:instrText xml:space="preserve"> </w:instrText>
      </w:r>
      <w:r w:rsidRPr="00E17978">
        <w:fldChar w:fldCharType="separate"/>
      </w:r>
      <w:r w:rsidR="00955550" w:rsidRPr="00945ED6">
        <w:rPr>
          <w:noProof/>
          <w:lang w:val="bg-BG"/>
        </w:rPr>
        <w:t>119</w:t>
      </w:r>
      <w:r w:rsidRPr="00E17978">
        <w:fldChar w:fldCharType="end"/>
      </w:r>
      <w:r w:rsidR="003477D3" w:rsidRPr="00945ED6">
        <w:rPr>
          <w:lang w:val="bg-BG"/>
        </w:rPr>
        <w:t>.</w:t>
      </w:r>
      <w:r w:rsidR="0029722C">
        <w:rPr>
          <w:lang w:val="bg-BG"/>
        </w:rPr>
        <w:t xml:space="preserve"> Остава да се установи дал</w:t>
      </w:r>
      <w:r w:rsidR="0057207A">
        <w:rPr>
          <w:lang w:val="bg-BG"/>
        </w:rPr>
        <w:t>и ограничението</w:t>
      </w:r>
      <w:r w:rsidR="006701E6">
        <w:rPr>
          <w:lang w:val="bg-BG"/>
        </w:rPr>
        <w:t xml:space="preserve"> е пропорционално</w:t>
      </w:r>
      <w:r w:rsidR="0029722C" w:rsidRPr="00C1610D">
        <w:rPr>
          <w:lang w:val="bg-BG"/>
        </w:rPr>
        <w:t>. В тази връзка трябва да се отбележи</w:t>
      </w:r>
      <w:r w:rsidR="0029722C">
        <w:rPr>
          <w:lang w:val="bg-BG"/>
        </w:rPr>
        <w:t>, че Латвия, заедно с останалите прибалтийски държави, загубва своята независимост през 1940 г.</w:t>
      </w:r>
      <w:r w:rsidR="0005263F">
        <w:rPr>
          <w:lang w:val="bg-BG"/>
        </w:rPr>
        <w:t>,</w:t>
      </w:r>
      <w:r w:rsidR="0029722C">
        <w:rPr>
          <w:lang w:val="bg-BG"/>
        </w:rPr>
        <w:t xml:space="preserve"> в резултат на разделението на Централна и Източна Европа, договорено от хитлеристка Германия и сталинисткия Съветски съюз посредством тайния протокол към</w:t>
      </w:r>
      <w:r w:rsidR="000D525F">
        <w:rPr>
          <w:lang w:val="bg-BG"/>
        </w:rPr>
        <w:t xml:space="preserve"> пакта Молотов-Р</w:t>
      </w:r>
      <w:r w:rsidR="0005263F">
        <w:rPr>
          <w:lang w:val="bg-BG"/>
        </w:rPr>
        <w:t>ибентроп – споразумение, противоречащо</w:t>
      </w:r>
      <w:r w:rsidR="000D525F">
        <w:rPr>
          <w:lang w:val="bg-BG"/>
        </w:rPr>
        <w:t xml:space="preserve"> на общопризнатите принципи на международното право. Последвалото анексиране на Латвия от Съветския съюз е </w:t>
      </w:r>
      <w:r w:rsidR="00DB501E">
        <w:rPr>
          <w:lang w:val="bg-BG"/>
        </w:rPr>
        <w:t xml:space="preserve">организирано и </w:t>
      </w:r>
      <w:r w:rsidR="000D525F">
        <w:rPr>
          <w:lang w:val="bg-BG"/>
        </w:rPr>
        <w:t xml:space="preserve">извършено под ръководството на Комунистическата партия на Съветския съюз (КПСС), а Латвийската комунистическа партия (ЛКП) е нейно подразделение. В края на 80-те години на </w:t>
      </w:r>
      <w:r w:rsidR="000D525F">
        <w:rPr>
          <w:lang w:val="en-US"/>
        </w:rPr>
        <w:t>XX</w:t>
      </w:r>
      <w:r w:rsidR="000D525F" w:rsidRPr="00945ED6">
        <w:rPr>
          <w:lang w:val="bg-BG"/>
        </w:rPr>
        <w:t xml:space="preserve"> </w:t>
      </w:r>
      <w:r w:rsidR="0005263F">
        <w:rPr>
          <w:lang w:val="bg-BG"/>
        </w:rPr>
        <w:t xml:space="preserve">век </w:t>
      </w:r>
      <w:r w:rsidR="000D525F">
        <w:rPr>
          <w:lang w:val="bg-BG"/>
        </w:rPr>
        <w:t>недоволство</w:t>
      </w:r>
      <w:r w:rsidR="0005263F">
        <w:rPr>
          <w:lang w:val="bg-BG"/>
        </w:rPr>
        <w:t xml:space="preserve"> от съветския режим сред</w:t>
      </w:r>
      <w:r w:rsidR="000D525F">
        <w:rPr>
          <w:lang w:val="bg-BG"/>
        </w:rPr>
        <w:t xml:space="preserve"> </w:t>
      </w:r>
      <w:r w:rsidR="008E2468">
        <w:rPr>
          <w:lang w:val="bg-BG"/>
        </w:rPr>
        <w:t xml:space="preserve">латвийското население води до </w:t>
      </w:r>
      <w:r w:rsidR="0005263F">
        <w:rPr>
          <w:lang w:val="bg-BG"/>
        </w:rPr>
        <w:t xml:space="preserve">появата на </w:t>
      </w:r>
      <w:r w:rsidR="008E2468">
        <w:rPr>
          <w:lang w:val="bg-BG"/>
        </w:rPr>
        <w:t>движение за защита на държавната независимост и демократизация на политическата система, като доказате</w:t>
      </w:r>
      <w:r w:rsidR="0005263F">
        <w:rPr>
          <w:lang w:val="bg-BG"/>
        </w:rPr>
        <w:t xml:space="preserve">лство за това са резултатите </w:t>
      </w:r>
      <w:r w:rsidR="008E2468">
        <w:rPr>
          <w:lang w:val="bg-BG"/>
        </w:rPr>
        <w:t xml:space="preserve">от проведен национален референдум.  </w:t>
      </w:r>
      <w:r w:rsidR="000D525F">
        <w:rPr>
          <w:lang w:val="bg-BG"/>
        </w:rPr>
        <w:t xml:space="preserve">  </w:t>
      </w:r>
      <w:r w:rsidR="0029722C">
        <w:rPr>
          <w:lang w:val="bg-BG"/>
        </w:rPr>
        <w:t xml:space="preserve">  </w:t>
      </w:r>
      <w:r w:rsidR="003477D3" w:rsidRPr="00BB4F95">
        <w:rPr>
          <w:lang w:val="en-GB"/>
        </w:rPr>
        <w:t> </w:t>
      </w:r>
    </w:p>
    <w:p w:rsidR="008E2468" w:rsidRPr="00945ED6" w:rsidRDefault="005D3E62" w:rsidP="00B8206D">
      <w:pPr>
        <w:pStyle w:val="JuPara"/>
        <w:rPr>
          <w:lang w:val="bg-BG"/>
        </w:rPr>
      </w:pPr>
      <w:r w:rsidRPr="00E17978">
        <w:fldChar w:fldCharType="begin"/>
      </w:r>
      <w:r w:rsidR="00DA4706" w:rsidRPr="00945ED6">
        <w:rPr>
          <w:lang w:val="bg-BG"/>
        </w:rPr>
        <w:instrText xml:space="preserve"> </w:instrText>
      </w:r>
      <w:r w:rsidR="00DA4706" w:rsidRPr="00BB4F95">
        <w:rPr>
          <w:lang w:val="en-GB"/>
        </w:rPr>
        <w:instrText>SEQ</w:instrText>
      </w:r>
      <w:r w:rsidR="00DA4706" w:rsidRPr="00945ED6">
        <w:rPr>
          <w:lang w:val="bg-BG"/>
        </w:rPr>
        <w:instrText xml:space="preserve"> </w:instrText>
      </w:r>
      <w:r w:rsidR="00DA4706" w:rsidRPr="00BB4F95">
        <w:rPr>
          <w:lang w:val="en-GB"/>
        </w:rPr>
        <w:instrText>level</w:instrText>
      </w:r>
      <w:r w:rsidR="00DA4706" w:rsidRPr="00945ED6">
        <w:rPr>
          <w:lang w:val="bg-BG"/>
        </w:rPr>
        <w:instrText>0 \*</w:instrText>
      </w:r>
      <w:r w:rsidR="00DA4706" w:rsidRPr="00BB4F95">
        <w:rPr>
          <w:lang w:val="en-GB"/>
        </w:rPr>
        <w:instrText>arabic</w:instrText>
      </w:r>
      <w:r w:rsidR="00DA4706" w:rsidRPr="00945ED6">
        <w:rPr>
          <w:lang w:val="bg-BG"/>
        </w:rPr>
        <w:instrText xml:space="preserve"> </w:instrText>
      </w:r>
      <w:r w:rsidRPr="00E17978">
        <w:fldChar w:fldCharType="separate"/>
      </w:r>
      <w:r w:rsidR="00955550" w:rsidRPr="00945ED6">
        <w:rPr>
          <w:noProof/>
          <w:lang w:val="bg-BG"/>
        </w:rPr>
        <w:t>120</w:t>
      </w:r>
      <w:r w:rsidRPr="00E17978">
        <w:fldChar w:fldCharType="end"/>
      </w:r>
      <w:r w:rsidR="00DA4706" w:rsidRPr="00945ED6">
        <w:rPr>
          <w:lang w:val="bg-BG"/>
        </w:rPr>
        <w:t>.</w:t>
      </w:r>
      <w:r w:rsidR="008E2468">
        <w:rPr>
          <w:lang w:val="bg-BG"/>
        </w:rPr>
        <w:t xml:space="preserve"> През март 1990 г. новоизб</w:t>
      </w:r>
      <w:r w:rsidR="0005263F">
        <w:rPr>
          <w:lang w:val="bg-BG"/>
        </w:rPr>
        <w:t>раният парламент (Върховният съвет</w:t>
      </w:r>
      <w:r w:rsidR="008E2468">
        <w:rPr>
          <w:lang w:val="bg-BG"/>
        </w:rPr>
        <w:t>)</w:t>
      </w:r>
      <w:r w:rsidR="008E2468" w:rsidRPr="00945ED6">
        <w:rPr>
          <w:lang w:val="bg-BG"/>
        </w:rPr>
        <w:t xml:space="preserve"> при</w:t>
      </w:r>
      <w:r w:rsidR="0005263F" w:rsidRPr="00945ED6">
        <w:rPr>
          <w:lang w:val="bg-BG"/>
        </w:rPr>
        <w:t>ема декларация, която обявява</w:t>
      </w:r>
      <w:r w:rsidR="008E2468" w:rsidRPr="00945ED6">
        <w:rPr>
          <w:lang w:val="bg-BG"/>
        </w:rPr>
        <w:t xml:space="preserve"> независи</w:t>
      </w:r>
      <w:r w:rsidR="000B67DD">
        <w:rPr>
          <w:lang w:val="bg-BG"/>
        </w:rPr>
        <w:t xml:space="preserve">мостта на Латвия. Както </w:t>
      </w:r>
      <w:r w:rsidR="000B67DD" w:rsidRPr="00945ED6">
        <w:rPr>
          <w:lang w:val="bg-BG"/>
        </w:rPr>
        <w:t>отбеляз</w:t>
      </w:r>
      <w:r w:rsidR="000B67DD">
        <w:rPr>
          <w:lang w:val="bg-BG"/>
        </w:rPr>
        <w:t xml:space="preserve">ва Съдът </w:t>
      </w:r>
      <w:r w:rsidR="008E2468">
        <w:rPr>
          <w:lang w:val="bg-BG"/>
        </w:rPr>
        <w:t>(вж</w:t>
      </w:r>
      <w:r w:rsidR="00DB501E">
        <w:rPr>
          <w:lang w:val="bg-BG"/>
        </w:rPr>
        <w:t>.</w:t>
      </w:r>
      <w:r w:rsidR="008E2468">
        <w:rPr>
          <w:lang w:val="bg-BG"/>
        </w:rPr>
        <w:t xml:space="preserve"> параграфи 96-97</w:t>
      </w:r>
      <w:r w:rsidR="00DB501E">
        <w:rPr>
          <w:lang w:val="bg-BG"/>
        </w:rPr>
        <w:t xml:space="preserve"> по-горе</w:t>
      </w:r>
      <w:r w:rsidR="008E2468">
        <w:rPr>
          <w:lang w:val="bg-BG"/>
        </w:rPr>
        <w:t>)</w:t>
      </w:r>
      <w:r w:rsidR="0005263F">
        <w:rPr>
          <w:lang w:val="bg-BG"/>
        </w:rPr>
        <w:t xml:space="preserve">, </w:t>
      </w:r>
      <w:r w:rsidR="000B67DD">
        <w:rPr>
          <w:lang w:val="bg-BG"/>
        </w:rPr>
        <w:t xml:space="preserve">той </w:t>
      </w:r>
      <w:r w:rsidR="0005263F">
        <w:rPr>
          <w:lang w:val="bg-BG"/>
        </w:rPr>
        <w:t>не намира за произволни</w:t>
      </w:r>
      <w:r w:rsidR="00762B2F">
        <w:rPr>
          <w:lang w:val="bg-BG"/>
        </w:rPr>
        <w:t xml:space="preserve"> констатациите на националните съдилища, според които неуспешните опити за преврат в прибалтийските държави през януари 1991 г. и след това през август 1991 г.</w:t>
      </w:r>
      <w:r w:rsidR="00866768">
        <w:rPr>
          <w:lang w:val="bg-BG"/>
        </w:rPr>
        <w:t xml:space="preserve"> </w:t>
      </w:r>
      <w:r w:rsidR="00762B2F">
        <w:rPr>
          <w:lang w:val="bg-BG"/>
        </w:rPr>
        <w:t xml:space="preserve">са организирани и изпълнени под </w:t>
      </w:r>
      <w:r w:rsidR="00762B2F">
        <w:rPr>
          <w:lang w:val="bg-BG"/>
        </w:rPr>
        <w:lastRenderedPageBreak/>
        <w:t>ръковод</w:t>
      </w:r>
      <w:r w:rsidR="00AD74DF">
        <w:rPr>
          <w:lang w:val="bg-BG"/>
        </w:rPr>
        <w:t>ството на КПСС и регионалните ѝ</w:t>
      </w:r>
      <w:r w:rsidR="0053706A">
        <w:rPr>
          <w:lang w:val="bg-BG"/>
        </w:rPr>
        <w:t xml:space="preserve"> </w:t>
      </w:r>
      <w:r w:rsidR="000B67DD" w:rsidRPr="00790DD8">
        <w:rPr>
          <w:lang w:val="bg-BG"/>
        </w:rPr>
        <w:t>подразделения</w:t>
      </w:r>
      <w:r w:rsidR="00762B2F" w:rsidRPr="00790DD8">
        <w:rPr>
          <w:lang w:val="bg-BG"/>
        </w:rPr>
        <w:t>,</w:t>
      </w:r>
      <w:r w:rsidR="00762B2F">
        <w:rPr>
          <w:lang w:val="bg-BG"/>
        </w:rPr>
        <w:t xml:space="preserve"> включително ЛКП.</w:t>
      </w:r>
      <w:r w:rsidR="00F16C69" w:rsidRPr="00945ED6">
        <w:rPr>
          <w:lang w:val="bg-BG"/>
        </w:rPr>
        <w:t xml:space="preserve"> </w:t>
      </w:r>
      <w:r w:rsidR="00354C6E">
        <w:rPr>
          <w:lang w:val="bg-BG"/>
        </w:rPr>
        <w:t>Жалбоподателката</w:t>
      </w:r>
      <w:r w:rsidR="00F16C69">
        <w:rPr>
          <w:lang w:val="bg-BG"/>
        </w:rPr>
        <w:t xml:space="preserve"> се позовава на официалната програма на ЛКП с цел да освободи партията от всякаква отговорност за </w:t>
      </w:r>
      <w:r w:rsidR="00AD74DF">
        <w:rPr>
          <w:lang w:val="bg-BG"/>
        </w:rPr>
        <w:t>събитията от 1991 г. Според жалбоподателката</w:t>
      </w:r>
      <w:r w:rsidR="00F16C69">
        <w:rPr>
          <w:lang w:val="bg-BG"/>
        </w:rPr>
        <w:t xml:space="preserve"> програмата показва, че сле</w:t>
      </w:r>
      <w:r w:rsidR="00AD74DF">
        <w:rPr>
          <w:lang w:val="bg-BG"/>
        </w:rPr>
        <w:t xml:space="preserve">д 1990 г. </w:t>
      </w:r>
      <w:r w:rsidR="00F16C69">
        <w:rPr>
          <w:lang w:val="bg-BG"/>
        </w:rPr>
        <w:t>организация</w:t>
      </w:r>
      <w:r w:rsidR="00AD74DF">
        <w:rPr>
          <w:lang w:val="bg-BG"/>
        </w:rPr>
        <w:t>та</w:t>
      </w:r>
      <w:r w:rsidR="00F16C69">
        <w:rPr>
          <w:lang w:val="bg-BG"/>
        </w:rPr>
        <w:t xml:space="preserve"> е избрала пътя на демократизацията. Все пак за намеренията на партията трябва да се съди преди всичко по действията на нейните лидери и членове, не толкова по официалните ѝ лозунги.  </w:t>
      </w:r>
      <w:r w:rsidR="00762B2F">
        <w:rPr>
          <w:lang w:val="bg-BG"/>
        </w:rPr>
        <w:t xml:space="preserve"> </w:t>
      </w:r>
      <w:r w:rsidR="008E2468">
        <w:rPr>
          <w:lang w:val="bg-BG"/>
        </w:rPr>
        <w:t xml:space="preserve"> </w:t>
      </w:r>
      <w:r w:rsidR="00DA4706" w:rsidRPr="00BB4F95">
        <w:rPr>
          <w:lang w:val="en-GB"/>
        </w:rPr>
        <w:t> </w:t>
      </w:r>
    </w:p>
    <w:p w:rsidR="00F16C69" w:rsidRPr="00945ED6" w:rsidRDefault="00DA4706" w:rsidP="00B8206D">
      <w:pPr>
        <w:pStyle w:val="JuPara"/>
        <w:rPr>
          <w:lang w:val="bg-BG"/>
        </w:rPr>
      </w:pPr>
      <w:r w:rsidRPr="00945ED6">
        <w:rPr>
          <w:lang w:val="bg-BG"/>
        </w:rPr>
        <w:t xml:space="preserve"> </w:t>
      </w:r>
      <w:r w:rsidR="005D3E62" w:rsidRPr="00E17978">
        <w:fldChar w:fldCharType="begin"/>
      </w:r>
      <w:r w:rsidRPr="00945ED6">
        <w:rPr>
          <w:lang w:val="bg-BG"/>
        </w:rPr>
        <w:instrText xml:space="preserve"> </w:instrText>
      </w:r>
      <w:r w:rsidRPr="00BB4F95">
        <w:rPr>
          <w:lang w:val="en-GB"/>
        </w:rPr>
        <w:instrText>SEQ</w:instrText>
      </w:r>
      <w:r w:rsidRPr="00945ED6">
        <w:rPr>
          <w:lang w:val="bg-BG"/>
        </w:rPr>
        <w:instrText xml:space="preserve"> </w:instrText>
      </w:r>
      <w:r w:rsidRPr="00BB4F95">
        <w:rPr>
          <w:lang w:val="en-GB"/>
        </w:rPr>
        <w:instrText>level</w:instrText>
      </w:r>
      <w:r w:rsidRPr="00945ED6">
        <w:rPr>
          <w:lang w:val="bg-BG"/>
        </w:rPr>
        <w:instrText>0 \*</w:instrText>
      </w:r>
      <w:r w:rsidRPr="00BB4F95">
        <w:rPr>
          <w:lang w:val="en-GB"/>
        </w:rPr>
        <w:instrText>arabic</w:instrText>
      </w:r>
      <w:r w:rsidRPr="00945ED6">
        <w:rPr>
          <w:lang w:val="bg-BG"/>
        </w:rPr>
        <w:instrText xml:space="preserve"> </w:instrText>
      </w:r>
      <w:r w:rsidR="005D3E62" w:rsidRPr="00E17978">
        <w:fldChar w:fldCharType="separate"/>
      </w:r>
      <w:r w:rsidR="00955550" w:rsidRPr="00945ED6">
        <w:rPr>
          <w:noProof/>
          <w:lang w:val="bg-BG"/>
        </w:rPr>
        <w:t>121</w:t>
      </w:r>
      <w:r w:rsidR="005D3E62" w:rsidRPr="00E17978">
        <w:fldChar w:fldCharType="end"/>
      </w:r>
      <w:r w:rsidR="005A5ED0" w:rsidRPr="00945ED6">
        <w:rPr>
          <w:lang w:val="bg-BG"/>
        </w:rPr>
        <w:t>.</w:t>
      </w:r>
      <w:r w:rsidR="00F16C69">
        <w:rPr>
          <w:lang w:val="bg-BG"/>
        </w:rPr>
        <w:t xml:space="preserve"> Оспорваното ограничение, въведено от латвийското законодателство чрез </w:t>
      </w:r>
      <w:r w:rsidR="007A47C3">
        <w:rPr>
          <w:lang w:val="bg-BG"/>
        </w:rPr>
        <w:t>раздел</w:t>
      </w:r>
      <w:r w:rsidR="00F16C69">
        <w:rPr>
          <w:lang w:val="bg-BG"/>
        </w:rPr>
        <w:t xml:space="preserve"> 5(6) от Закона от 1995 </w:t>
      </w:r>
      <w:r w:rsidR="000B67DD">
        <w:rPr>
          <w:lang w:val="bg-BG"/>
        </w:rPr>
        <w:t>г. и забраняващо за членове на п</w:t>
      </w:r>
      <w:r w:rsidR="00F16C69">
        <w:rPr>
          <w:lang w:val="bg-BG"/>
        </w:rPr>
        <w:t>арламента да се кандидатират лица, които са „участвали активно“ в дейността на ЛКП между 13 януари 1991 г.</w:t>
      </w:r>
      <w:r w:rsidR="00827A92">
        <w:rPr>
          <w:lang w:val="bg-BG"/>
        </w:rPr>
        <w:t xml:space="preserve"> и датата на разпускането на пар</w:t>
      </w:r>
      <w:r w:rsidR="00F16C69">
        <w:rPr>
          <w:lang w:val="bg-BG"/>
        </w:rPr>
        <w:t>тията през септември 1991 г., трябва да се оценява с необх</w:t>
      </w:r>
      <w:r w:rsidR="00AD74DF">
        <w:rPr>
          <w:lang w:val="bg-BG"/>
        </w:rPr>
        <w:t xml:space="preserve">одимото внимание към </w:t>
      </w:r>
      <w:r w:rsidR="00F16C69">
        <w:rPr>
          <w:lang w:val="bg-BG"/>
        </w:rPr>
        <w:t>особен</w:t>
      </w:r>
      <w:r w:rsidR="00AD74DF">
        <w:rPr>
          <w:lang w:val="bg-BG"/>
        </w:rPr>
        <w:t>ия</w:t>
      </w:r>
      <w:r w:rsidR="00F16C69">
        <w:rPr>
          <w:lang w:val="bg-BG"/>
        </w:rPr>
        <w:t xml:space="preserve"> историко</w:t>
      </w:r>
      <w:r w:rsidR="00B44DB6">
        <w:rPr>
          <w:lang w:val="bg-BG"/>
        </w:rPr>
        <w:t>-</w:t>
      </w:r>
      <w:r w:rsidR="00F16C69">
        <w:rPr>
          <w:lang w:val="bg-BG"/>
        </w:rPr>
        <w:t>политически контекст</w:t>
      </w:r>
      <w:r w:rsidR="00B44DB6">
        <w:rPr>
          <w:lang w:val="bg-BG"/>
        </w:rPr>
        <w:t xml:space="preserve"> и </w:t>
      </w:r>
      <w:r w:rsidR="00162733">
        <w:rPr>
          <w:lang w:val="bg-BG"/>
        </w:rPr>
        <w:t>произтичащата от това широка свобода на прецена</w:t>
      </w:r>
      <w:r w:rsidR="000B67DD">
        <w:rPr>
          <w:lang w:val="bg-BG"/>
        </w:rPr>
        <w:t xml:space="preserve"> </w:t>
      </w:r>
      <w:r w:rsidR="00162733">
        <w:rPr>
          <w:lang w:val="bg-BG"/>
        </w:rPr>
        <w:t xml:space="preserve">на </w:t>
      </w:r>
      <w:r w:rsidR="00724E1C">
        <w:rPr>
          <w:lang w:val="bg-BG"/>
        </w:rPr>
        <w:t>държава</w:t>
      </w:r>
      <w:r w:rsidR="00162733">
        <w:rPr>
          <w:lang w:val="bg-BG"/>
        </w:rPr>
        <w:t>та в тази връзка</w:t>
      </w:r>
      <w:r w:rsidR="00AD74DF">
        <w:rPr>
          <w:lang w:val="bg-BG"/>
        </w:rPr>
        <w:t xml:space="preserve"> </w:t>
      </w:r>
      <w:r w:rsidR="00B44DB6">
        <w:rPr>
          <w:lang w:val="bg-BG"/>
        </w:rPr>
        <w:t>(вж</w:t>
      </w:r>
      <w:r w:rsidR="00162733">
        <w:rPr>
          <w:lang w:val="bg-BG"/>
        </w:rPr>
        <w:t>.</w:t>
      </w:r>
      <w:r w:rsidR="00B44DB6">
        <w:rPr>
          <w:lang w:val="bg-BG"/>
        </w:rPr>
        <w:t xml:space="preserve"> параграф 115 (с) по-горе).</w:t>
      </w:r>
      <w:r w:rsidR="005A5ED0">
        <w:rPr>
          <w:lang w:val="en-GB"/>
        </w:rPr>
        <w:t>  </w:t>
      </w:r>
    </w:p>
    <w:p w:rsidR="00B44DB6" w:rsidRPr="00945ED6" w:rsidRDefault="005D3E62" w:rsidP="00B8206D">
      <w:pPr>
        <w:pStyle w:val="JuPara"/>
        <w:rPr>
          <w:lang w:val="bg-BG"/>
        </w:rPr>
      </w:pPr>
      <w:r w:rsidRPr="00E17978">
        <w:fldChar w:fldCharType="begin"/>
      </w:r>
      <w:r w:rsidR="00DA4706" w:rsidRPr="00945ED6">
        <w:rPr>
          <w:lang w:val="bg-BG"/>
        </w:rPr>
        <w:instrText xml:space="preserve"> </w:instrText>
      </w:r>
      <w:r w:rsidR="00DA4706" w:rsidRPr="00BB4F95">
        <w:rPr>
          <w:lang w:val="en-GB"/>
        </w:rPr>
        <w:instrText>SEQ</w:instrText>
      </w:r>
      <w:r w:rsidR="00DA4706" w:rsidRPr="00945ED6">
        <w:rPr>
          <w:lang w:val="bg-BG"/>
        </w:rPr>
        <w:instrText xml:space="preserve"> </w:instrText>
      </w:r>
      <w:r w:rsidR="00DA4706" w:rsidRPr="00BB4F95">
        <w:rPr>
          <w:lang w:val="en-GB"/>
        </w:rPr>
        <w:instrText>level</w:instrText>
      </w:r>
      <w:r w:rsidR="00DA4706" w:rsidRPr="00945ED6">
        <w:rPr>
          <w:lang w:val="bg-BG"/>
        </w:rPr>
        <w:instrText>0 \*</w:instrText>
      </w:r>
      <w:r w:rsidR="00DA4706" w:rsidRPr="00BB4F95">
        <w:rPr>
          <w:lang w:val="en-GB"/>
        </w:rPr>
        <w:instrText>arabic</w:instrText>
      </w:r>
      <w:r w:rsidR="00DA4706" w:rsidRPr="00945ED6">
        <w:rPr>
          <w:lang w:val="bg-BG"/>
        </w:rPr>
        <w:instrText xml:space="preserve"> </w:instrText>
      </w:r>
      <w:r w:rsidRPr="00E17978">
        <w:fldChar w:fldCharType="separate"/>
      </w:r>
      <w:r w:rsidR="00955550" w:rsidRPr="00945ED6">
        <w:rPr>
          <w:noProof/>
          <w:lang w:val="bg-BG"/>
        </w:rPr>
        <w:t>122</w:t>
      </w:r>
      <w:r w:rsidRPr="00E17978">
        <w:fldChar w:fldCharType="end"/>
      </w:r>
      <w:r w:rsidR="00DA4706" w:rsidRPr="00945ED6">
        <w:rPr>
          <w:lang w:val="bg-BG"/>
        </w:rPr>
        <w:t>.</w:t>
      </w:r>
      <w:r w:rsidR="00B44DB6">
        <w:rPr>
          <w:lang w:val="bg-BG"/>
        </w:rPr>
        <w:t xml:space="preserve"> Страните спо</w:t>
      </w:r>
      <w:r w:rsidR="00AD74DF">
        <w:rPr>
          <w:lang w:val="bg-BG"/>
        </w:rPr>
        <w:t xml:space="preserve">рят по въпроса дали </w:t>
      </w:r>
      <w:r w:rsidR="00B44DB6">
        <w:rPr>
          <w:lang w:val="bg-BG"/>
        </w:rPr>
        <w:t>ограничение</w:t>
      </w:r>
      <w:r w:rsidR="00AD74DF">
        <w:rPr>
          <w:lang w:val="bg-BG"/>
        </w:rPr>
        <w:t>то</w:t>
      </w:r>
      <w:r w:rsidR="00B44DB6">
        <w:rPr>
          <w:lang w:val="bg-BG"/>
        </w:rPr>
        <w:t xml:space="preserve"> представлява превантивна или наказателна мярка. Според Съда</w:t>
      </w:r>
      <w:r w:rsidR="00A57129">
        <w:rPr>
          <w:lang w:val="bg-BG"/>
        </w:rPr>
        <w:t>,</w:t>
      </w:r>
      <w:r w:rsidR="00B44DB6">
        <w:rPr>
          <w:lang w:val="bg-BG"/>
        </w:rPr>
        <w:t xml:space="preserve"> в същината на оспорваното законодателство не</w:t>
      </w:r>
      <w:r w:rsidR="00AD74DF">
        <w:rPr>
          <w:lang w:val="bg-BG"/>
        </w:rPr>
        <w:t xml:space="preserve"> заляга намерение за наказание на</w:t>
      </w:r>
      <w:r w:rsidR="00B44DB6">
        <w:rPr>
          <w:lang w:val="bg-BG"/>
        </w:rPr>
        <w:t xml:space="preserve"> онези,</w:t>
      </w:r>
      <w:r w:rsidR="00AD74DF">
        <w:rPr>
          <w:lang w:val="bg-BG"/>
        </w:rPr>
        <w:t xml:space="preserve"> които са били активни членове</w:t>
      </w:r>
      <w:r w:rsidR="00B44DB6">
        <w:rPr>
          <w:lang w:val="bg-BG"/>
        </w:rPr>
        <w:t xml:space="preserve"> на ЛКП. Намерението е по-скоро да се защити целостта на демократичния процес</w:t>
      </w:r>
      <w:r w:rsidR="002D7681">
        <w:rPr>
          <w:lang w:val="bg-BG"/>
        </w:rPr>
        <w:t>, като от участие в работата на демократичн</w:t>
      </w:r>
      <w:r w:rsidR="00AE7C38">
        <w:rPr>
          <w:lang w:val="bg-BG"/>
        </w:rPr>
        <w:t>ата</w:t>
      </w:r>
      <w:r w:rsidR="002D7681">
        <w:rPr>
          <w:lang w:val="bg-BG"/>
        </w:rPr>
        <w:t xml:space="preserve"> законодател</w:t>
      </w:r>
      <w:r w:rsidR="00AE7C38">
        <w:rPr>
          <w:lang w:val="bg-BG"/>
        </w:rPr>
        <w:t>на власт</w:t>
      </w:r>
      <w:r w:rsidR="002D7681">
        <w:rPr>
          <w:lang w:val="bg-BG"/>
        </w:rPr>
        <w:t xml:space="preserve"> се изключат онези лица, които са имали активна и водеща роля в партия, директно свързана с опита за насилствено сваляне на новоустановения демократичен режим. Вярно е, че в законодателството не е посочено, че решенията не са ограничени във времево отношение, но не изглеждат и временни. Независимо от тази </w:t>
      </w:r>
      <w:r w:rsidR="00236C89">
        <w:rPr>
          <w:lang w:val="bg-BG"/>
        </w:rPr>
        <w:t>неяснота се разбира, че</w:t>
      </w:r>
      <w:r w:rsidR="00C35296">
        <w:rPr>
          <w:lang w:val="bg-BG"/>
        </w:rPr>
        <w:t xml:space="preserve"> намерението на </w:t>
      </w:r>
      <w:r w:rsidR="002D7681">
        <w:rPr>
          <w:lang w:val="bg-BG"/>
        </w:rPr>
        <w:t xml:space="preserve"> </w:t>
      </w:r>
      <w:r w:rsidR="00EE1019">
        <w:rPr>
          <w:lang w:val="bg-BG"/>
        </w:rPr>
        <w:t>законодателя</w:t>
      </w:r>
      <w:r w:rsidR="00C35296">
        <w:rPr>
          <w:lang w:val="bg-BG"/>
        </w:rPr>
        <w:t xml:space="preserve"> е мотивирано по-скоро от идеята за предотвратяване, не за наказание. Заключенията на Конституционния съд от 30 август 200</w:t>
      </w:r>
      <w:r w:rsidR="00AE7C38">
        <w:rPr>
          <w:lang w:val="bg-BG"/>
        </w:rPr>
        <w:t>0</w:t>
      </w:r>
      <w:r w:rsidR="00C35296">
        <w:rPr>
          <w:lang w:val="bg-BG"/>
        </w:rPr>
        <w:t xml:space="preserve"> г. и последвалите периодични преразглеждания на закона на национално ниво потвърждава</w:t>
      </w:r>
      <w:r w:rsidR="00AD74DF">
        <w:rPr>
          <w:lang w:val="bg-BG"/>
        </w:rPr>
        <w:t>т</w:t>
      </w:r>
      <w:r w:rsidR="00C35296">
        <w:rPr>
          <w:lang w:val="bg-BG"/>
        </w:rPr>
        <w:t xml:space="preserve"> това заключение (вж</w:t>
      </w:r>
      <w:r w:rsidR="00582A76">
        <w:rPr>
          <w:lang w:val="bg-BG"/>
        </w:rPr>
        <w:t>.</w:t>
      </w:r>
      <w:r w:rsidR="00C35296">
        <w:rPr>
          <w:lang w:val="bg-BG"/>
        </w:rPr>
        <w:t xml:space="preserve"> параграфи 61-62 по-горе).</w:t>
      </w:r>
      <w:r w:rsidR="00B44DB6">
        <w:rPr>
          <w:lang w:val="bg-BG"/>
        </w:rPr>
        <w:t xml:space="preserve">  </w:t>
      </w:r>
      <w:r w:rsidR="00DA4706" w:rsidRPr="00BB4F95">
        <w:rPr>
          <w:lang w:val="en-GB"/>
        </w:rPr>
        <w:t>  </w:t>
      </w:r>
    </w:p>
    <w:p w:rsidR="00C35296" w:rsidRPr="00945ED6" w:rsidRDefault="005D3E62" w:rsidP="00C35296">
      <w:pPr>
        <w:pStyle w:val="JuPara"/>
        <w:rPr>
          <w:lang w:val="bg-BG"/>
        </w:rPr>
      </w:pPr>
      <w:r w:rsidRPr="00E17978">
        <w:fldChar w:fldCharType="begin"/>
      </w:r>
      <w:r w:rsidR="00024194" w:rsidRPr="00945ED6">
        <w:rPr>
          <w:lang w:val="bg-BG"/>
        </w:rPr>
        <w:instrText xml:space="preserve"> </w:instrText>
      </w:r>
      <w:r w:rsidR="00024194" w:rsidRPr="00BB4F95">
        <w:rPr>
          <w:lang w:val="en-GB"/>
        </w:rPr>
        <w:instrText>SEQ</w:instrText>
      </w:r>
      <w:r w:rsidR="00024194" w:rsidRPr="00945ED6">
        <w:rPr>
          <w:lang w:val="bg-BG"/>
        </w:rPr>
        <w:instrText xml:space="preserve"> </w:instrText>
      </w:r>
      <w:r w:rsidR="00024194" w:rsidRPr="00BB4F95">
        <w:rPr>
          <w:lang w:val="en-GB"/>
        </w:rPr>
        <w:instrText>level</w:instrText>
      </w:r>
      <w:r w:rsidR="00024194" w:rsidRPr="00945ED6">
        <w:rPr>
          <w:lang w:val="bg-BG"/>
        </w:rPr>
        <w:instrText>0 \*</w:instrText>
      </w:r>
      <w:r w:rsidR="00024194" w:rsidRPr="00BB4F95">
        <w:rPr>
          <w:lang w:val="en-GB"/>
        </w:rPr>
        <w:instrText>arabic</w:instrText>
      </w:r>
      <w:r w:rsidR="00024194" w:rsidRPr="00945ED6">
        <w:rPr>
          <w:lang w:val="bg-BG"/>
        </w:rPr>
        <w:instrText xml:space="preserve"> </w:instrText>
      </w:r>
      <w:r w:rsidRPr="00E17978">
        <w:fldChar w:fldCharType="separate"/>
      </w:r>
      <w:r w:rsidR="00955550" w:rsidRPr="00945ED6">
        <w:rPr>
          <w:noProof/>
          <w:lang w:val="bg-BG"/>
        </w:rPr>
        <w:t>123</w:t>
      </w:r>
      <w:r w:rsidRPr="00E17978">
        <w:fldChar w:fldCharType="end"/>
      </w:r>
      <w:r w:rsidR="00024194" w:rsidRPr="00945ED6">
        <w:rPr>
          <w:lang w:val="bg-BG"/>
        </w:rPr>
        <w:t>.</w:t>
      </w:r>
      <w:r w:rsidR="00C35296">
        <w:rPr>
          <w:lang w:val="bg-BG"/>
        </w:rPr>
        <w:t xml:space="preserve"> По делото </w:t>
      </w:r>
      <w:r w:rsidR="00C35296" w:rsidRPr="00BB4F95">
        <w:rPr>
          <w:i/>
          <w:lang w:val="en-GB"/>
        </w:rPr>
        <w:t>Refah</w:t>
      </w:r>
      <w:r w:rsidR="00C35296" w:rsidRPr="00945ED6">
        <w:rPr>
          <w:i/>
          <w:lang w:val="bg-BG"/>
        </w:rPr>
        <w:t xml:space="preserve"> </w:t>
      </w:r>
      <w:r w:rsidR="00C35296" w:rsidRPr="00BB4F95">
        <w:rPr>
          <w:i/>
          <w:lang w:val="en-GB"/>
        </w:rPr>
        <w:t>Partisi</w:t>
      </w:r>
      <w:r w:rsidR="00C35296" w:rsidRPr="00945ED6">
        <w:rPr>
          <w:i/>
          <w:lang w:val="bg-BG"/>
        </w:rPr>
        <w:t xml:space="preserve"> (</w:t>
      </w:r>
      <w:r w:rsidR="00C35296">
        <w:rPr>
          <w:i/>
          <w:lang w:val="en-GB"/>
        </w:rPr>
        <w:t>the</w:t>
      </w:r>
      <w:r w:rsidR="00C35296" w:rsidRPr="00945ED6">
        <w:rPr>
          <w:i/>
          <w:lang w:val="bg-BG"/>
        </w:rPr>
        <w:t xml:space="preserve"> </w:t>
      </w:r>
      <w:r w:rsidR="00C35296">
        <w:rPr>
          <w:i/>
          <w:lang w:val="en-GB"/>
        </w:rPr>
        <w:t>Welfare</w:t>
      </w:r>
      <w:r w:rsidR="00C35296" w:rsidRPr="00945ED6">
        <w:rPr>
          <w:i/>
          <w:lang w:val="bg-BG"/>
        </w:rPr>
        <w:t xml:space="preserve"> </w:t>
      </w:r>
      <w:r w:rsidR="00C35296">
        <w:rPr>
          <w:i/>
          <w:lang w:val="en-GB"/>
        </w:rPr>
        <w:t>Party</w:t>
      </w:r>
      <w:r w:rsidR="00C35296" w:rsidRPr="00945ED6">
        <w:rPr>
          <w:i/>
          <w:lang w:val="bg-BG"/>
        </w:rPr>
        <w:t xml:space="preserve">) </w:t>
      </w:r>
      <w:r w:rsidR="00C35296">
        <w:rPr>
          <w:i/>
          <w:lang w:val="en-GB"/>
        </w:rPr>
        <w:t>and</w:t>
      </w:r>
      <w:r w:rsidR="00C35296" w:rsidRPr="00945ED6">
        <w:rPr>
          <w:i/>
          <w:lang w:val="bg-BG"/>
        </w:rPr>
        <w:t xml:space="preserve"> </w:t>
      </w:r>
      <w:r w:rsidR="00C35296">
        <w:rPr>
          <w:i/>
          <w:lang w:val="en-GB"/>
        </w:rPr>
        <w:t>Others</w:t>
      </w:r>
      <w:r w:rsidR="00C35296" w:rsidRPr="00945ED6">
        <w:rPr>
          <w:i/>
          <w:lang w:val="bg-BG"/>
        </w:rPr>
        <w:t xml:space="preserve"> </w:t>
      </w:r>
      <w:r w:rsidR="00C35296" w:rsidRPr="00945ED6">
        <w:rPr>
          <w:lang w:val="bg-BG"/>
        </w:rPr>
        <w:t>(цитирано по-горе, §</w:t>
      </w:r>
      <w:r w:rsidR="00C35296">
        <w:rPr>
          <w:lang w:val="en-GB"/>
        </w:rPr>
        <w:t> </w:t>
      </w:r>
      <w:r w:rsidR="00C35296" w:rsidRPr="00945ED6">
        <w:rPr>
          <w:lang w:val="bg-BG"/>
        </w:rPr>
        <w:t>115)</w:t>
      </w:r>
      <w:r w:rsidR="00C35296">
        <w:rPr>
          <w:lang w:val="bg-BG"/>
        </w:rPr>
        <w:t xml:space="preserve"> Съдът постановява, че </w:t>
      </w:r>
      <w:r w:rsidR="00CC3FB0">
        <w:rPr>
          <w:lang w:val="bg-BG"/>
        </w:rPr>
        <w:t>действията на партийните лидери се д</w:t>
      </w:r>
      <w:r w:rsidR="005B5A36">
        <w:rPr>
          <w:lang w:val="bg-BG"/>
        </w:rPr>
        <w:t>ължат на действията</w:t>
      </w:r>
      <w:r w:rsidR="00CC3FB0">
        <w:rPr>
          <w:lang w:val="bg-BG"/>
        </w:rPr>
        <w:t xml:space="preserve"> на партията, освен ако тя не се е дистанцирала от тях. </w:t>
      </w:r>
      <w:r w:rsidR="005B5A36">
        <w:rPr>
          <w:lang w:val="bg-BG"/>
        </w:rPr>
        <w:t xml:space="preserve">Същият извод може да се направи и относно обстоятелствата по настоящото дело, а именно, че действията на партията се дължат на нейните членове, особено на водещите фигури, освен ако членовете не са се дистанцирали от въпросните </w:t>
      </w:r>
      <w:r w:rsidR="004F33D5">
        <w:rPr>
          <w:lang w:val="bg-BG"/>
        </w:rPr>
        <w:t>действия. Обикновено дейността</w:t>
      </w:r>
      <w:r w:rsidR="005B5A36">
        <w:rPr>
          <w:lang w:val="bg-BG"/>
        </w:rPr>
        <w:t xml:space="preserve"> на един политик включва не просто </w:t>
      </w:r>
      <w:r w:rsidR="004F33D5">
        <w:rPr>
          <w:lang w:val="bg-BG"/>
        </w:rPr>
        <w:t xml:space="preserve">конкретни </w:t>
      </w:r>
      <w:r w:rsidR="00AD74DF">
        <w:rPr>
          <w:lang w:val="bg-BG"/>
        </w:rPr>
        <w:t>постъпки и изявления</w:t>
      </w:r>
      <w:r w:rsidR="009D0728">
        <w:rPr>
          <w:lang w:val="bg-BG"/>
        </w:rPr>
        <w:t xml:space="preserve">, но </w:t>
      </w:r>
      <w:r w:rsidR="00940951">
        <w:rPr>
          <w:lang w:val="bg-BG"/>
        </w:rPr>
        <w:t xml:space="preserve">също така </w:t>
      </w:r>
      <w:r w:rsidR="009D0728">
        <w:rPr>
          <w:lang w:val="bg-BG"/>
        </w:rPr>
        <w:t>и</w:t>
      </w:r>
      <w:r w:rsidR="009D0728" w:rsidRPr="00945ED6">
        <w:rPr>
          <w:lang w:val="bg-BG"/>
        </w:rPr>
        <w:t xml:space="preserve"> </w:t>
      </w:r>
      <w:r w:rsidR="009D0728">
        <w:rPr>
          <w:lang w:val="bg-BG"/>
        </w:rPr>
        <w:t>пропуски или липса на реакция, които могат в същата степен да показват позицията на политика. С оглед на критичните събития</w:t>
      </w:r>
      <w:r w:rsidR="003E69EB">
        <w:rPr>
          <w:lang w:val="bg-BG"/>
        </w:rPr>
        <w:t xml:space="preserve"> след 13 януари 1991 г.</w:t>
      </w:r>
      <w:r w:rsidR="00940951">
        <w:rPr>
          <w:lang w:val="bg-BG"/>
        </w:rPr>
        <w:t xml:space="preserve">, </w:t>
      </w:r>
      <w:r w:rsidR="00582A76">
        <w:rPr>
          <w:lang w:val="bg-BG"/>
        </w:rPr>
        <w:t xml:space="preserve">свързани с </w:t>
      </w:r>
      <w:r w:rsidR="009D0728">
        <w:rPr>
          <w:lang w:val="bg-BG"/>
        </w:rPr>
        <w:t>оцел</w:t>
      </w:r>
      <w:r w:rsidR="00940951">
        <w:rPr>
          <w:lang w:val="bg-BG"/>
        </w:rPr>
        <w:t>яването на латвийската демокрация</w:t>
      </w:r>
      <w:r w:rsidR="003E69EB">
        <w:rPr>
          <w:lang w:val="bg-BG"/>
        </w:rPr>
        <w:t>, е оправдано от страна на латви</w:t>
      </w:r>
      <w:r w:rsidR="00EE1019">
        <w:rPr>
          <w:lang w:val="bg-BG"/>
        </w:rPr>
        <w:t>йския законодател</w:t>
      </w:r>
      <w:r w:rsidR="003E69EB">
        <w:rPr>
          <w:lang w:val="bg-BG"/>
        </w:rPr>
        <w:t xml:space="preserve"> да прием</w:t>
      </w:r>
      <w:r w:rsidR="00582A76">
        <w:rPr>
          <w:lang w:val="bg-BG"/>
        </w:rPr>
        <w:t>е</w:t>
      </w:r>
      <w:r w:rsidR="003E69EB">
        <w:rPr>
          <w:lang w:val="bg-BG"/>
        </w:rPr>
        <w:t xml:space="preserve">, че водещите фигури на ЛКП заемат антидемократична позиция, освен ако с действията си не са оборили тази презумпция, например, </w:t>
      </w:r>
      <w:r w:rsidR="003E69EB">
        <w:rPr>
          <w:lang w:val="bg-BG"/>
        </w:rPr>
        <w:lastRenderedPageBreak/>
        <w:t xml:space="preserve">като активно </w:t>
      </w:r>
      <w:r w:rsidR="00940951">
        <w:rPr>
          <w:lang w:val="bg-BG"/>
        </w:rPr>
        <w:t>са се разграничили</w:t>
      </w:r>
      <w:r w:rsidR="003E69EB">
        <w:rPr>
          <w:lang w:val="bg-BG"/>
        </w:rPr>
        <w:t xml:space="preserve"> от ЛКП към </w:t>
      </w:r>
      <w:r w:rsidR="00E078F6">
        <w:rPr>
          <w:lang w:val="bg-BG"/>
        </w:rPr>
        <w:t>момента на настъпване на фактите</w:t>
      </w:r>
      <w:r w:rsidR="003E69EB">
        <w:rPr>
          <w:lang w:val="bg-BG"/>
        </w:rPr>
        <w:t xml:space="preserve">. </w:t>
      </w:r>
      <w:r w:rsidR="00354C6E">
        <w:rPr>
          <w:lang w:val="bg-BG"/>
        </w:rPr>
        <w:t>Жалбоподателката</w:t>
      </w:r>
      <w:r w:rsidR="003E69EB">
        <w:rPr>
          <w:lang w:val="bg-BG"/>
        </w:rPr>
        <w:t xml:space="preserve"> не е правил</w:t>
      </w:r>
      <w:r w:rsidR="00940951">
        <w:rPr>
          <w:lang w:val="bg-BG"/>
        </w:rPr>
        <w:t>а</w:t>
      </w:r>
      <w:r w:rsidR="003E69EB">
        <w:rPr>
          <w:lang w:val="bg-BG"/>
        </w:rPr>
        <w:t xml:space="preserve"> изявления, с които да се разгран</w:t>
      </w:r>
      <w:r w:rsidR="00724E1C">
        <w:rPr>
          <w:lang w:val="bg-BG"/>
        </w:rPr>
        <w:t xml:space="preserve">ичи от </w:t>
      </w:r>
      <w:r w:rsidR="00B7435B">
        <w:rPr>
          <w:lang w:val="bg-BG"/>
        </w:rPr>
        <w:t xml:space="preserve">действащата КПСС/ЛКП по това </w:t>
      </w:r>
      <w:r w:rsidR="003E69EB">
        <w:rPr>
          <w:lang w:val="bg-BG"/>
        </w:rPr>
        <w:t>вре</w:t>
      </w:r>
      <w:r w:rsidR="001E67B5">
        <w:rPr>
          <w:lang w:val="bg-BG"/>
        </w:rPr>
        <w:t>ме, или когато и да било</w:t>
      </w:r>
      <w:r w:rsidR="003E69EB">
        <w:rPr>
          <w:lang w:val="bg-BG"/>
        </w:rPr>
        <w:t xml:space="preserve"> след това (вж</w:t>
      </w:r>
      <w:r w:rsidR="00E078F6">
        <w:rPr>
          <w:lang w:val="bg-BG"/>
        </w:rPr>
        <w:t>.</w:t>
      </w:r>
      <w:r w:rsidR="003E69EB">
        <w:rPr>
          <w:lang w:val="bg-BG"/>
        </w:rPr>
        <w:t xml:space="preserve"> параграфи 21, 23 и 120 по-горе). </w:t>
      </w:r>
      <w:r w:rsidR="009D0728">
        <w:rPr>
          <w:lang w:val="bg-BG"/>
        </w:rPr>
        <w:t xml:space="preserve"> </w:t>
      </w:r>
      <w:r w:rsidR="005B5A36">
        <w:rPr>
          <w:lang w:val="bg-BG"/>
        </w:rPr>
        <w:t xml:space="preserve"> </w:t>
      </w:r>
    </w:p>
    <w:p w:rsidR="003E69EB" w:rsidRPr="00724E1C" w:rsidRDefault="005D3E62" w:rsidP="00724E1C">
      <w:pPr>
        <w:pStyle w:val="JuPara"/>
        <w:rPr>
          <w:highlight w:val="yellow"/>
          <w:lang w:val="bg-BG"/>
        </w:rPr>
      </w:pPr>
      <w:r w:rsidRPr="00E17978">
        <w:fldChar w:fldCharType="begin"/>
      </w:r>
      <w:r w:rsidR="00024194" w:rsidRPr="00945ED6">
        <w:rPr>
          <w:lang w:val="bg-BG"/>
        </w:rPr>
        <w:instrText xml:space="preserve"> </w:instrText>
      </w:r>
      <w:r w:rsidR="00024194" w:rsidRPr="00BB4F95">
        <w:rPr>
          <w:lang w:val="en-GB"/>
        </w:rPr>
        <w:instrText>SEQ</w:instrText>
      </w:r>
      <w:r w:rsidR="00024194" w:rsidRPr="00945ED6">
        <w:rPr>
          <w:lang w:val="bg-BG"/>
        </w:rPr>
        <w:instrText xml:space="preserve"> </w:instrText>
      </w:r>
      <w:r w:rsidR="00024194" w:rsidRPr="00BB4F95">
        <w:rPr>
          <w:lang w:val="en-GB"/>
        </w:rPr>
        <w:instrText>level</w:instrText>
      </w:r>
      <w:r w:rsidR="00024194" w:rsidRPr="00945ED6">
        <w:rPr>
          <w:lang w:val="bg-BG"/>
        </w:rPr>
        <w:instrText>0 \*</w:instrText>
      </w:r>
      <w:r w:rsidR="00024194" w:rsidRPr="00BB4F95">
        <w:rPr>
          <w:lang w:val="en-GB"/>
        </w:rPr>
        <w:instrText>arabic</w:instrText>
      </w:r>
      <w:r w:rsidR="00024194" w:rsidRPr="00945ED6">
        <w:rPr>
          <w:lang w:val="bg-BG"/>
        </w:rPr>
        <w:instrText xml:space="preserve"> </w:instrText>
      </w:r>
      <w:r w:rsidRPr="00E17978">
        <w:fldChar w:fldCharType="separate"/>
      </w:r>
      <w:r w:rsidR="00955550" w:rsidRPr="00945ED6">
        <w:rPr>
          <w:noProof/>
          <w:lang w:val="bg-BG"/>
        </w:rPr>
        <w:t>124</w:t>
      </w:r>
      <w:r w:rsidRPr="00E17978">
        <w:fldChar w:fldCharType="end"/>
      </w:r>
      <w:r w:rsidR="00024194" w:rsidRPr="00945ED6">
        <w:rPr>
          <w:lang w:val="bg-BG"/>
        </w:rPr>
        <w:t>.</w:t>
      </w:r>
      <w:r w:rsidR="003E69EB">
        <w:rPr>
          <w:lang w:val="bg-BG"/>
        </w:rPr>
        <w:t xml:space="preserve"> Срещу </w:t>
      </w:r>
      <w:r w:rsidR="00354C6E">
        <w:rPr>
          <w:lang w:val="bg-BG"/>
        </w:rPr>
        <w:t>жалбоподателката</w:t>
      </w:r>
      <w:r w:rsidR="003E69EB">
        <w:rPr>
          <w:lang w:val="bg-BG"/>
        </w:rPr>
        <w:t xml:space="preserve"> н</w:t>
      </w:r>
      <w:r w:rsidR="00724E1C">
        <w:rPr>
          <w:lang w:val="bg-BG"/>
        </w:rPr>
        <w:t xml:space="preserve">икога не е образувано </w:t>
      </w:r>
      <w:r w:rsidR="00724E1C" w:rsidRPr="00790DD8">
        <w:rPr>
          <w:lang w:val="bg-BG"/>
        </w:rPr>
        <w:t>наказателно</w:t>
      </w:r>
      <w:r w:rsidR="003E69EB" w:rsidRPr="00790DD8">
        <w:rPr>
          <w:lang w:val="bg-BG"/>
        </w:rPr>
        <w:t xml:space="preserve"> производство. Ако случаят беше такъв, </w:t>
      </w:r>
      <w:r w:rsidR="00940951" w:rsidRPr="00790DD8">
        <w:rPr>
          <w:lang w:val="bg-BG"/>
        </w:rPr>
        <w:t xml:space="preserve">тя </w:t>
      </w:r>
      <w:r w:rsidR="003E69EB" w:rsidRPr="00790DD8">
        <w:rPr>
          <w:lang w:val="bg-BG"/>
        </w:rPr>
        <w:t>щеше да м</w:t>
      </w:r>
      <w:r w:rsidR="003E69EB">
        <w:rPr>
          <w:lang w:val="bg-BG"/>
        </w:rPr>
        <w:t xml:space="preserve">оже да се възползва от </w:t>
      </w:r>
      <w:r w:rsidR="00466704">
        <w:rPr>
          <w:lang w:val="bg-BG"/>
        </w:rPr>
        <w:t xml:space="preserve">определени предпазни мерки, като например презумпцията за невинност и решения в полза на </w:t>
      </w:r>
      <w:r w:rsidR="00354C6E">
        <w:rPr>
          <w:lang w:val="bg-BG"/>
        </w:rPr>
        <w:t>жалбоподателката</w:t>
      </w:r>
      <w:r w:rsidR="00466704">
        <w:rPr>
          <w:lang w:val="bg-BG"/>
        </w:rPr>
        <w:t xml:space="preserve"> от подобни производства. Дисквалификацията, наложена по </w:t>
      </w:r>
      <w:r w:rsidR="00E078F6">
        <w:rPr>
          <w:lang w:val="bg-BG"/>
        </w:rPr>
        <w:t>раздел</w:t>
      </w:r>
      <w:r w:rsidR="00466704">
        <w:rPr>
          <w:lang w:val="bg-BG"/>
        </w:rPr>
        <w:t xml:space="preserve"> 5(6) от Закона от 1995 г.</w:t>
      </w:r>
      <w:r w:rsidR="00940951">
        <w:rPr>
          <w:lang w:val="bg-BG"/>
        </w:rPr>
        <w:t>,</w:t>
      </w:r>
      <w:r w:rsidR="00466704">
        <w:rPr>
          <w:lang w:val="bg-BG"/>
        </w:rPr>
        <w:t xml:space="preserve"> представлява специална публично</w:t>
      </w:r>
      <w:r w:rsidR="00827A92">
        <w:rPr>
          <w:lang w:val="bg-BG"/>
        </w:rPr>
        <w:t>-</w:t>
      </w:r>
      <w:r w:rsidR="00466704">
        <w:rPr>
          <w:lang w:val="bg-BG"/>
        </w:rPr>
        <w:t>пра</w:t>
      </w:r>
      <w:r w:rsidR="00940951">
        <w:rPr>
          <w:lang w:val="bg-BG"/>
        </w:rPr>
        <w:t>вна мярка, регулираща достъпа до</w:t>
      </w:r>
      <w:r w:rsidR="00466704">
        <w:rPr>
          <w:lang w:val="bg-BG"/>
        </w:rPr>
        <w:t xml:space="preserve"> политическия процес на най-високо ниво. </w:t>
      </w:r>
      <w:r w:rsidR="00466704" w:rsidRPr="00724E1C">
        <w:rPr>
          <w:lang w:val="bg-BG"/>
        </w:rPr>
        <w:t xml:space="preserve">В </w:t>
      </w:r>
      <w:r w:rsidR="005A516F" w:rsidRPr="00724E1C">
        <w:rPr>
          <w:lang w:val="bg-BG"/>
        </w:rPr>
        <w:t>контекста на подобна процедура, спрямо лице, което желае да се кандидатира, могат да се проявят подозрения, може да му се прехвърли теж</w:t>
      </w:r>
      <w:r w:rsidR="00940951" w:rsidRPr="00724E1C">
        <w:rPr>
          <w:lang w:val="bg-BG"/>
        </w:rPr>
        <w:t>естта на доказване, външните</w:t>
      </w:r>
      <w:r w:rsidR="005A516F" w:rsidRPr="00724E1C">
        <w:rPr>
          <w:lang w:val="bg-BG"/>
        </w:rPr>
        <w:t xml:space="preserve"> </w:t>
      </w:r>
      <w:r w:rsidR="00940951" w:rsidRPr="00724E1C">
        <w:rPr>
          <w:lang w:val="bg-BG"/>
        </w:rPr>
        <w:t xml:space="preserve">прояви </w:t>
      </w:r>
      <w:r w:rsidR="005A516F" w:rsidRPr="00724E1C">
        <w:rPr>
          <w:lang w:val="bg-BG"/>
        </w:rPr>
        <w:t>също мо</w:t>
      </w:r>
      <w:r w:rsidR="00940951" w:rsidRPr="00724E1C">
        <w:rPr>
          <w:lang w:val="bg-BG"/>
        </w:rPr>
        <w:t>гат</w:t>
      </w:r>
      <w:r w:rsidR="005A516F" w:rsidRPr="00724E1C">
        <w:rPr>
          <w:lang w:val="bg-BG"/>
        </w:rPr>
        <w:t xml:space="preserve"> да се счита</w:t>
      </w:r>
      <w:r w:rsidR="00940951" w:rsidRPr="00724E1C">
        <w:rPr>
          <w:lang w:val="bg-BG"/>
        </w:rPr>
        <w:t>т за важни</w:t>
      </w:r>
      <w:r w:rsidR="005A516F" w:rsidRPr="00724E1C">
        <w:rPr>
          <w:lang w:val="bg-BG"/>
        </w:rPr>
        <w:t>.</w:t>
      </w:r>
      <w:r w:rsidR="00940951" w:rsidRPr="00724E1C">
        <w:rPr>
          <w:lang w:val="bg-BG"/>
        </w:rPr>
        <w:t xml:space="preserve"> Както е отбелязано</w:t>
      </w:r>
      <w:r w:rsidR="005A516F" w:rsidRPr="00724E1C">
        <w:rPr>
          <w:lang w:val="bg-BG"/>
        </w:rPr>
        <w:t xml:space="preserve"> по-горе, Съдът е на мнени</w:t>
      </w:r>
      <w:r w:rsidR="005A516F">
        <w:rPr>
          <w:lang w:val="bg-BG"/>
        </w:rPr>
        <w:t xml:space="preserve">е, че латвийските власти имат право, в рамките на своята свобода на преценка, да предположат, че лице в позицията на </w:t>
      </w:r>
      <w:r w:rsidR="00354C6E">
        <w:rPr>
          <w:lang w:val="bg-BG"/>
        </w:rPr>
        <w:t>жалбоподателката</w:t>
      </w:r>
      <w:r w:rsidR="005A516F">
        <w:rPr>
          <w:lang w:val="bg-BG"/>
        </w:rPr>
        <w:t xml:space="preserve"> </w:t>
      </w:r>
      <w:r w:rsidR="00173605">
        <w:rPr>
          <w:lang w:val="bg-BG"/>
        </w:rPr>
        <w:t>е имало убеждени</w:t>
      </w:r>
      <w:r w:rsidR="00940951">
        <w:rPr>
          <w:lang w:val="bg-BG"/>
        </w:rPr>
        <w:t>я, несъвместими със стремежа</w:t>
      </w:r>
      <w:r w:rsidR="00173605">
        <w:rPr>
          <w:lang w:val="bg-BG"/>
        </w:rPr>
        <w:t xml:space="preserve"> да се гарантира интегритета на демократичния процес, както и да решат, че кандидатурата на това лице е недопустима. </w:t>
      </w:r>
      <w:r w:rsidR="00354C6E">
        <w:rPr>
          <w:lang w:val="bg-BG"/>
        </w:rPr>
        <w:t>Жалбоподателката</w:t>
      </w:r>
      <w:r w:rsidR="00173605">
        <w:rPr>
          <w:lang w:val="bg-BG"/>
        </w:rPr>
        <w:t xml:space="preserve"> не е опровергал</w:t>
      </w:r>
      <w:r w:rsidR="00940951">
        <w:rPr>
          <w:lang w:val="bg-BG"/>
        </w:rPr>
        <w:t xml:space="preserve">а </w:t>
      </w:r>
      <w:r w:rsidR="00CC244E">
        <w:rPr>
          <w:lang w:val="bg-BG"/>
        </w:rPr>
        <w:t xml:space="preserve">обосноваността </w:t>
      </w:r>
      <w:r w:rsidR="00940951">
        <w:rPr>
          <w:lang w:val="bg-BG"/>
        </w:rPr>
        <w:t>н</w:t>
      </w:r>
      <w:r w:rsidR="00173605">
        <w:rPr>
          <w:lang w:val="bg-BG"/>
        </w:rPr>
        <w:t xml:space="preserve">а тези </w:t>
      </w:r>
      <w:r w:rsidR="00CC244E">
        <w:rPr>
          <w:lang w:val="bg-BG"/>
        </w:rPr>
        <w:t xml:space="preserve">външни прояви </w:t>
      </w:r>
      <w:r w:rsidR="00173605">
        <w:rPr>
          <w:lang w:val="bg-BG"/>
        </w:rPr>
        <w:t>пред национа</w:t>
      </w:r>
      <w:r w:rsidR="00940951">
        <w:rPr>
          <w:lang w:val="bg-BG"/>
        </w:rPr>
        <w:t>лните съдилища; не я е опровергала</w:t>
      </w:r>
      <w:r w:rsidR="00173605">
        <w:rPr>
          <w:lang w:val="bg-BG"/>
        </w:rPr>
        <w:t xml:space="preserve"> и в контекста на настоящото производство.</w:t>
      </w:r>
      <w:r w:rsidR="005A516F">
        <w:rPr>
          <w:lang w:val="bg-BG"/>
        </w:rPr>
        <w:t xml:space="preserve">   </w:t>
      </w:r>
      <w:r w:rsidR="00466704">
        <w:rPr>
          <w:lang w:val="bg-BG"/>
        </w:rPr>
        <w:t xml:space="preserve">  </w:t>
      </w:r>
    </w:p>
    <w:p w:rsidR="00173605" w:rsidRPr="00945ED6" w:rsidRDefault="005D3E62" w:rsidP="00B8206D">
      <w:pPr>
        <w:pStyle w:val="JuPara"/>
        <w:rPr>
          <w:lang w:val="bg-BG"/>
        </w:rPr>
      </w:pPr>
      <w:r w:rsidRPr="00E17978">
        <w:fldChar w:fldCharType="begin"/>
      </w:r>
      <w:r w:rsidR="00024194" w:rsidRPr="00945ED6">
        <w:rPr>
          <w:lang w:val="bg-BG"/>
        </w:rPr>
        <w:instrText xml:space="preserve"> </w:instrText>
      </w:r>
      <w:r w:rsidR="00024194" w:rsidRPr="00BB4F95">
        <w:rPr>
          <w:lang w:val="en-GB"/>
        </w:rPr>
        <w:instrText>SEQ</w:instrText>
      </w:r>
      <w:r w:rsidR="00024194" w:rsidRPr="00945ED6">
        <w:rPr>
          <w:lang w:val="bg-BG"/>
        </w:rPr>
        <w:instrText xml:space="preserve"> </w:instrText>
      </w:r>
      <w:r w:rsidR="00024194" w:rsidRPr="00BB4F95">
        <w:rPr>
          <w:lang w:val="en-GB"/>
        </w:rPr>
        <w:instrText>level</w:instrText>
      </w:r>
      <w:r w:rsidR="00024194" w:rsidRPr="00945ED6">
        <w:rPr>
          <w:lang w:val="bg-BG"/>
        </w:rPr>
        <w:instrText>0 \*</w:instrText>
      </w:r>
      <w:r w:rsidR="00024194" w:rsidRPr="00BB4F95">
        <w:rPr>
          <w:lang w:val="en-GB"/>
        </w:rPr>
        <w:instrText>arabic</w:instrText>
      </w:r>
      <w:r w:rsidR="00024194" w:rsidRPr="00945ED6">
        <w:rPr>
          <w:lang w:val="bg-BG"/>
        </w:rPr>
        <w:instrText xml:space="preserve"> </w:instrText>
      </w:r>
      <w:r w:rsidRPr="00E17978">
        <w:fldChar w:fldCharType="separate"/>
      </w:r>
      <w:r w:rsidR="00955550" w:rsidRPr="00945ED6">
        <w:rPr>
          <w:noProof/>
          <w:lang w:val="bg-BG"/>
        </w:rPr>
        <w:t>125</w:t>
      </w:r>
      <w:r w:rsidRPr="00E17978">
        <w:fldChar w:fldCharType="end"/>
      </w:r>
      <w:r w:rsidR="00024194" w:rsidRPr="00945ED6">
        <w:rPr>
          <w:lang w:val="bg-BG"/>
        </w:rPr>
        <w:t>.</w:t>
      </w:r>
      <w:r w:rsidR="00173605">
        <w:rPr>
          <w:lang w:val="bg-BG"/>
        </w:rPr>
        <w:t xml:space="preserve"> Следва да се припомни също</w:t>
      </w:r>
      <w:r w:rsidR="00940951">
        <w:rPr>
          <w:lang w:val="bg-BG"/>
        </w:rPr>
        <w:t xml:space="preserve"> така</w:t>
      </w:r>
      <w:r w:rsidR="00173605">
        <w:rPr>
          <w:lang w:val="bg-BG"/>
        </w:rPr>
        <w:t>, че Конвенцията не изключва ситуация, в която мащабът и условията на определена ограничителна мярка могат да се определят в</w:t>
      </w:r>
      <w:r w:rsidR="00DF695A">
        <w:rPr>
          <w:lang w:val="bg-BG"/>
        </w:rPr>
        <w:t xml:space="preserve"> детайли от законодателя</w:t>
      </w:r>
      <w:r w:rsidR="00173605">
        <w:rPr>
          <w:lang w:val="bg-BG"/>
        </w:rPr>
        <w:t>,</w:t>
      </w:r>
      <w:r w:rsidR="00DF695A">
        <w:rPr>
          <w:lang w:val="bg-BG"/>
        </w:rPr>
        <w:t xml:space="preserve"> </w:t>
      </w:r>
      <w:r w:rsidR="004C0039">
        <w:rPr>
          <w:lang w:val="bg-BG"/>
        </w:rPr>
        <w:t xml:space="preserve">като на съдилищата с обикновена юрисдикция се остави </w:t>
      </w:r>
      <w:r w:rsidR="00DF695A">
        <w:rPr>
          <w:lang w:val="bg-BG"/>
        </w:rPr>
        <w:t>само задачата да проверят дали конкретното л</w:t>
      </w:r>
      <w:r w:rsidR="003B67F3">
        <w:rPr>
          <w:lang w:val="bg-BG"/>
        </w:rPr>
        <w:t>и</w:t>
      </w:r>
      <w:r w:rsidR="00DF695A">
        <w:rPr>
          <w:lang w:val="bg-BG"/>
        </w:rPr>
        <w:t xml:space="preserve">це принадлежи към категорията или групата, обхваната от съответния нормативен акт. Това важи с особена сила за въпросите, отнасящи се до </w:t>
      </w:r>
      <w:r w:rsidR="00DF695A" w:rsidRPr="00945ED6">
        <w:rPr>
          <w:lang w:val="bg-BG"/>
        </w:rPr>
        <w:t>чл</w:t>
      </w:r>
      <w:r w:rsidR="00417705">
        <w:rPr>
          <w:lang w:val="bg-BG"/>
        </w:rPr>
        <w:t>ен</w:t>
      </w:r>
      <w:r w:rsidR="00DF695A" w:rsidRPr="00945ED6">
        <w:rPr>
          <w:lang w:val="bg-BG"/>
        </w:rPr>
        <w:t xml:space="preserve"> 3 от Протокол № 1.</w:t>
      </w:r>
      <w:r w:rsidR="00912161" w:rsidRPr="00945ED6">
        <w:rPr>
          <w:lang w:val="bg-BG"/>
        </w:rPr>
        <w:t xml:space="preserve"> </w:t>
      </w:r>
      <w:r w:rsidR="00912161">
        <w:rPr>
          <w:lang w:val="bg-BG"/>
        </w:rPr>
        <w:t xml:space="preserve">По същество задачата на Съда е да прецени дали определената от </w:t>
      </w:r>
      <w:r w:rsidR="00417705">
        <w:rPr>
          <w:lang w:val="bg-BG"/>
        </w:rPr>
        <w:t>п</w:t>
      </w:r>
      <w:r w:rsidR="00912161">
        <w:rPr>
          <w:lang w:val="bg-BG"/>
        </w:rPr>
        <w:t xml:space="preserve">арламента мярка е </w:t>
      </w:r>
      <w:r w:rsidR="006701E6">
        <w:rPr>
          <w:lang w:val="bg-BG"/>
        </w:rPr>
        <w:t>пропорционална</w:t>
      </w:r>
      <w:r w:rsidR="003B67F3">
        <w:rPr>
          <w:lang w:val="bg-BG"/>
        </w:rPr>
        <w:t xml:space="preserve"> </w:t>
      </w:r>
      <w:r w:rsidR="00912161">
        <w:rPr>
          <w:lang w:val="bg-BG"/>
        </w:rPr>
        <w:t>от гледна точка на тази разпоредба, а не да критикува мярката с единственото основание, че националн</w:t>
      </w:r>
      <w:r w:rsidR="00940951">
        <w:rPr>
          <w:lang w:val="bg-BG"/>
        </w:rPr>
        <w:t>ите съдилища не са упълномощени</w:t>
      </w:r>
      <w:r w:rsidR="00912161">
        <w:rPr>
          <w:lang w:val="bg-BG"/>
        </w:rPr>
        <w:t xml:space="preserve"> „напълно да индивидуализират“ приложението на мярката в светлината на специфичните обстоятелства и </w:t>
      </w:r>
      <w:r w:rsidR="00417705">
        <w:rPr>
          <w:lang w:val="bg-BG"/>
        </w:rPr>
        <w:t xml:space="preserve">положението </w:t>
      </w:r>
      <w:r w:rsidR="00912161">
        <w:rPr>
          <w:lang w:val="bg-BG"/>
        </w:rPr>
        <w:t>на конкретно лице (вж</w:t>
      </w:r>
      <w:r w:rsidR="00417705">
        <w:rPr>
          <w:lang w:val="bg-BG"/>
        </w:rPr>
        <w:t>.</w:t>
      </w:r>
      <w:r w:rsidR="00912161">
        <w:rPr>
          <w:lang w:val="bg-BG"/>
        </w:rPr>
        <w:t xml:space="preserve"> параграфи 112-115 по-горе).</w:t>
      </w:r>
      <w:r w:rsidR="00DF695A">
        <w:rPr>
          <w:lang w:val="bg-BG"/>
        </w:rPr>
        <w:t xml:space="preserve">    </w:t>
      </w:r>
      <w:r w:rsidR="00173605">
        <w:rPr>
          <w:lang w:val="bg-BG"/>
        </w:rPr>
        <w:t xml:space="preserve"> </w:t>
      </w:r>
      <w:r w:rsidR="00024194" w:rsidRPr="00BB4F95">
        <w:rPr>
          <w:lang w:val="en-GB"/>
        </w:rPr>
        <w:t>  </w:t>
      </w:r>
    </w:p>
    <w:p w:rsidR="005A5ED0" w:rsidRPr="00945ED6" w:rsidRDefault="005D3E62" w:rsidP="00912161">
      <w:pPr>
        <w:pStyle w:val="JuPara"/>
        <w:rPr>
          <w:lang w:val="bg-BG"/>
        </w:rPr>
      </w:pPr>
      <w:r w:rsidRPr="00E17978">
        <w:fldChar w:fldCharType="begin"/>
      </w:r>
      <w:r w:rsidR="00024194" w:rsidRPr="00945ED6">
        <w:rPr>
          <w:lang w:val="bg-BG"/>
        </w:rPr>
        <w:instrText xml:space="preserve"> </w:instrText>
      </w:r>
      <w:r w:rsidR="00024194" w:rsidRPr="00BB4F95">
        <w:rPr>
          <w:lang w:val="en-GB"/>
        </w:rPr>
        <w:instrText>SEQ</w:instrText>
      </w:r>
      <w:r w:rsidR="00024194" w:rsidRPr="00945ED6">
        <w:rPr>
          <w:lang w:val="bg-BG"/>
        </w:rPr>
        <w:instrText xml:space="preserve"> </w:instrText>
      </w:r>
      <w:r w:rsidR="00024194" w:rsidRPr="00BB4F95">
        <w:rPr>
          <w:lang w:val="en-GB"/>
        </w:rPr>
        <w:instrText>level</w:instrText>
      </w:r>
      <w:r w:rsidR="00024194" w:rsidRPr="00945ED6">
        <w:rPr>
          <w:lang w:val="bg-BG"/>
        </w:rPr>
        <w:instrText>0 \*</w:instrText>
      </w:r>
      <w:r w:rsidR="00024194" w:rsidRPr="00BB4F95">
        <w:rPr>
          <w:lang w:val="en-GB"/>
        </w:rPr>
        <w:instrText>arabic</w:instrText>
      </w:r>
      <w:r w:rsidR="00024194" w:rsidRPr="00945ED6">
        <w:rPr>
          <w:lang w:val="bg-BG"/>
        </w:rPr>
        <w:instrText xml:space="preserve"> </w:instrText>
      </w:r>
      <w:r w:rsidRPr="00E17978">
        <w:fldChar w:fldCharType="separate"/>
      </w:r>
      <w:r w:rsidR="00955550" w:rsidRPr="00945ED6">
        <w:rPr>
          <w:noProof/>
          <w:lang w:val="bg-BG"/>
        </w:rPr>
        <w:t>126</w:t>
      </w:r>
      <w:r w:rsidRPr="00E17978">
        <w:fldChar w:fldCharType="end"/>
      </w:r>
      <w:r w:rsidR="00024194" w:rsidRPr="00945ED6">
        <w:rPr>
          <w:lang w:val="bg-BG"/>
        </w:rPr>
        <w:t>.</w:t>
      </w:r>
      <w:r w:rsidR="00912161">
        <w:rPr>
          <w:lang w:val="bg-BG"/>
        </w:rPr>
        <w:t xml:space="preserve"> В това отношение трябва да се отбележи, че </w:t>
      </w:r>
      <w:r w:rsidR="00417705">
        <w:rPr>
          <w:lang w:val="bg-BG"/>
        </w:rPr>
        <w:t>раздел</w:t>
      </w:r>
      <w:r w:rsidR="00912161" w:rsidRPr="00945ED6">
        <w:rPr>
          <w:lang w:val="bg-BG"/>
        </w:rPr>
        <w:t xml:space="preserve"> 5(6)</w:t>
      </w:r>
      <w:r w:rsidR="00912161">
        <w:rPr>
          <w:lang w:val="bg-BG"/>
        </w:rPr>
        <w:t xml:space="preserve"> от Закона от 1995 г. е сравнително тясн</w:t>
      </w:r>
      <w:r w:rsidR="00940951">
        <w:rPr>
          <w:lang w:val="bg-BG"/>
        </w:rPr>
        <w:t>о формулиран. Самият факт, че мярката се отнася единствено до лицата</w:t>
      </w:r>
      <w:r w:rsidR="00912161">
        <w:rPr>
          <w:lang w:val="bg-BG"/>
        </w:rPr>
        <w:t>, които са „участвали активно“ в д</w:t>
      </w:r>
      <w:r w:rsidR="003B67F3">
        <w:rPr>
          <w:lang w:val="bg-BG"/>
        </w:rPr>
        <w:t>ейността на ЛКП към разглеждания период от</w:t>
      </w:r>
      <w:r w:rsidR="00912161">
        <w:rPr>
          <w:lang w:val="bg-BG"/>
        </w:rPr>
        <w:t xml:space="preserve"> време, доказва, че законодателст</w:t>
      </w:r>
      <w:r w:rsidR="00940951">
        <w:rPr>
          <w:lang w:val="bg-BG"/>
        </w:rPr>
        <w:t>вото ясно разграничава отделните</w:t>
      </w:r>
      <w:r w:rsidR="00912161">
        <w:rPr>
          <w:lang w:val="bg-BG"/>
        </w:rPr>
        <w:t xml:space="preserve"> форми на ангажираност към партията от страна на бившите ѝ членове, както пра</w:t>
      </w:r>
      <w:r w:rsidR="00B0226E">
        <w:rPr>
          <w:lang w:val="bg-BG"/>
        </w:rPr>
        <w:t>ви</w:t>
      </w:r>
      <w:r w:rsidR="00912161">
        <w:rPr>
          <w:lang w:val="bg-BG"/>
        </w:rPr>
        <w:t xml:space="preserve">лно е посочено в решението на Конституционния съд от 30 август 2000 г.   </w:t>
      </w:r>
      <w:r w:rsidR="00024194" w:rsidRPr="00BB4F95">
        <w:rPr>
          <w:lang w:val="en-GB"/>
        </w:rPr>
        <w:t>  </w:t>
      </w:r>
    </w:p>
    <w:p w:rsidR="00912161" w:rsidRPr="00945ED6" w:rsidRDefault="005D3E62" w:rsidP="00B8206D">
      <w:pPr>
        <w:pStyle w:val="JuPara"/>
        <w:rPr>
          <w:lang w:val="bg-BG"/>
        </w:rPr>
      </w:pPr>
      <w:r w:rsidRPr="00E17978">
        <w:lastRenderedPageBreak/>
        <w:fldChar w:fldCharType="begin"/>
      </w:r>
      <w:r w:rsidR="00024194" w:rsidRPr="00945ED6">
        <w:rPr>
          <w:lang w:val="bg-BG"/>
        </w:rPr>
        <w:instrText xml:space="preserve"> </w:instrText>
      </w:r>
      <w:r w:rsidR="00024194" w:rsidRPr="00BB4F95">
        <w:rPr>
          <w:lang w:val="en-GB"/>
        </w:rPr>
        <w:instrText>SEQ</w:instrText>
      </w:r>
      <w:r w:rsidR="00024194" w:rsidRPr="00945ED6">
        <w:rPr>
          <w:lang w:val="bg-BG"/>
        </w:rPr>
        <w:instrText xml:space="preserve"> </w:instrText>
      </w:r>
      <w:r w:rsidR="00024194" w:rsidRPr="00BB4F95">
        <w:rPr>
          <w:lang w:val="en-GB"/>
        </w:rPr>
        <w:instrText>level</w:instrText>
      </w:r>
      <w:r w:rsidR="00024194" w:rsidRPr="00945ED6">
        <w:rPr>
          <w:lang w:val="bg-BG"/>
        </w:rPr>
        <w:instrText>0 \*</w:instrText>
      </w:r>
      <w:r w:rsidR="00024194" w:rsidRPr="00BB4F95">
        <w:rPr>
          <w:lang w:val="en-GB"/>
        </w:rPr>
        <w:instrText>arabic</w:instrText>
      </w:r>
      <w:r w:rsidR="00024194" w:rsidRPr="00945ED6">
        <w:rPr>
          <w:lang w:val="bg-BG"/>
        </w:rPr>
        <w:instrText xml:space="preserve"> </w:instrText>
      </w:r>
      <w:r w:rsidRPr="00E17978">
        <w:fldChar w:fldCharType="separate"/>
      </w:r>
      <w:r w:rsidR="00955550" w:rsidRPr="00945ED6">
        <w:rPr>
          <w:noProof/>
          <w:lang w:val="bg-BG"/>
        </w:rPr>
        <w:t>127</w:t>
      </w:r>
      <w:r w:rsidRPr="00E17978">
        <w:fldChar w:fldCharType="end"/>
      </w:r>
      <w:r w:rsidR="00024194" w:rsidRPr="00945ED6">
        <w:rPr>
          <w:lang w:val="bg-BG"/>
        </w:rPr>
        <w:t>.</w:t>
      </w:r>
      <w:r w:rsidR="00912161">
        <w:rPr>
          <w:lang w:val="bg-BG"/>
        </w:rPr>
        <w:t xml:space="preserve"> Освен това Законът предоставя на засегнатите от разпоредбите на </w:t>
      </w:r>
      <w:r w:rsidR="00AC1948">
        <w:rPr>
          <w:lang w:val="bg-BG"/>
        </w:rPr>
        <w:t>раздел</w:t>
      </w:r>
      <w:r w:rsidR="00912161">
        <w:rPr>
          <w:lang w:val="bg-BG"/>
        </w:rPr>
        <w:t xml:space="preserve"> 5(6)</w:t>
      </w:r>
      <w:r w:rsidR="0066599C">
        <w:rPr>
          <w:lang w:val="bg-BG"/>
        </w:rPr>
        <w:t xml:space="preserve"> лица правото п</w:t>
      </w:r>
      <w:r w:rsidR="00940951">
        <w:rPr>
          <w:lang w:val="bg-BG"/>
        </w:rPr>
        <w:t>о съдебен път да се реши въпросът</w:t>
      </w:r>
      <w:r w:rsidR="0066599C">
        <w:rPr>
          <w:lang w:val="bg-BG"/>
        </w:rPr>
        <w:t xml:space="preserve"> дали попадат в определената от законодателя категорията, с други думи, дали могат да се считат за</w:t>
      </w:r>
      <w:r w:rsidR="00236C89">
        <w:rPr>
          <w:lang w:val="bg-BG"/>
        </w:rPr>
        <w:t xml:space="preserve"> „активни участници“. Очевидно </w:t>
      </w:r>
      <w:r w:rsidR="00940951">
        <w:rPr>
          <w:lang w:val="bg-BG"/>
        </w:rPr>
        <w:t xml:space="preserve">това </w:t>
      </w:r>
      <w:r w:rsidR="0066599C">
        <w:rPr>
          <w:lang w:val="bg-BG"/>
        </w:rPr>
        <w:t>право</w:t>
      </w:r>
      <w:r w:rsidR="00940951">
        <w:rPr>
          <w:lang w:val="bg-BG"/>
        </w:rPr>
        <w:t xml:space="preserve"> не е илюзорно</w:t>
      </w:r>
      <w:r w:rsidR="0066599C">
        <w:rPr>
          <w:lang w:val="bg-BG"/>
        </w:rPr>
        <w:t xml:space="preserve"> (вж</w:t>
      </w:r>
      <w:r w:rsidR="00AC1948">
        <w:rPr>
          <w:lang w:val="bg-BG"/>
        </w:rPr>
        <w:t>.</w:t>
      </w:r>
      <w:r w:rsidR="0066599C">
        <w:rPr>
          <w:lang w:val="bg-BG"/>
        </w:rPr>
        <w:t xml:space="preserve"> параграф 45 по-горе). </w:t>
      </w:r>
      <w:r w:rsidR="00354C6E">
        <w:rPr>
          <w:lang w:val="bg-BG"/>
        </w:rPr>
        <w:t>Жалбоподателката</w:t>
      </w:r>
      <w:r w:rsidR="0066599C">
        <w:rPr>
          <w:lang w:val="bg-BG"/>
        </w:rPr>
        <w:t xml:space="preserve"> не твърди</w:t>
      </w:r>
      <w:r w:rsidR="00940951">
        <w:rPr>
          <w:lang w:val="bg-BG"/>
        </w:rPr>
        <w:t>, че производството по делото ѝ</w:t>
      </w:r>
      <w:r w:rsidR="0066599C">
        <w:rPr>
          <w:lang w:val="bg-BG"/>
        </w:rPr>
        <w:t xml:space="preserve"> не е било състезателно. Съдът напомня още, че е приел</w:t>
      </w:r>
      <w:r w:rsidR="006F4CD4" w:rsidRPr="00945ED6">
        <w:rPr>
          <w:lang w:val="bg-BG"/>
        </w:rPr>
        <w:t xml:space="preserve"> </w:t>
      </w:r>
      <w:r w:rsidR="00AC1948">
        <w:rPr>
          <w:lang w:val="bg-BG"/>
        </w:rPr>
        <w:t xml:space="preserve">констатациите </w:t>
      </w:r>
      <w:r w:rsidR="006F4CD4">
        <w:rPr>
          <w:lang w:val="bg-BG"/>
        </w:rPr>
        <w:t>на националните съдилища, според ко</w:t>
      </w:r>
      <w:r w:rsidR="00AC1948">
        <w:rPr>
          <w:lang w:val="bg-BG"/>
        </w:rPr>
        <w:t>и</w:t>
      </w:r>
      <w:r w:rsidR="006F4CD4">
        <w:rPr>
          <w:lang w:val="bg-BG"/>
        </w:rPr>
        <w:t xml:space="preserve">то </w:t>
      </w:r>
      <w:r w:rsidR="00354C6E">
        <w:rPr>
          <w:lang w:val="bg-BG"/>
        </w:rPr>
        <w:t>жалбоподателката</w:t>
      </w:r>
      <w:r w:rsidR="006F4CD4">
        <w:rPr>
          <w:lang w:val="bg-BG"/>
        </w:rPr>
        <w:t xml:space="preserve"> е повече от формален член на ЛКП, участвал</w:t>
      </w:r>
      <w:r w:rsidR="00940951">
        <w:rPr>
          <w:lang w:val="bg-BG"/>
        </w:rPr>
        <w:t>а</w:t>
      </w:r>
      <w:r w:rsidR="006F4CD4">
        <w:rPr>
          <w:lang w:val="bg-BG"/>
        </w:rPr>
        <w:t xml:space="preserve"> е в дейността на партията след критичната дата 13 януари 1991 г., а самата ЛКП изиграва важна роля в събитията от 1991 г., включително в неуспешния преврат (вж</w:t>
      </w:r>
      <w:r w:rsidR="00F61292">
        <w:rPr>
          <w:lang w:val="bg-BG"/>
        </w:rPr>
        <w:t>.</w:t>
      </w:r>
      <w:r w:rsidR="006F4CD4">
        <w:rPr>
          <w:lang w:val="bg-BG"/>
        </w:rPr>
        <w:t xml:space="preserve"> параграфи 23 и 37-44 по-горе)</w:t>
      </w:r>
      <w:r w:rsidR="0004572F">
        <w:rPr>
          <w:lang w:val="bg-BG"/>
        </w:rPr>
        <w:t xml:space="preserve">. Процедурите, приложени към делото на </w:t>
      </w:r>
      <w:r w:rsidR="00354C6E">
        <w:rPr>
          <w:lang w:val="bg-BG"/>
        </w:rPr>
        <w:t>жалбоподателката</w:t>
      </w:r>
      <w:r w:rsidR="0004572F">
        <w:rPr>
          <w:lang w:val="bg-BG"/>
        </w:rPr>
        <w:t>, както и заключенията, до които достигат нац</w:t>
      </w:r>
      <w:r w:rsidR="00D116BF">
        <w:rPr>
          <w:lang w:val="bg-BG"/>
        </w:rPr>
        <w:t>ионалните съдилища при приложение</w:t>
      </w:r>
      <w:r w:rsidR="0004572F">
        <w:rPr>
          <w:lang w:val="bg-BG"/>
        </w:rPr>
        <w:t xml:space="preserve"> на съответното национално законодателство, не могат да се считат за произволни (вж</w:t>
      </w:r>
      <w:r w:rsidR="00F61292">
        <w:rPr>
          <w:lang w:val="bg-BG"/>
        </w:rPr>
        <w:t>.</w:t>
      </w:r>
      <w:r w:rsidR="0066599C">
        <w:rPr>
          <w:lang w:val="bg-BG"/>
        </w:rPr>
        <w:t xml:space="preserve"> </w:t>
      </w:r>
      <w:r w:rsidR="00F61292">
        <w:rPr>
          <w:lang w:val="bg-BG"/>
        </w:rPr>
        <w:t>за</w:t>
      </w:r>
      <w:r w:rsidR="00C338AE">
        <w:rPr>
          <w:lang w:val="bg-BG"/>
        </w:rPr>
        <w:t xml:space="preserve"> сравнение</w:t>
      </w:r>
      <w:r w:rsidR="0004572F" w:rsidRPr="00945ED6">
        <w:rPr>
          <w:lang w:val="bg-BG"/>
        </w:rPr>
        <w:t xml:space="preserve"> </w:t>
      </w:r>
      <w:r w:rsidR="0004572F">
        <w:rPr>
          <w:lang w:val="bg-BG"/>
        </w:rPr>
        <w:t xml:space="preserve">делата </w:t>
      </w:r>
      <w:r w:rsidR="0004572F" w:rsidRPr="00BB4F95">
        <w:rPr>
          <w:i/>
          <w:lang w:val="en-GB"/>
        </w:rPr>
        <w:t>Podkolzina</w:t>
      </w:r>
      <w:r w:rsidR="0004572F" w:rsidRPr="00945ED6">
        <w:rPr>
          <w:i/>
          <w:lang w:val="bg-BG"/>
        </w:rPr>
        <w:t xml:space="preserve"> </w:t>
      </w:r>
      <w:r w:rsidR="0004572F">
        <w:rPr>
          <w:lang w:val="bg-BG"/>
        </w:rPr>
        <w:t>и</w:t>
      </w:r>
      <w:r w:rsidR="0004572F" w:rsidRPr="00945ED6">
        <w:rPr>
          <w:i/>
          <w:lang w:val="bg-BG"/>
        </w:rPr>
        <w:t xml:space="preserve"> </w:t>
      </w:r>
      <w:r w:rsidR="0004572F" w:rsidRPr="00BB4F95">
        <w:rPr>
          <w:i/>
          <w:lang w:val="en-GB"/>
        </w:rPr>
        <w:t>Melnychenko</w:t>
      </w:r>
      <w:r w:rsidR="0004572F">
        <w:rPr>
          <w:lang w:val="bg-BG"/>
        </w:rPr>
        <w:t>, споменати в параграфи 107-08 по-горе).</w:t>
      </w:r>
      <w:r w:rsidR="00A777B2">
        <w:rPr>
          <w:lang w:val="bg-BG"/>
        </w:rPr>
        <w:t xml:space="preserve"> </w:t>
      </w:r>
    </w:p>
    <w:p w:rsidR="0004572F" w:rsidRPr="00945ED6" w:rsidRDefault="005D3E62" w:rsidP="00B8206D">
      <w:pPr>
        <w:pStyle w:val="JuPara"/>
        <w:rPr>
          <w:lang w:val="bg-BG"/>
        </w:rPr>
      </w:pPr>
      <w:r w:rsidRPr="00E17978">
        <w:fldChar w:fldCharType="begin"/>
      </w:r>
      <w:r w:rsidR="00024194" w:rsidRPr="00945ED6">
        <w:rPr>
          <w:lang w:val="bg-BG"/>
        </w:rPr>
        <w:instrText xml:space="preserve"> </w:instrText>
      </w:r>
      <w:r w:rsidR="00024194" w:rsidRPr="00BB4F95">
        <w:rPr>
          <w:lang w:val="en-GB"/>
        </w:rPr>
        <w:instrText>SEQ</w:instrText>
      </w:r>
      <w:r w:rsidR="00024194" w:rsidRPr="00945ED6">
        <w:rPr>
          <w:lang w:val="bg-BG"/>
        </w:rPr>
        <w:instrText xml:space="preserve"> </w:instrText>
      </w:r>
      <w:r w:rsidR="00024194" w:rsidRPr="00BB4F95">
        <w:rPr>
          <w:lang w:val="en-GB"/>
        </w:rPr>
        <w:instrText>level</w:instrText>
      </w:r>
      <w:r w:rsidR="00024194" w:rsidRPr="00945ED6">
        <w:rPr>
          <w:lang w:val="bg-BG"/>
        </w:rPr>
        <w:instrText>0 \*</w:instrText>
      </w:r>
      <w:r w:rsidR="00024194" w:rsidRPr="00BB4F95">
        <w:rPr>
          <w:lang w:val="en-GB"/>
        </w:rPr>
        <w:instrText>arabic</w:instrText>
      </w:r>
      <w:r w:rsidR="00024194" w:rsidRPr="00945ED6">
        <w:rPr>
          <w:lang w:val="bg-BG"/>
        </w:rPr>
        <w:instrText xml:space="preserve"> </w:instrText>
      </w:r>
      <w:r w:rsidRPr="00E17978">
        <w:fldChar w:fldCharType="separate"/>
      </w:r>
      <w:r w:rsidR="00955550" w:rsidRPr="00945ED6">
        <w:rPr>
          <w:noProof/>
          <w:lang w:val="bg-BG"/>
        </w:rPr>
        <w:t>128</w:t>
      </w:r>
      <w:r w:rsidRPr="00E17978">
        <w:fldChar w:fldCharType="end"/>
      </w:r>
      <w:r w:rsidR="00024194" w:rsidRPr="00945ED6">
        <w:rPr>
          <w:lang w:val="bg-BG"/>
        </w:rPr>
        <w:t>.</w:t>
      </w:r>
      <w:r w:rsidR="0004572F">
        <w:rPr>
          <w:lang w:val="bg-BG"/>
        </w:rPr>
        <w:t xml:space="preserve"> </w:t>
      </w:r>
      <w:r w:rsidR="00940951">
        <w:rPr>
          <w:lang w:val="bg-BG"/>
        </w:rPr>
        <w:t>С оглед на изложените по-горе</w:t>
      </w:r>
      <w:r w:rsidR="00A777B2">
        <w:rPr>
          <w:lang w:val="bg-BG"/>
        </w:rPr>
        <w:t xml:space="preserve"> съображения</w:t>
      </w:r>
      <w:r w:rsidR="0004572F">
        <w:rPr>
          <w:lang w:val="bg-BG"/>
        </w:rPr>
        <w:t>, Съдът счита,</w:t>
      </w:r>
      <w:r w:rsidR="00A777B2" w:rsidRPr="00945ED6">
        <w:rPr>
          <w:lang w:val="bg-BG"/>
        </w:rPr>
        <w:t xml:space="preserve"> </w:t>
      </w:r>
      <w:r w:rsidR="00A777B2">
        <w:rPr>
          <w:lang w:val="bg-BG"/>
        </w:rPr>
        <w:t xml:space="preserve">че оспорваното законодателство ясно и прецизно дефинира категорията лица, които засяга, както и че е достатъчно гъвкаво, за да позволи на националните съдилища да преценят дали конкретно лице спада към тази категория. В настоящия случай достатъчна степен на индивидуализация, както изисква </w:t>
      </w:r>
      <w:r w:rsidR="00A777B2" w:rsidRPr="00945ED6">
        <w:rPr>
          <w:lang w:val="bg-BG"/>
        </w:rPr>
        <w:t>чл</w:t>
      </w:r>
      <w:r w:rsidR="00F61292">
        <w:rPr>
          <w:lang w:val="bg-BG"/>
        </w:rPr>
        <w:t>ен</w:t>
      </w:r>
      <w:r w:rsidR="00A777B2" w:rsidRPr="00945ED6">
        <w:rPr>
          <w:lang w:val="bg-BG"/>
        </w:rPr>
        <w:t xml:space="preserve"> 3 от Протокол № 1</w:t>
      </w:r>
      <w:r w:rsidR="00A777B2">
        <w:rPr>
          <w:lang w:val="bg-BG"/>
        </w:rPr>
        <w:t xml:space="preserve">, е приложена първо от латвийския парламент при приемането на </w:t>
      </w:r>
      <w:r w:rsidR="00F61292">
        <w:rPr>
          <w:lang w:val="bg-BG"/>
        </w:rPr>
        <w:t>раздел</w:t>
      </w:r>
      <w:r w:rsidR="00A777B2">
        <w:rPr>
          <w:lang w:val="bg-BG"/>
        </w:rPr>
        <w:t xml:space="preserve"> 5(6) от Закона от 1995 г. и </w:t>
      </w:r>
      <w:r w:rsidR="00F61292" w:rsidRPr="00530E30">
        <w:rPr>
          <w:lang w:val="bg-BG"/>
        </w:rPr>
        <w:t>в</w:t>
      </w:r>
      <w:r w:rsidR="00A777B2">
        <w:rPr>
          <w:lang w:val="bg-BG"/>
        </w:rPr>
        <w:t>после</w:t>
      </w:r>
      <w:r w:rsidR="00F61292">
        <w:rPr>
          <w:lang w:val="bg-BG"/>
        </w:rPr>
        <w:t>дствие</w:t>
      </w:r>
      <w:r w:rsidR="00A777B2">
        <w:rPr>
          <w:lang w:val="bg-BG"/>
        </w:rPr>
        <w:t xml:space="preserve"> от националните съдилища при установяването, че оспорваната законова мярка се отнася за </w:t>
      </w:r>
      <w:r w:rsidR="00354C6E">
        <w:rPr>
          <w:lang w:val="bg-BG"/>
        </w:rPr>
        <w:t>жалбоподателката</w:t>
      </w:r>
      <w:r w:rsidR="00A777B2">
        <w:rPr>
          <w:lang w:val="bg-BG"/>
        </w:rPr>
        <w:t>.</w:t>
      </w:r>
      <w:r w:rsidR="009C7BFA">
        <w:rPr>
          <w:lang w:val="bg-BG"/>
        </w:rPr>
        <w:t xml:space="preserve"> За латвийския парламент не е имало задължение по </w:t>
      </w:r>
      <w:r w:rsidR="009C7BFA" w:rsidRPr="00945ED6">
        <w:rPr>
          <w:lang w:val="bg-BG"/>
        </w:rPr>
        <w:t>чл</w:t>
      </w:r>
      <w:r w:rsidR="00F53135">
        <w:rPr>
          <w:lang w:val="bg-BG"/>
        </w:rPr>
        <w:t>ен</w:t>
      </w:r>
      <w:r w:rsidR="009C7BFA" w:rsidRPr="00945ED6">
        <w:rPr>
          <w:lang w:val="bg-BG"/>
        </w:rPr>
        <w:t xml:space="preserve"> 3 от Протокол № 1</w:t>
      </w:r>
      <w:r w:rsidR="009C7BFA">
        <w:rPr>
          <w:lang w:val="bg-BG"/>
        </w:rPr>
        <w:t xml:space="preserve"> да делегира на латвийските съдилища по-широката компетентност да „индивидуализират напълно“ ситуацията на </w:t>
      </w:r>
      <w:r w:rsidR="00354C6E">
        <w:rPr>
          <w:lang w:val="bg-BG"/>
        </w:rPr>
        <w:t>жалбоподателката</w:t>
      </w:r>
      <w:r w:rsidR="009C7BFA">
        <w:rPr>
          <w:lang w:val="bg-BG"/>
        </w:rPr>
        <w:t>, за да може да се установи като факт дали е направил</w:t>
      </w:r>
      <w:r w:rsidR="004F33D5">
        <w:rPr>
          <w:lang w:val="bg-BG"/>
        </w:rPr>
        <w:t>а</w:t>
      </w:r>
      <w:r w:rsidR="009C7BFA">
        <w:rPr>
          <w:lang w:val="bg-BG"/>
        </w:rPr>
        <w:t xml:space="preserve"> нещо</w:t>
      </w:r>
      <w:r w:rsidR="00DC225F">
        <w:rPr>
          <w:lang w:val="bg-BG"/>
        </w:rPr>
        <w:t>,</w:t>
      </w:r>
      <w:r w:rsidR="004F33D5">
        <w:rPr>
          <w:lang w:val="bg-BG"/>
        </w:rPr>
        <w:t xml:space="preserve"> което би оправдало считането ѝ</w:t>
      </w:r>
      <w:r w:rsidR="00DC225F">
        <w:rPr>
          <w:lang w:val="bg-BG"/>
        </w:rPr>
        <w:t xml:space="preserve"> за</w:t>
      </w:r>
      <w:r w:rsidR="004F33D5">
        <w:rPr>
          <w:lang w:val="bg-BG"/>
        </w:rPr>
        <w:t xml:space="preserve"> лично отговорна</w:t>
      </w:r>
      <w:r w:rsidR="009C7BFA">
        <w:rPr>
          <w:lang w:val="bg-BG"/>
        </w:rPr>
        <w:t xml:space="preserve"> за дейността на ЛКП към </w:t>
      </w:r>
      <w:r w:rsidR="00F53135">
        <w:rPr>
          <w:lang w:val="bg-BG"/>
        </w:rPr>
        <w:t>момента на настъпване на фактите</w:t>
      </w:r>
      <w:r w:rsidR="009C7BFA">
        <w:rPr>
          <w:lang w:val="bg-BG"/>
        </w:rPr>
        <w:t xml:space="preserve"> </w:t>
      </w:r>
      <w:r w:rsidR="00F53135">
        <w:rPr>
          <w:lang w:val="bg-BG"/>
        </w:rPr>
        <w:t xml:space="preserve">през </w:t>
      </w:r>
      <w:r w:rsidR="009C7BFA">
        <w:rPr>
          <w:lang w:val="bg-BG"/>
        </w:rPr>
        <w:t>1991 г., или</w:t>
      </w:r>
      <w:r w:rsidR="00DC225F">
        <w:rPr>
          <w:lang w:val="bg-BG"/>
        </w:rPr>
        <w:t xml:space="preserve"> да се направи преоценка на действителната опасност </w:t>
      </w:r>
      <w:r w:rsidR="00F53135">
        <w:rPr>
          <w:lang w:val="bg-BG"/>
        </w:rPr>
        <w:t xml:space="preserve">по отношение на </w:t>
      </w:r>
      <w:r w:rsidR="00DC225F">
        <w:rPr>
          <w:lang w:val="bg-BG"/>
        </w:rPr>
        <w:t>демократичния процес, коят</w:t>
      </w:r>
      <w:r w:rsidR="004F33D5">
        <w:rPr>
          <w:lang w:val="bg-BG"/>
        </w:rPr>
        <w:t>о може да възникне, след като ѝ</w:t>
      </w:r>
      <w:r w:rsidR="00DC225F">
        <w:rPr>
          <w:lang w:val="bg-BG"/>
        </w:rPr>
        <w:t xml:space="preserve"> се позволи да се кандидатира </w:t>
      </w:r>
      <w:r w:rsidR="004F33D5">
        <w:rPr>
          <w:lang w:val="bg-BG"/>
        </w:rPr>
        <w:t>на избори, с оглед на настоящата или миналата ѝ дейност</w:t>
      </w:r>
      <w:r w:rsidR="00DC225F">
        <w:rPr>
          <w:lang w:val="bg-BG"/>
        </w:rPr>
        <w:t xml:space="preserve"> (вж</w:t>
      </w:r>
      <w:r w:rsidR="00F53135">
        <w:rPr>
          <w:lang w:val="bg-BG"/>
        </w:rPr>
        <w:t>.</w:t>
      </w:r>
      <w:r w:rsidR="00DC225F">
        <w:rPr>
          <w:lang w:val="bg-BG"/>
        </w:rPr>
        <w:t xml:space="preserve"> </w:t>
      </w:r>
      <w:r w:rsidR="00F53135">
        <w:rPr>
          <w:lang w:val="bg-BG"/>
        </w:rPr>
        <w:t>за</w:t>
      </w:r>
      <w:r w:rsidR="00C338AE">
        <w:rPr>
          <w:lang w:val="bg-BG"/>
        </w:rPr>
        <w:t xml:space="preserve"> сравнение</w:t>
      </w:r>
      <w:r w:rsidR="00DC225F">
        <w:rPr>
          <w:lang w:val="bg-BG"/>
        </w:rPr>
        <w:t xml:space="preserve"> параграф 75 по-горе).</w:t>
      </w:r>
      <w:r w:rsidR="009C7BFA">
        <w:rPr>
          <w:lang w:val="bg-BG"/>
        </w:rPr>
        <w:t xml:space="preserve"> </w:t>
      </w:r>
    </w:p>
    <w:p w:rsidR="00DC225F" w:rsidRPr="00C53544" w:rsidRDefault="005D3E62" w:rsidP="00B8206D">
      <w:pPr>
        <w:pStyle w:val="JuPara"/>
        <w:rPr>
          <w:lang w:val="bg-BG"/>
        </w:rPr>
      </w:pPr>
      <w:r w:rsidRPr="00E17978">
        <w:fldChar w:fldCharType="begin"/>
      </w:r>
      <w:r w:rsidR="00024194" w:rsidRPr="00945ED6">
        <w:rPr>
          <w:lang w:val="bg-BG"/>
        </w:rPr>
        <w:instrText xml:space="preserve"> </w:instrText>
      </w:r>
      <w:r w:rsidR="00024194" w:rsidRPr="00BB4F95">
        <w:rPr>
          <w:lang w:val="en-GB"/>
        </w:rPr>
        <w:instrText>SEQ</w:instrText>
      </w:r>
      <w:r w:rsidR="00024194" w:rsidRPr="00945ED6">
        <w:rPr>
          <w:lang w:val="bg-BG"/>
        </w:rPr>
        <w:instrText xml:space="preserve"> </w:instrText>
      </w:r>
      <w:r w:rsidR="00024194" w:rsidRPr="00BB4F95">
        <w:rPr>
          <w:lang w:val="en-GB"/>
        </w:rPr>
        <w:instrText>level</w:instrText>
      </w:r>
      <w:r w:rsidR="00024194" w:rsidRPr="00945ED6">
        <w:rPr>
          <w:lang w:val="bg-BG"/>
        </w:rPr>
        <w:instrText>0 \*</w:instrText>
      </w:r>
      <w:r w:rsidR="00024194" w:rsidRPr="00BB4F95">
        <w:rPr>
          <w:lang w:val="en-GB"/>
        </w:rPr>
        <w:instrText>arabic</w:instrText>
      </w:r>
      <w:r w:rsidR="00024194" w:rsidRPr="00945ED6">
        <w:rPr>
          <w:lang w:val="bg-BG"/>
        </w:rPr>
        <w:instrText xml:space="preserve"> </w:instrText>
      </w:r>
      <w:r w:rsidRPr="00E17978">
        <w:fldChar w:fldCharType="separate"/>
      </w:r>
      <w:r w:rsidR="00955550" w:rsidRPr="00945ED6">
        <w:rPr>
          <w:noProof/>
          <w:lang w:val="bg-BG"/>
        </w:rPr>
        <w:t>129</w:t>
      </w:r>
      <w:r w:rsidRPr="00E17978">
        <w:fldChar w:fldCharType="end"/>
      </w:r>
      <w:r w:rsidR="00024194" w:rsidRPr="00945ED6">
        <w:rPr>
          <w:lang w:val="bg-BG"/>
        </w:rPr>
        <w:t>.</w:t>
      </w:r>
      <w:r w:rsidR="00C53544" w:rsidRPr="00945ED6">
        <w:rPr>
          <w:lang w:val="bg-BG"/>
        </w:rPr>
        <w:t xml:space="preserve"> </w:t>
      </w:r>
      <w:r w:rsidR="00C53544">
        <w:rPr>
          <w:lang w:val="bg-BG"/>
        </w:rPr>
        <w:t>Освен тов</w:t>
      </w:r>
      <w:r w:rsidR="0017058E">
        <w:rPr>
          <w:lang w:val="bg-BG"/>
        </w:rPr>
        <w:t>а, за да се оправдае недопускането н</w:t>
      </w:r>
      <w:r w:rsidR="00C53544">
        <w:rPr>
          <w:lang w:val="bg-BG"/>
        </w:rPr>
        <w:t xml:space="preserve">а </w:t>
      </w:r>
      <w:r w:rsidR="00354C6E">
        <w:rPr>
          <w:lang w:val="bg-BG"/>
        </w:rPr>
        <w:t>жалбоподателката</w:t>
      </w:r>
      <w:r w:rsidR="00C53544">
        <w:rPr>
          <w:lang w:val="bg-BG"/>
        </w:rPr>
        <w:t xml:space="preserve"> да се кандидатира за член на националния парламент, не е от основно значение фактът, че никога не е даван</w:t>
      </w:r>
      <w:r w:rsidR="0017058E">
        <w:rPr>
          <w:lang w:val="bg-BG"/>
        </w:rPr>
        <w:t>а</w:t>
      </w:r>
      <w:r w:rsidR="00C53544">
        <w:rPr>
          <w:lang w:val="bg-BG"/>
        </w:rPr>
        <w:t xml:space="preserve"> под съд за криминално престъпление и н</w:t>
      </w:r>
      <w:r w:rsidR="00C338AE">
        <w:rPr>
          <w:lang w:val="bg-BG"/>
        </w:rPr>
        <w:t>е е сред петнадесетте член</w:t>
      </w:r>
      <w:r w:rsidR="00E362BF">
        <w:rPr>
          <w:lang w:val="bg-BG"/>
        </w:rPr>
        <w:t>ове</w:t>
      </w:r>
      <w:r w:rsidR="00C338AE">
        <w:rPr>
          <w:lang w:val="bg-BG"/>
        </w:rPr>
        <w:t xml:space="preserve"> на п</w:t>
      </w:r>
      <w:r w:rsidR="0017058E">
        <w:rPr>
          <w:lang w:val="bg-BG"/>
        </w:rPr>
        <w:t>арламента, които са били свалени</w:t>
      </w:r>
      <w:r w:rsidR="00C53544">
        <w:rPr>
          <w:lang w:val="bg-BG"/>
        </w:rPr>
        <w:t xml:space="preserve"> от постовете си (вж</w:t>
      </w:r>
      <w:r w:rsidR="00E362BF">
        <w:rPr>
          <w:lang w:val="bg-BG"/>
        </w:rPr>
        <w:t>.</w:t>
      </w:r>
      <w:r w:rsidR="00C53544">
        <w:rPr>
          <w:lang w:val="bg-BG"/>
        </w:rPr>
        <w:t xml:space="preserve"> параграфи 29 и 75 по-горе). Напротив, като избира</w:t>
      </w:r>
      <w:r w:rsidR="00C4626A">
        <w:rPr>
          <w:lang w:val="bg-BG"/>
        </w:rPr>
        <w:t>т</w:t>
      </w:r>
      <w:r w:rsidR="00C53544">
        <w:rPr>
          <w:lang w:val="bg-BG"/>
        </w:rPr>
        <w:t xml:space="preserve"> да </w:t>
      </w:r>
      <w:r w:rsidR="00E362BF">
        <w:rPr>
          <w:lang w:val="bg-BG"/>
        </w:rPr>
        <w:t>предприемат наказателно преследване</w:t>
      </w:r>
      <w:r w:rsidR="00C53544">
        <w:rPr>
          <w:lang w:val="bg-BG"/>
        </w:rPr>
        <w:t xml:space="preserve"> само </w:t>
      </w:r>
      <w:r w:rsidR="00E362BF">
        <w:rPr>
          <w:lang w:val="bg-BG"/>
        </w:rPr>
        <w:t xml:space="preserve">на </w:t>
      </w:r>
      <w:r w:rsidR="00C53544">
        <w:rPr>
          <w:lang w:val="bg-BG"/>
        </w:rPr>
        <w:t>двамата бивши лидери на ЛКП (вж</w:t>
      </w:r>
      <w:r w:rsidR="00E362BF">
        <w:rPr>
          <w:lang w:val="bg-BG"/>
        </w:rPr>
        <w:t>.</w:t>
      </w:r>
      <w:r w:rsidR="00C53544">
        <w:rPr>
          <w:lang w:val="bg-BG"/>
        </w:rPr>
        <w:t xml:space="preserve"> параграф 32) и </w:t>
      </w:r>
      <w:r w:rsidR="00C4626A">
        <w:rPr>
          <w:lang w:val="bg-BG"/>
        </w:rPr>
        <w:t>да наложат</w:t>
      </w:r>
      <w:r w:rsidR="00C53544">
        <w:rPr>
          <w:lang w:val="bg-BG"/>
        </w:rPr>
        <w:t xml:space="preserve"> по-леки ограничения върху политическите права на други </w:t>
      </w:r>
      <w:r w:rsidR="00C53544">
        <w:rPr>
          <w:lang w:val="bg-BG"/>
        </w:rPr>
        <w:lastRenderedPageBreak/>
        <w:t>дейци на ЛКП,</w:t>
      </w:r>
      <w:r w:rsidR="0017058E">
        <w:rPr>
          <w:lang w:val="bg-BG"/>
        </w:rPr>
        <w:t xml:space="preserve"> включително</w:t>
      </w:r>
      <w:r w:rsidR="00C53544">
        <w:rPr>
          <w:lang w:val="bg-BG"/>
        </w:rPr>
        <w:t xml:space="preserve"> </w:t>
      </w:r>
      <w:r w:rsidR="00354C6E">
        <w:rPr>
          <w:lang w:val="bg-BG"/>
        </w:rPr>
        <w:t>жалбоподателката</w:t>
      </w:r>
      <w:r w:rsidR="00C4626A">
        <w:rPr>
          <w:lang w:val="bg-BG"/>
        </w:rPr>
        <w:t>, латвийските власти демонстрират определена гъвкавост по отношение на втората група.</w:t>
      </w:r>
    </w:p>
    <w:p w:rsidR="00A52202" w:rsidRPr="00945ED6" w:rsidRDefault="005D3E62" w:rsidP="00B8206D">
      <w:pPr>
        <w:pStyle w:val="JuPara"/>
        <w:rPr>
          <w:lang w:val="bg-BG"/>
        </w:rPr>
      </w:pPr>
      <w:r w:rsidRPr="00E17978">
        <w:fldChar w:fldCharType="begin"/>
      </w:r>
      <w:r w:rsidR="0051325B" w:rsidRPr="00945ED6">
        <w:rPr>
          <w:lang w:val="bg-BG"/>
        </w:rPr>
        <w:instrText xml:space="preserve"> </w:instrText>
      </w:r>
      <w:r w:rsidR="0051325B" w:rsidRPr="00BB4F95">
        <w:rPr>
          <w:lang w:val="en-GB"/>
        </w:rPr>
        <w:instrText>SEQ</w:instrText>
      </w:r>
      <w:r w:rsidR="0051325B" w:rsidRPr="00945ED6">
        <w:rPr>
          <w:lang w:val="bg-BG"/>
        </w:rPr>
        <w:instrText xml:space="preserve"> </w:instrText>
      </w:r>
      <w:r w:rsidR="0051325B" w:rsidRPr="00BB4F95">
        <w:rPr>
          <w:lang w:val="en-GB"/>
        </w:rPr>
        <w:instrText>level</w:instrText>
      </w:r>
      <w:r w:rsidR="0051325B" w:rsidRPr="00945ED6">
        <w:rPr>
          <w:lang w:val="bg-BG"/>
        </w:rPr>
        <w:instrText>0 \*</w:instrText>
      </w:r>
      <w:r w:rsidR="0051325B" w:rsidRPr="00BB4F95">
        <w:rPr>
          <w:lang w:val="en-GB"/>
        </w:rPr>
        <w:instrText>arabic</w:instrText>
      </w:r>
      <w:r w:rsidR="0051325B" w:rsidRPr="00945ED6">
        <w:rPr>
          <w:lang w:val="bg-BG"/>
        </w:rPr>
        <w:instrText xml:space="preserve"> </w:instrText>
      </w:r>
      <w:r w:rsidRPr="00E17978">
        <w:fldChar w:fldCharType="separate"/>
      </w:r>
      <w:r w:rsidR="00955550" w:rsidRPr="00945ED6">
        <w:rPr>
          <w:noProof/>
          <w:lang w:val="bg-BG"/>
        </w:rPr>
        <w:t>130</w:t>
      </w:r>
      <w:r w:rsidRPr="00E17978">
        <w:fldChar w:fldCharType="end"/>
      </w:r>
      <w:r w:rsidR="0051325B" w:rsidRPr="00945ED6">
        <w:rPr>
          <w:lang w:val="bg-BG"/>
        </w:rPr>
        <w:t>.</w:t>
      </w:r>
      <w:r w:rsidR="0051325B" w:rsidRPr="00BB4F95">
        <w:rPr>
          <w:lang w:val="en-GB"/>
        </w:rPr>
        <w:t> </w:t>
      </w:r>
      <w:r w:rsidR="0017058E">
        <w:rPr>
          <w:lang w:val="bg-BG"/>
        </w:rPr>
        <w:t xml:space="preserve">Съдът </w:t>
      </w:r>
      <w:r w:rsidR="00F06C11">
        <w:rPr>
          <w:lang w:val="bg-BG"/>
        </w:rPr>
        <w:t>счита</w:t>
      </w:r>
      <w:r w:rsidR="0017058E">
        <w:rPr>
          <w:lang w:val="bg-BG"/>
        </w:rPr>
        <w:t xml:space="preserve"> също така</w:t>
      </w:r>
      <w:r w:rsidR="00F06C11">
        <w:rPr>
          <w:lang w:val="bg-BG"/>
        </w:rPr>
        <w:t xml:space="preserve">, че за делото няма значение дали ЛКП трябва да се счита за законна или незаконна организация през периода след 13 януари 1991 </w:t>
      </w:r>
      <w:r w:rsidR="0017058E">
        <w:rPr>
          <w:lang w:val="bg-BG"/>
        </w:rPr>
        <w:t>г., като се има предвид, че най-малкото</w:t>
      </w:r>
      <w:r w:rsidR="00F06C11">
        <w:rPr>
          <w:lang w:val="bg-BG"/>
        </w:rPr>
        <w:t xml:space="preserve"> от тази дата е било очевидно подривното естество на дейността ѝ (вж</w:t>
      </w:r>
      <w:r w:rsidR="002340B2" w:rsidRPr="00530E30">
        <w:rPr>
          <w:lang w:val="bg-BG"/>
        </w:rPr>
        <w:t>.</w:t>
      </w:r>
      <w:r w:rsidR="00F06C11">
        <w:rPr>
          <w:lang w:val="bg-BG"/>
        </w:rPr>
        <w:t xml:space="preserve"> параграфи 96, 97 и 120 по-горе). Ясно е, че </w:t>
      </w:r>
      <w:r w:rsidR="00354C6E">
        <w:rPr>
          <w:lang w:val="bg-BG"/>
        </w:rPr>
        <w:t>жалбоподателката</w:t>
      </w:r>
      <w:r w:rsidR="00F06C11">
        <w:rPr>
          <w:lang w:val="bg-BG"/>
        </w:rPr>
        <w:t xml:space="preserve"> е избрал</w:t>
      </w:r>
      <w:r w:rsidR="0017058E">
        <w:rPr>
          <w:lang w:val="bg-BG"/>
        </w:rPr>
        <w:t>а</w:t>
      </w:r>
      <w:r w:rsidR="00F06C11">
        <w:rPr>
          <w:lang w:val="bg-BG"/>
        </w:rPr>
        <w:t xml:space="preserve"> да подкрепя антидемократичната позиция на ЛКП, а </w:t>
      </w:r>
      <w:r w:rsidR="0017058E">
        <w:rPr>
          <w:lang w:val="bg-BG"/>
        </w:rPr>
        <w:t>мълчанието ѝ</w:t>
      </w:r>
      <w:r w:rsidR="00DB1B3A">
        <w:rPr>
          <w:lang w:val="bg-BG"/>
        </w:rPr>
        <w:t xml:space="preserve"> по отношение на събитията </w:t>
      </w:r>
      <w:r w:rsidR="002340B2" w:rsidRPr="00530E30">
        <w:rPr>
          <w:lang w:val="bg-BG"/>
        </w:rPr>
        <w:t>към момента на настъпване</w:t>
      </w:r>
      <w:r w:rsidR="00DF2BB7">
        <w:rPr>
          <w:lang w:val="bg-BG"/>
        </w:rPr>
        <w:t xml:space="preserve"> на фактите</w:t>
      </w:r>
      <w:r w:rsidR="00F06C11">
        <w:rPr>
          <w:lang w:val="bg-BG"/>
        </w:rPr>
        <w:t xml:space="preserve"> е също толкова показателно, колкото би било и всяко </w:t>
      </w:r>
      <w:r w:rsidR="0075190B">
        <w:rPr>
          <w:lang w:val="bg-BG"/>
        </w:rPr>
        <w:t>открито действие в подкрепа на дейността на ЛКП (вж</w:t>
      </w:r>
      <w:r w:rsidR="00DF2BB7">
        <w:rPr>
          <w:lang w:val="bg-BG"/>
        </w:rPr>
        <w:t>.</w:t>
      </w:r>
      <w:r w:rsidR="0075190B">
        <w:rPr>
          <w:lang w:val="bg-BG"/>
        </w:rPr>
        <w:t xml:space="preserve"> параграфи 123-24 по-горе).</w:t>
      </w:r>
      <w:r w:rsidR="00F06C11">
        <w:rPr>
          <w:lang w:val="bg-BG"/>
        </w:rPr>
        <w:t xml:space="preserve">    </w:t>
      </w:r>
      <w:r w:rsidR="0051325B" w:rsidRPr="00BB4F95">
        <w:rPr>
          <w:lang w:val="en-GB"/>
        </w:rPr>
        <w:t> </w:t>
      </w:r>
    </w:p>
    <w:p w:rsidR="0020688D" w:rsidRPr="00945ED6" w:rsidRDefault="005D3E62" w:rsidP="00B8206D">
      <w:pPr>
        <w:pStyle w:val="JuPara"/>
        <w:rPr>
          <w:lang w:val="bg-BG"/>
        </w:rPr>
      </w:pPr>
      <w:r w:rsidRPr="00E17978">
        <w:fldChar w:fldCharType="begin"/>
      </w:r>
      <w:r w:rsidR="00107A1A" w:rsidRPr="00945ED6">
        <w:rPr>
          <w:lang w:val="bg-BG"/>
        </w:rPr>
        <w:instrText xml:space="preserve"> </w:instrText>
      </w:r>
      <w:r w:rsidR="00107A1A" w:rsidRPr="00BB4F95">
        <w:rPr>
          <w:lang w:val="en-GB"/>
        </w:rPr>
        <w:instrText>SEQ</w:instrText>
      </w:r>
      <w:r w:rsidR="00107A1A" w:rsidRPr="00945ED6">
        <w:rPr>
          <w:lang w:val="bg-BG"/>
        </w:rPr>
        <w:instrText xml:space="preserve"> </w:instrText>
      </w:r>
      <w:r w:rsidR="00107A1A" w:rsidRPr="00BB4F95">
        <w:rPr>
          <w:lang w:val="en-GB"/>
        </w:rPr>
        <w:instrText>level</w:instrText>
      </w:r>
      <w:r w:rsidR="00107A1A" w:rsidRPr="00945ED6">
        <w:rPr>
          <w:lang w:val="bg-BG"/>
        </w:rPr>
        <w:instrText>0 \*</w:instrText>
      </w:r>
      <w:r w:rsidR="00107A1A" w:rsidRPr="00BB4F95">
        <w:rPr>
          <w:lang w:val="en-GB"/>
        </w:rPr>
        <w:instrText>arabic</w:instrText>
      </w:r>
      <w:r w:rsidR="00107A1A" w:rsidRPr="00945ED6">
        <w:rPr>
          <w:lang w:val="bg-BG"/>
        </w:rPr>
        <w:instrText xml:space="preserve"> </w:instrText>
      </w:r>
      <w:r w:rsidRPr="00E17978">
        <w:fldChar w:fldCharType="separate"/>
      </w:r>
      <w:r w:rsidR="00955550" w:rsidRPr="00945ED6">
        <w:rPr>
          <w:noProof/>
          <w:lang w:val="bg-BG"/>
        </w:rPr>
        <w:t>131</w:t>
      </w:r>
      <w:r w:rsidRPr="00E17978">
        <w:fldChar w:fldCharType="end"/>
      </w:r>
      <w:r w:rsidR="00107A1A" w:rsidRPr="00945ED6">
        <w:rPr>
          <w:lang w:val="bg-BG"/>
        </w:rPr>
        <w:t>.</w:t>
      </w:r>
      <w:r w:rsidR="0020688D">
        <w:rPr>
          <w:lang w:val="bg-BG"/>
        </w:rPr>
        <w:t xml:space="preserve"> И накрая фактът, че оспорваната законова мярка не е била въведена от </w:t>
      </w:r>
      <w:r w:rsidR="00DF2BB7">
        <w:rPr>
          <w:lang w:val="bg-BG"/>
        </w:rPr>
        <w:t>п</w:t>
      </w:r>
      <w:r w:rsidR="0020688D">
        <w:rPr>
          <w:lang w:val="bg-BG"/>
        </w:rPr>
        <w:t xml:space="preserve">арламента веднага след възстановяването на независимостта на Латвия, не изглежда да има по-голямо значение за това дело, отколкото е имал по делото </w:t>
      </w:r>
      <w:r w:rsidR="0020688D" w:rsidRPr="00BB4F95">
        <w:rPr>
          <w:i/>
          <w:lang w:val="en-GB"/>
        </w:rPr>
        <w:t>Rekv</w:t>
      </w:r>
      <w:r w:rsidR="0020688D" w:rsidRPr="00945ED6">
        <w:rPr>
          <w:i/>
          <w:lang w:val="bg-BG"/>
        </w:rPr>
        <w:t>é</w:t>
      </w:r>
      <w:r w:rsidR="0020688D" w:rsidRPr="00BB4F95">
        <w:rPr>
          <w:i/>
          <w:lang w:val="en-GB"/>
        </w:rPr>
        <w:t>nyi</w:t>
      </w:r>
      <w:r w:rsidR="0020688D">
        <w:rPr>
          <w:i/>
          <w:lang w:val="bg-BG"/>
        </w:rPr>
        <w:t xml:space="preserve"> </w:t>
      </w:r>
      <w:r w:rsidR="0020688D">
        <w:rPr>
          <w:lang w:val="bg-BG"/>
        </w:rPr>
        <w:t>(цитирано по-горе), където разпоредбата, изключваща полицейските служители от политическата дейност, е влязла в сила почти четири години след прехода на Унгария към демократична система.</w:t>
      </w:r>
      <w:r w:rsidR="005E7E78">
        <w:rPr>
          <w:lang w:val="bg-BG"/>
        </w:rPr>
        <w:t xml:space="preserve"> Не е</w:t>
      </w:r>
      <w:r w:rsidR="009F1E3B">
        <w:rPr>
          <w:lang w:val="bg-BG"/>
        </w:rPr>
        <w:t xml:space="preserve"> изненадващо, че новосъздаденият</w:t>
      </w:r>
      <w:r w:rsidR="005E7E78">
        <w:rPr>
          <w:lang w:val="bg-BG"/>
        </w:rPr>
        <w:t xml:space="preserve"> </w:t>
      </w:r>
      <w:r w:rsidR="009F1E3B">
        <w:rPr>
          <w:lang w:val="bg-BG"/>
        </w:rPr>
        <w:t>демократичен законодателен</w:t>
      </w:r>
      <w:r w:rsidR="005C3703" w:rsidRPr="00945ED6">
        <w:rPr>
          <w:lang w:val="bg-BG"/>
        </w:rPr>
        <w:t xml:space="preserve"> </w:t>
      </w:r>
      <w:r w:rsidR="0017058E">
        <w:rPr>
          <w:lang w:val="bg-BG"/>
        </w:rPr>
        <w:t>орган е</w:t>
      </w:r>
      <w:r w:rsidR="005C3703">
        <w:rPr>
          <w:lang w:val="bg-BG"/>
        </w:rPr>
        <w:t xml:space="preserve"> имал нужда от време за размисъл в период на политическа нестабилно</w:t>
      </w:r>
      <w:r w:rsidR="0017058E">
        <w:rPr>
          <w:lang w:val="bg-BG"/>
        </w:rPr>
        <w:t xml:space="preserve">ст, за да се реши какви мерки са </w:t>
      </w:r>
      <w:r w:rsidR="005C3703">
        <w:rPr>
          <w:lang w:val="bg-BG"/>
        </w:rPr>
        <w:t xml:space="preserve">необходими за запазване на неговите постижения. Това важи с особено голяма сила в случая с Латвия, където </w:t>
      </w:r>
      <w:r w:rsidR="00DF2BB7">
        <w:rPr>
          <w:lang w:val="bg-BG"/>
        </w:rPr>
        <w:t xml:space="preserve">присъствието на </w:t>
      </w:r>
      <w:r w:rsidR="005C3703">
        <w:rPr>
          <w:lang w:val="bg-BG"/>
        </w:rPr>
        <w:t xml:space="preserve">войските на чужда държава, Русия, </w:t>
      </w:r>
      <w:r w:rsidR="00DF2BB7">
        <w:rPr>
          <w:lang w:val="bg-BG"/>
        </w:rPr>
        <w:t xml:space="preserve">продължава </w:t>
      </w:r>
      <w:r w:rsidR="005C3703">
        <w:rPr>
          <w:lang w:val="bg-BG"/>
        </w:rPr>
        <w:t>до 1994 г. (вж</w:t>
      </w:r>
      <w:r w:rsidR="00DF2BB7">
        <w:rPr>
          <w:lang w:val="bg-BG"/>
        </w:rPr>
        <w:t>.</w:t>
      </w:r>
      <w:r w:rsidR="005C3703">
        <w:rPr>
          <w:lang w:val="bg-BG"/>
        </w:rPr>
        <w:t xml:space="preserve"> </w:t>
      </w:r>
      <w:r w:rsidR="005C3703" w:rsidRPr="00BB4F95">
        <w:rPr>
          <w:i/>
          <w:lang w:val="en-GB"/>
        </w:rPr>
        <w:t>Sli</w:t>
      </w:r>
      <w:r w:rsidR="005C3703">
        <w:rPr>
          <w:i/>
          <w:lang w:val="en-GB"/>
        </w:rPr>
        <w:t>venko</w:t>
      </w:r>
      <w:r w:rsidR="005C3703" w:rsidRPr="00945ED6">
        <w:rPr>
          <w:i/>
          <w:lang w:val="bg-BG"/>
        </w:rPr>
        <w:t xml:space="preserve"> </w:t>
      </w:r>
      <w:r w:rsidR="005C3703">
        <w:rPr>
          <w:i/>
          <w:lang w:val="en-GB"/>
        </w:rPr>
        <w:t>v</w:t>
      </w:r>
      <w:r w:rsidR="005C3703" w:rsidRPr="00945ED6">
        <w:rPr>
          <w:i/>
          <w:lang w:val="bg-BG"/>
        </w:rPr>
        <w:t xml:space="preserve">. </w:t>
      </w:r>
      <w:r w:rsidR="005C3703">
        <w:rPr>
          <w:i/>
          <w:lang w:val="en-GB"/>
        </w:rPr>
        <w:t>Latvia</w:t>
      </w:r>
      <w:r w:rsidR="005C3703" w:rsidRPr="00945ED6">
        <w:rPr>
          <w:lang w:val="bg-BG"/>
        </w:rPr>
        <w:t xml:space="preserve"> [</w:t>
      </w:r>
      <w:r w:rsidR="002B1E17">
        <w:rPr>
          <w:lang w:val="bg-BG"/>
        </w:rPr>
        <w:t>ГО</w:t>
      </w:r>
      <w:r w:rsidR="005C3703" w:rsidRPr="00945ED6">
        <w:rPr>
          <w:lang w:val="bg-BG"/>
        </w:rPr>
        <w:t>],</w:t>
      </w:r>
      <w:r w:rsidR="005C3703" w:rsidRPr="00945ED6">
        <w:rPr>
          <w:i/>
          <w:lang w:val="bg-BG"/>
        </w:rPr>
        <w:t xml:space="preserve"> </w:t>
      </w:r>
      <w:r w:rsidR="005C3703" w:rsidRPr="00945ED6">
        <w:rPr>
          <w:lang w:val="bg-BG"/>
        </w:rPr>
        <w:t>№ 48321/99, ЕСПЧ 2003-</w:t>
      </w:r>
      <w:r w:rsidR="005C3703" w:rsidRPr="00900C0A">
        <w:rPr>
          <w:lang w:val="en-GB"/>
        </w:rPr>
        <w:t>X</w:t>
      </w:r>
      <w:r w:rsidR="005C3703" w:rsidRPr="00945ED6">
        <w:rPr>
          <w:lang w:val="bg-BG"/>
        </w:rPr>
        <w:t>).</w:t>
      </w:r>
      <w:r w:rsidR="005C3703">
        <w:rPr>
          <w:lang w:val="bg-BG"/>
        </w:rPr>
        <w:t xml:space="preserve"> Освен това фактът, че латвийският парламент приема законовата мярка чак през 1995 г.</w:t>
      </w:r>
      <w:r w:rsidR="0017058E">
        <w:rPr>
          <w:lang w:val="bg-BG"/>
        </w:rPr>
        <w:t>,</w:t>
      </w:r>
      <w:r w:rsidR="005C3703">
        <w:rPr>
          <w:lang w:val="bg-BG"/>
        </w:rPr>
        <w:t xml:space="preserve"> не мож</w:t>
      </w:r>
      <w:r w:rsidR="0017058E">
        <w:rPr>
          <w:lang w:val="bg-BG"/>
        </w:rPr>
        <w:t>е да се счита за равнопоставен на</w:t>
      </w:r>
      <w:r w:rsidR="005C3703">
        <w:rPr>
          <w:lang w:val="bg-BG"/>
        </w:rPr>
        <w:t xml:space="preserve"> далеч по-мащабното ограничаване на личните права, при което на бившите служители на КГБ в Литва се забранява достъп до различни сфери на назначение в частния сектор, появили се почти десетилетие след възстановяването на литовската независимост и което е счетено, отчасти по тази причина, за непропорционално от гледна точка на Конвенцията (вж</w:t>
      </w:r>
      <w:r w:rsidR="002B1E17">
        <w:rPr>
          <w:lang w:val="bg-BG"/>
        </w:rPr>
        <w:t>.</w:t>
      </w:r>
      <w:r w:rsidR="005A38AE">
        <w:rPr>
          <w:lang w:val="bg-BG"/>
        </w:rPr>
        <w:t xml:space="preserve"> </w:t>
      </w:r>
      <w:r w:rsidR="005A38AE" w:rsidRPr="00BB4F95">
        <w:rPr>
          <w:i/>
          <w:lang w:val="en-GB"/>
        </w:rPr>
        <w:t>Sidabras</w:t>
      </w:r>
      <w:r w:rsidR="005A38AE" w:rsidRPr="00945ED6">
        <w:rPr>
          <w:i/>
          <w:lang w:val="bg-BG"/>
        </w:rPr>
        <w:t xml:space="preserve"> </w:t>
      </w:r>
      <w:r w:rsidR="005A38AE" w:rsidRPr="00BB4F95">
        <w:rPr>
          <w:i/>
          <w:lang w:val="en-GB"/>
        </w:rPr>
        <w:t>and</w:t>
      </w:r>
      <w:r w:rsidR="005A38AE" w:rsidRPr="00945ED6">
        <w:rPr>
          <w:i/>
          <w:lang w:val="bg-BG"/>
        </w:rPr>
        <w:t xml:space="preserve"> </w:t>
      </w:r>
      <w:r w:rsidR="005A38AE" w:rsidRPr="00BB4F95">
        <w:rPr>
          <w:i/>
          <w:lang w:val="en-GB"/>
        </w:rPr>
        <w:t>D</w:t>
      </w:r>
      <w:r w:rsidR="005A38AE" w:rsidRPr="00945ED6">
        <w:rPr>
          <w:i/>
          <w:lang w:val="bg-BG"/>
        </w:rPr>
        <w:t>ž</w:t>
      </w:r>
      <w:r w:rsidR="005A38AE" w:rsidRPr="00BB4F95">
        <w:rPr>
          <w:i/>
          <w:lang w:val="en-GB"/>
        </w:rPr>
        <w:t>iautas</w:t>
      </w:r>
      <w:r w:rsidR="005A38AE" w:rsidRPr="00945ED6">
        <w:rPr>
          <w:lang w:val="bg-BG"/>
        </w:rPr>
        <w:t xml:space="preserve">, </w:t>
      </w:r>
      <w:r w:rsidR="005A38AE">
        <w:rPr>
          <w:lang w:val="bg-BG"/>
        </w:rPr>
        <w:t>цитирано по-горе</w:t>
      </w:r>
      <w:r w:rsidR="005A38AE" w:rsidRPr="00945ED6">
        <w:rPr>
          <w:lang w:val="bg-BG"/>
        </w:rPr>
        <w:t xml:space="preserve">, </w:t>
      </w:r>
      <w:r w:rsidR="005A38AE">
        <w:rPr>
          <w:lang w:val="bg-BG"/>
        </w:rPr>
        <w:t>пак там</w:t>
      </w:r>
      <w:r w:rsidR="005A38AE" w:rsidRPr="00945ED6">
        <w:rPr>
          <w:lang w:val="bg-BG"/>
        </w:rPr>
        <w:t>).</w:t>
      </w:r>
      <w:r w:rsidR="005A38AE">
        <w:rPr>
          <w:lang w:val="bg-BG"/>
        </w:rPr>
        <w:t xml:space="preserve"> Следователно не може да се заключи, че във</w:t>
      </w:r>
      <w:r w:rsidR="0017058E">
        <w:rPr>
          <w:lang w:val="bg-BG"/>
        </w:rPr>
        <w:t>еждането на мярката в</w:t>
      </w:r>
      <w:r w:rsidR="005A38AE">
        <w:rPr>
          <w:lang w:val="bg-BG"/>
        </w:rPr>
        <w:t xml:space="preserve"> Латвия чак </w:t>
      </w:r>
      <w:r w:rsidR="0017058E">
        <w:rPr>
          <w:lang w:val="bg-BG"/>
        </w:rPr>
        <w:t xml:space="preserve">през 1995 г. показва, че преди това </w:t>
      </w:r>
      <w:r w:rsidR="005A38AE">
        <w:rPr>
          <w:lang w:val="bg-BG"/>
        </w:rPr>
        <w:t>държава</w:t>
      </w:r>
      <w:r w:rsidR="0017058E">
        <w:rPr>
          <w:lang w:val="bg-BG"/>
        </w:rPr>
        <w:t>та</w:t>
      </w:r>
      <w:r w:rsidR="005A38AE">
        <w:rPr>
          <w:lang w:val="bg-BG"/>
        </w:rPr>
        <w:t xml:space="preserve"> не е смятала подобно ограничение за необходимо с цел защита на демократичния процес в страната. </w:t>
      </w:r>
      <w:r w:rsidR="005C3703">
        <w:rPr>
          <w:lang w:val="bg-BG"/>
        </w:rPr>
        <w:t xml:space="preserve">     </w:t>
      </w:r>
      <w:r w:rsidR="009F1E3B">
        <w:rPr>
          <w:lang w:val="bg-BG"/>
        </w:rPr>
        <w:t xml:space="preserve"> </w:t>
      </w:r>
      <w:r w:rsidR="0020688D">
        <w:rPr>
          <w:lang w:val="bg-BG"/>
        </w:rPr>
        <w:t xml:space="preserve">  </w:t>
      </w:r>
      <w:r w:rsidR="0020688D" w:rsidRPr="00945ED6">
        <w:rPr>
          <w:lang w:val="bg-BG"/>
        </w:rPr>
        <w:t xml:space="preserve"> </w:t>
      </w:r>
      <w:r w:rsidR="00107A1A" w:rsidRPr="00BB4F95">
        <w:rPr>
          <w:lang w:val="en-GB"/>
        </w:rPr>
        <w:t>  </w:t>
      </w:r>
    </w:p>
    <w:p w:rsidR="0087595C" w:rsidRPr="00945ED6" w:rsidRDefault="005A5ED0" w:rsidP="00B8206D">
      <w:pPr>
        <w:pStyle w:val="JuHA"/>
        <w:rPr>
          <w:b w:val="0"/>
          <w:i/>
          <w:lang w:val="bg-BG"/>
        </w:rPr>
      </w:pPr>
      <w:r w:rsidRPr="00945ED6">
        <w:rPr>
          <w:b w:val="0"/>
          <w:i/>
          <w:lang w:val="bg-BG"/>
        </w:rPr>
        <w:t>4.</w:t>
      </w:r>
      <w:r w:rsidRPr="000A079D">
        <w:rPr>
          <w:b w:val="0"/>
          <w:i/>
        </w:rPr>
        <w:t>  </w:t>
      </w:r>
      <w:r w:rsidR="002B1E17">
        <w:rPr>
          <w:b w:val="0"/>
          <w:i/>
          <w:lang w:val="bg-BG"/>
        </w:rPr>
        <w:t xml:space="preserve">Становището </w:t>
      </w:r>
      <w:r w:rsidR="005A38AE">
        <w:rPr>
          <w:b w:val="0"/>
          <w:i/>
          <w:lang w:val="bg-BG"/>
        </w:rPr>
        <w:t xml:space="preserve">на Съда в заключение </w:t>
      </w:r>
    </w:p>
    <w:p w:rsidR="005A5ED0" w:rsidRPr="00945ED6" w:rsidRDefault="005D3E62" w:rsidP="00462010">
      <w:pPr>
        <w:pStyle w:val="JuPara"/>
        <w:rPr>
          <w:lang w:val="bg-BG"/>
        </w:rPr>
      </w:pPr>
      <w:r w:rsidRPr="00E17978">
        <w:fldChar w:fldCharType="begin"/>
      </w:r>
      <w:r w:rsidR="00EE74A9" w:rsidRPr="00945ED6">
        <w:rPr>
          <w:lang w:val="bg-BG"/>
        </w:rPr>
        <w:instrText xml:space="preserve"> </w:instrText>
      </w:r>
      <w:r w:rsidR="00EE74A9" w:rsidRPr="00BB4F95">
        <w:rPr>
          <w:lang w:val="en-GB"/>
        </w:rPr>
        <w:instrText>SEQ</w:instrText>
      </w:r>
      <w:r w:rsidR="00EE74A9" w:rsidRPr="00945ED6">
        <w:rPr>
          <w:lang w:val="bg-BG"/>
        </w:rPr>
        <w:instrText xml:space="preserve"> </w:instrText>
      </w:r>
      <w:r w:rsidR="00EE74A9" w:rsidRPr="00BB4F95">
        <w:rPr>
          <w:lang w:val="en-GB"/>
        </w:rPr>
        <w:instrText>level</w:instrText>
      </w:r>
      <w:r w:rsidR="00EE74A9" w:rsidRPr="00945ED6">
        <w:rPr>
          <w:lang w:val="bg-BG"/>
        </w:rPr>
        <w:instrText>0 \*</w:instrText>
      </w:r>
      <w:r w:rsidR="00EE74A9" w:rsidRPr="00BB4F95">
        <w:rPr>
          <w:lang w:val="en-GB"/>
        </w:rPr>
        <w:instrText>arabic</w:instrText>
      </w:r>
      <w:r w:rsidR="00EE74A9" w:rsidRPr="00945ED6">
        <w:rPr>
          <w:lang w:val="bg-BG"/>
        </w:rPr>
        <w:instrText xml:space="preserve"> </w:instrText>
      </w:r>
      <w:r w:rsidRPr="00E17978">
        <w:fldChar w:fldCharType="separate"/>
      </w:r>
      <w:r w:rsidR="00955550" w:rsidRPr="00945ED6">
        <w:rPr>
          <w:noProof/>
          <w:lang w:val="bg-BG"/>
        </w:rPr>
        <w:t>132</w:t>
      </w:r>
      <w:r w:rsidRPr="00E17978">
        <w:fldChar w:fldCharType="end"/>
      </w:r>
      <w:r w:rsidR="00EE74A9" w:rsidRPr="00945ED6">
        <w:rPr>
          <w:lang w:val="bg-BG"/>
        </w:rPr>
        <w:t>.</w:t>
      </w:r>
      <w:r w:rsidR="005A38AE">
        <w:rPr>
          <w:lang w:val="bg-BG"/>
        </w:rPr>
        <w:t xml:space="preserve"> Мнението на л</w:t>
      </w:r>
      <w:r w:rsidR="0017058E">
        <w:rPr>
          <w:lang w:val="bg-BG"/>
        </w:rPr>
        <w:t xml:space="preserve">атвийските власти, че </w:t>
      </w:r>
      <w:r w:rsidR="005A38AE">
        <w:rPr>
          <w:lang w:val="bg-BG"/>
        </w:rPr>
        <w:t xml:space="preserve">някогашната позиция на </w:t>
      </w:r>
      <w:r w:rsidR="00354C6E">
        <w:rPr>
          <w:lang w:val="bg-BG"/>
        </w:rPr>
        <w:t>жалбоподателката</w:t>
      </w:r>
      <w:r w:rsidR="005A38AE">
        <w:rPr>
          <w:lang w:val="bg-BG"/>
        </w:rPr>
        <w:t xml:space="preserve"> в рамките на</w:t>
      </w:r>
      <w:r w:rsidR="0017058E">
        <w:rPr>
          <w:lang w:val="bg-BG"/>
        </w:rPr>
        <w:t xml:space="preserve"> ЛКП, заедно с позицията ѝ</w:t>
      </w:r>
      <w:r w:rsidR="005A38AE">
        <w:rPr>
          <w:lang w:val="bg-BG"/>
        </w:rPr>
        <w:t xml:space="preserve"> по време на събитията от 1991 г. (вж</w:t>
      </w:r>
      <w:r w:rsidR="0046138C">
        <w:rPr>
          <w:lang w:val="bg-BG"/>
        </w:rPr>
        <w:t>.</w:t>
      </w:r>
      <w:r w:rsidR="005A38AE">
        <w:rPr>
          <w:lang w:val="bg-BG"/>
        </w:rPr>
        <w:t xml:space="preserve"> по-конкретно парагра</w:t>
      </w:r>
      <w:r w:rsidR="0017058E">
        <w:rPr>
          <w:lang w:val="bg-BG"/>
        </w:rPr>
        <w:t>фи 123-24 по-горе), налагат и до днес</w:t>
      </w:r>
      <w:r w:rsidR="005A38AE">
        <w:rPr>
          <w:lang w:val="bg-BG"/>
        </w:rPr>
        <w:t xml:space="preserve"> изключване на възможността </w:t>
      </w:r>
      <w:r w:rsidR="0017058E">
        <w:rPr>
          <w:lang w:val="bg-BG"/>
        </w:rPr>
        <w:t xml:space="preserve">тя </w:t>
      </w:r>
      <w:r w:rsidR="005A38AE">
        <w:rPr>
          <w:lang w:val="bg-BG"/>
        </w:rPr>
        <w:t xml:space="preserve">да се кандидатира за член на националния парламент, може да се счита за съвместимо с изискванията на </w:t>
      </w:r>
      <w:r w:rsidR="005A38AE" w:rsidRPr="00945ED6">
        <w:rPr>
          <w:lang w:val="bg-BG"/>
        </w:rPr>
        <w:t>чл</w:t>
      </w:r>
      <w:r w:rsidR="0046138C">
        <w:rPr>
          <w:lang w:val="bg-BG"/>
        </w:rPr>
        <w:t>ен</w:t>
      </w:r>
      <w:r w:rsidR="005A38AE" w:rsidRPr="00945ED6">
        <w:rPr>
          <w:lang w:val="bg-BG"/>
        </w:rPr>
        <w:t xml:space="preserve"> 3 от Протокол № 1</w:t>
      </w:r>
      <w:r w:rsidR="005A38AE">
        <w:rPr>
          <w:lang w:val="bg-BG"/>
        </w:rPr>
        <w:t xml:space="preserve">. </w:t>
      </w:r>
      <w:r w:rsidR="0046138C">
        <w:rPr>
          <w:lang w:val="bg-BG"/>
        </w:rPr>
        <w:t>П</w:t>
      </w:r>
      <w:r w:rsidR="00462010">
        <w:rPr>
          <w:lang w:val="bg-BG"/>
        </w:rPr>
        <w:t>риложено</w:t>
      </w:r>
      <w:r w:rsidR="0046138C">
        <w:rPr>
          <w:lang w:val="bg-BG"/>
        </w:rPr>
        <w:t>то</w:t>
      </w:r>
      <w:r w:rsidR="00462010">
        <w:rPr>
          <w:lang w:val="bg-BG"/>
        </w:rPr>
        <w:t xml:space="preserve"> към </w:t>
      </w:r>
      <w:r w:rsidR="00354C6E">
        <w:rPr>
          <w:lang w:val="bg-BG"/>
        </w:rPr>
        <w:lastRenderedPageBreak/>
        <w:t>жалбоподателката</w:t>
      </w:r>
      <w:r w:rsidR="00462010">
        <w:rPr>
          <w:lang w:val="bg-BG"/>
        </w:rPr>
        <w:t xml:space="preserve"> оспорвано законово ограничение н</w:t>
      </w:r>
      <w:r w:rsidR="00CE3770">
        <w:rPr>
          <w:lang w:val="bg-BG"/>
        </w:rPr>
        <w:t>е може да се разглежда като произ</w:t>
      </w:r>
      <w:r w:rsidR="00462010">
        <w:rPr>
          <w:lang w:val="bg-BG"/>
        </w:rPr>
        <w:t xml:space="preserve">волно </w:t>
      </w:r>
      <w:r w:rsidR="006701E6">
        <w:rPr>
          <w:lang w:val="bg-BG"/>
        </w:rPr>
        <w:t>или непропорционално</w:t>
      </w:r>
      <w:r w:rsidR="004F33D5">
        <w:rPr>
          <w:lang w:val="bg-BG"/>
        </w:rPr>
        <w:t xml:space="preserve">. Настоящата или </w:t>
      </w:r>
      <w:r w:rsidR="00CE3770">
        <w:rPr>
          <w:lang w:val="bg-BG"/>
        </w:rPr>
        <w:t>по-</w:t>
      </w:r>
      <w:r w:rsidR="004F33D5">
        <w:rPr>
          <w:lang w:val="bg-BG"/>
        </w:rPr>
        <w:t>скорошна дейност</w:t>
      </w:r>
      <w:r w:rsidR="00462010">
        <w:rPr>
          <w:lang w:val="bg-BG"/>
        </w:rPr>
        <w:t xml:space="preserve"> на </w:t>
      </w:r>
      <w:r w:rsidR="00354C6E">
        <w:rPr>
          <w:lang w:val="bg-BG"/>
        </w:rPr>
        <w:t>жалбоподателката</w:t>
      </w:r>
      <w:r w:rsidR="00462010">
        <w:rPr>
          <w:lang w:val="bg-BG"/>
        </w:rPr>
        <w:t xml:space="preserve"> няма отношение </w:t>
      </w:r>
      <w:r w:rsidR="0017058E">
        <w:rPr>
          <w:lang w:val="bg-BG"/>
        </w:rPr>
        <w:t>по делото, с оглед на това</w:t>
      </w:r>
      <w:r w:rsidR="00462010">
        <w:rPr>
          <w:lang w:val="bg-BG"/>
        </w:rPr>
        <w:t>, че разглежданото законово ограничение се о</w:t>
      </w:r>
      <w:r w:rsidR="004F33D5">
        <w:rPr>
          <w:lang w:val="bg-BG"/>
        </w:rPr>
        <w:t>тнася единствено до позицията ѝ</w:t>
      </w:r>
      <w:r w:rsidR="00462010">
        <w:rPr>
          <w:lang w:val="bg-BG"/>
        </w:rPr>
        <w:t xml:space="preserve"> по време на решаващия период на борбата на Латвия за „демокрация чрез независимост“ през 1991 г.</w:t>
      </w:r>
      <w:r w:rsidR="005A38AE">
        <w:rPr>
          <w:lang w:val="bg-BG"/>
        </w:rPr>
        <w:t xml:space="preserve">  </w:t>
      </w:r>
      <w:r w:rsidR="00EE74A9" w:rsidRPr="00BB4F95">
        <w:rPr>
          <w:lang w:val="en-GB"/>
        </w:rPr>
        <w:t>  </w:t>
      </w:r>
    </w:p>
    <w:p w:rsidR="009C41F8" w:rsidRPr="00945ED6" w:rsidRDefault="005D3E62" w:rsidP="00B8206D">
      <w:pPr>
        <w:pStyle w:val="JuPara"/>
        <w:rPr>
          <w:lang w:val="bg-BG"/>
        </w:rPr>
      </w:pPr>
      <w:r w:rsidRPr="00E17978">
        <w:fldChar w:fldCharType="begin"/>
      </w:r>
      <w:r w:rsidR="00BC0E4F" w:rsidRPr="00945ED6">
        <w:rPr>
          <w:lang w:val="bg-BG"/>
        </w:rPr>
        <w:instrText xml:space="preserve"> </w:instrText>
      </w:r>
      <w:r w:rsidR="00BC0E4F" w:rsidRPr="00BB4F95">
        <w:rPr>
          <w:lang w:val="en-GB"/>
        </w:rPr>
        <w:instrText>SEQ</w:instrText>
      </w:r>
      <w:r w:rsidR="00BC0E4F" w:rsidRPr="00945ED6">
        <w:rPr>
          <w:lang w:val="bg-BG"/>
        </w:rPr>
        <w:instrText xml:space="preserve"> </w:instrText>
      </w:r>
      <w:r w:rsidR="00BC0E4F" w:rsidRPr="00BB4F95">
        <w:rPr>
          <w:lang w:val="en-GB"/>
        </w:rPr>
        <w:instrText>level</w:instrText>
      </w:r>
      <w:r w:rsidR="00BC0E4F" w:rsidRPr="00945ED6">
        <w:rPr>
          <w:lang w:val="bg-BG"/>
        </w:rPr>
        <w:instrText>0 \*</w:instrText>
      </w:r>
      <w:r w:rsidR="00BC0E4F" w:rsidRPr="00BB4F95">
        <w:rPr>
          <w:lang w:val="en-GB"/>
        </w:rPr>
        <w:instrText>arabic</w:instrText>
      </w:r>
      <w:r w:rsidR="00BC0E4F" w:rsidRPr="00945ED6">
        <w:rPr>
          <w:lang w:val="bg-BG"/>
        </w:rPr>
        <w:instrText xml:space="preserve"> </w:instrText>
      </w:r>
      <w:r w:rsidRPr="00E17978">
        <w:fldChar w:fldCharType="separate"/>
      </w:r>
      <w:r w:rsidR="00955550" w:rsidRPr="00945ED6">
        <w:rPr>
          <w:noProof/>
          <w:lang w:val="bg-BG"/>
        </w:rPr>
        <w:t>133</w:t>
      </w:r>
      <w:r w:rsidRPr="00E17978">
        <w:fldChar w:fldCharType="end"/>
      </w:r>
      <w:r w:rsidR="00BC0E4F" w:rsidRPr="00945ED6">
        <w:rPr>
          <w:lang w:val="bg-BG"/>
        </w:rPr>
        <w:t>.</w:t>
      </w:r>
      <w:r w:rsidR="009C41F8" w:rsidRPr="00945ED6">
        <w:rPr>
          <w:lang w:val="bg-BG"/>
        </w:rPr>
        <w:t xml:space="preserve"> </w:t>
      </w:r>
      <w:r w:rsidR="009C41F8">
        <w:rPr>
          <w:lang w:val="bg-BG"/>
        </w:rPr>
        <w:t xml:space="preserve">Подобна мярка трудно може да се счита </w:t>
      </w:r>
      <w:r w:rsidR="0017058E">
        <w:rPr>
          <w:lang w:val="bg-BG"/>
        </w:rPr>
        <w:t>за приемлива в контекста на някои политически системи</w:t>
      </w:r>
      <w:r w:rsidR="009C41F8">
        <w:rPr>
          <w:lang w:val="bg-BG"/>
        </w:rPr>
        <w:t xml:space="preserve">, например в </w:t>
      </w:r>
      <w:r w:rsidR="0046138C">
        <w:rPr>
          <w:lang w:val="bg-BG"/>
        </w:rPr>
        <w:t xml:space="preserve">държава </w:t>
      </w:r>
      <w:r w:rsidR="009C41F8">
        <w:rPr>
          <w:lang w:val="bg-BG"/>
        </w:rPr>
        <w:t xml:space="preserve">с установена </w:t>
      </w:r>
      <w:r w:rsidR="00F65B69">
        <w:rPr>
          <w:lang w:val="bg-BG"/>
        </w:rPr>
        <w:t xml:space="preserve">от десетилетия или векове </w:t>
      </w:r>
      <w:r w:rsidR="009C41F8">
        <w:rPr>
          <w:lang w:val="bg-BG"/>
        </w:rPr>
        <w:t>рамка от демократични институции, но въпреки това в Латвия може да се счита за приемлива с оглед на историко-политическия контекст, който води до</w:t>
      </w:r>
      <w:r w:rsidR="0017058E">
        <w:rPr>
          <w:lang w:val="bg-BG"/>
        </w:rPr>
        <w:t xml:space="preserve"> приемането ѝ и с оглед на</w:t>
      </w:r>
      <w:r w:rsidR="009C41F8">
        <w:rPr>
          <w:lang w:val="bg-BG"/>
        </w:rPr>
        <w:t xml:space="preserve"> заплахата за новия демократичен ред, породена от възраждането н</w:t>
      </w:r>
      <w:r w:rsidR="0017058E">
        <w:rPr>
          <w:lang w:val="bg-BG"/>
        </w:rPr>
        <w:t>а идеи, които, ако успеят</w:t>
      </w:r>
      <w:r w:rsidR="009C41F8">
        <w:rPr>
          <w:lang w:val="bg-BG"/>
        </w:rPr>
        <w:t xml:space="preserve"> да наберат скоро</w:t>
      </w:r>
      <w:r w:rsidR="0017058E">
        <w:rPr>
          <w:lang w:val="bg-BG"/>
        </w:rPr>
        <w:t>ст, могат да доведат до възстановяване на</w:t>
      </w:r>
      <w:r w:rsidR="009C41F8">
        <w:rPr>
          <w:lang w:val="bg-BG"/>
        </w:rPr>
        <w:t xml:space="preserve"> предишния режим.</w:t>
      </w:r>
      <w:r w:rsidR="00BC0E4F" w:rsidRPr="00BB4F95">
        <w:rPr>
          <w:lang w:val="en-GB"/>
        </w:rPr>
        <w:t> </w:t>
      </w:r>
    </w:p>
    <w:p w:rsidR="00FA1997" w:rsidRPr="00945ED6" w:rsidRDefault="005D3E62" w:rsidP="00B8206D">
      <w:pPr>
        <w:pStyle w:val="JuPara"/>
        <w:rPr>
          <w:lang w:val="bg-BG"/>
        </w:rPr>
      </w:pPr>
      <w:r w:rsidRPr="00E17978">
        <w:fldChar w:fldCharType="begin"/>
      </w:r>
      <w:r w:rsidR="0087595C" w:rsidRPr="00945ED6">
        <w:rPr>
          <w:lang w:val="bg-BG"/>
        </w:rPr>
        <w:instrText xml:space="preserve"> </w:instrText>
      </w:r>
      <w:r w:rsidR="0087595C" w:rsidRPr="00BB4F95">
        <w:rPr>
          <w:lang w:val="en-GB"/>
        </w:rPr>
        <w:instrText>SEQ</w:instrText>
      </w:r>
      <w:r w:rsidR="0087595C" w:rsidRPr="00945ED6">
        <w:rPr>
          <w:lang w:val="bg-BG"/>
        </w:rPr>
        <w:instrText xml:space="preserve"> </w:instrText>
      </w:r>
      <w:r w:rsidR="0087595C" w:rsidRPr="00BB4F95">
        <w:rPr>
          <w:lang w:val="en-GB"/>
        </w:rPr>
        <w:instrText>level</w:instrText>
      </w:r>
      <w:r w:rsidR="0087595C" w:rsidRPr="00945ED6">
        <w:rPr>
          <w:lang w:val="bg-BG"/>
        </w:rPr>
        <w:instrText>0 \*</w:instrText>
      </w:r>
      <w:r w:rsidR="0087595C" w:rsidRPr="00BB4F95">
        <w:rPr>
          <w:lang w:val="en-GB"/>
        </w:rPr>
        <w:instrText>arabic</w:instrText>
      </w:r>
      <w:r w:rsidR="0087595C" w:rsidRPr="00945ED6">
        <w:rPr>
          <w:lang w:val="bg-BG"/>
        </w:rPr>
        <w:instrText xml:space="preserve"> </w:instrText>
      </w:r>
      <w:r w:rsidRPr="00E17978">
        <w:fldChar w:fldCharType="separate"/>
      </w:r>
      <w:r w:rsidR="00955550" w:rsidRPr="00945ED6">
        <w:rPr>
          <w:noProof/>
          <w:lang w:val="bg-BG"/>
        </w:rPr>
        <w:t>134</w:t>
      </w:r>
      <w:r w:rsidRPr="00E17978">
        <w:fldChar w:fldCharType="end"/>
      </w:r>
      <w:r w:rsidR="0087595C" w:rsidRPr="00945ED6">
        <w:rPr>
          <w:lang w:val="bg-BG"/>
        </w:rPr>
        <w:t>.</w:t>
      </w:r>
      <w:r w:rsidR="00FA1997">
        <w:rPr>
          <w:lang w:val="bg-BG"/>
        </w:rPr>
        <w:t xml:space="preserve"> Поради това в конкретния случай Съдът приема, че националните власти на Латвия – както законодателната, така и съдебната – са по-добре запознати, за да направят оценка на трудностите, пред които се изправя установяването и запазването на демократичния ред. Следователно на тези орган</w:t>
      </w:r>
      <w:r w:rsidR="002261A8">
        <w:rPr>
          <w:lang w:val="bg-BG"/>
        </w:rPr>
        <w:t>и трябва да се остави достатъчна</w:t>
      </w:r>
      <w:r w:rsidR="00FA1997">
        <w:rPr>
          <w:lang w:val="bg-BG"/>
        </w:rPr>
        <w:t xml:space="preserve"> свобода на действие, за да оценят нуждите на своето общество по отношение на изграждането на доверие в новите демократични институции, включително националния парламент, както и да решат дали оспорваната мярка е все още необходима за тези цели, </w:t>
      </w:r>
      <w:r w:rsidR="00596D8E">
        <w:rPr>
          <w:lang w:val="bg-BG"/>
        </w:rPr>
        <w:t xml:space="preserve">при положение </w:t>
      </w:r>
      <w:r w:rsidR="00CE3770">
        <w:rPr>
          <w:lang w:val="bg-BG"/>
        </w:rPr>
        <w:t xml:space="preserve">че Съдът не </w:t>
      </w:r>
      <w:r w:rsidR="00596D8E">
        <w:rPr>
          <w:lang w:val="bg-BG"/>
        </w:rPr>
        <w:t xml:space="preserve">е </w:t>
      </w:r>
      <w:r w:rsidR="00CE3770">
        <w:rPr>
          <w:lang w:val="bg-BG"/>
        </w:rPr>
        <w:t>нам</w:t>
      </w:r>
      <w:r w:rsidR="00596D8E">
        <w:rPr>
          <w:lang w:val="bg-BG"/>
        </w:rPr>
        <w:t>ерил</w:t>
      </w:r>
      <w:r w:rsidR="00CE3770">
        <w:rPr>
          <w:lang w:val="bg-BG"/>
        </w:rPr>
        <w:t xml:space="preserve"> </w:t>
      </w:r>
      <w:r w:rsidR="00CE3770" w:rsidRPr="006701E6">
        <w:rPr>
          <w:lang w:val="bg-BG"/>
        </w:rPr>
        <w:t xml:space="preserve">нищо </w:t>
      </w:r>
      <w:r w:rsidR="006701E6" w:rsidRPr="006701E6">
        <w:rPr>
          <w:lang w:val="bg-BG"/>
        </w:rPr>
        <w:t>произволно или непропорционално</w:t>
      </w:r>
      <w:r w:rsidR="00FA1997" w:rsidRPr="006701E6">
        <w:rPr>
          <w:lang w:val="bg-BG"/>
        </w:rPr>
        <w:t xml:space="preserve"> в такав</w:t>
      </w:r>
      <w:r w:rsidR="00FA1997">
        <w:rPr>
          <w:lang w:val="bg-BG"/>
        </w:rPr>
        <w:t xml:space="preserve">а оценка. В тази връзка Съдът отдава значение и на факта, че латвийският парламент периодично е преразглеждал </w:t>
      </w:r>
      <w:r w:rsidR="00596D8E">
        <w:rPr>
          <w:lang w:val="bg-BG"/>
        </w:rPr>
        <w:t>раздел</w:t>
      </w:r>
      <w:r w:rsidR="00FA1997" w:rsidRPr="00945ED6">
        <w:rPr>
          <w:lang w:val="bg-BG"/>
        </w:rPr>
        <w:t xml:space="preserve"> 5(6)</w:t>
      </w:r>
      <w:r w:rsidR="00FA1997">
        <w:rPr>
          <w:lang w:val="bg-BG"/>
        </w:rPr>
        <w:t xml:space="preserve"> от Закона от 1995 г., </w:t>
      </w:r>
      <w:r w:rsidR="002261A8">
        <w:rPr>
          <w:lang w:val="bg-BG"/>
        </w:rPr>
        <w:t xml:space="preserve">като </w:t>
      </w:r>
      <w:r w:rsidR="003F54C5">
        <w:rPr>
          <w:lang w:val="bg-BG"/>
        </w:rPr>
        <w:t xml:space="preserve">за последен път това е станало през 2004 г. Още по-важното е, че в своето решение от 30 август 2000 г. Конституционният съд </w:t>
      </w:r>
      <w:r w:rsidR="00596D8E">
        <w:rPr>
          <w:lang w:val="bg-BG"/>
        </w:rPr>
        <w:t xml:space="preserve">прави </w:t>
      </w:r>
      <w:r w:rsidR="003F54C5">
        <w:rPr>
          <w:lang w:val="bg-BG"/>
        </w:rPr>
        <w:t>внимател</w:t>
      </w:r>
      <w:r w:rsidR="00596D8E">
        <w:rPr>
          <w:lang w:val="bg-BG"/>
        </w:rPr>
        <w:t>е</w:t>
      </w:r>
      <w:r w:rsidR="003F54C5">
        <w:rPr>
          <w:lang w:val="bg-BG"/>
        </w:rPr>
        <w:t xml:space="preserve">н </w:t>
      </w:r>
      <w:r w:rsidR="00596D8E">
        <w:rPr>
          <w:lang w:val="bg-BG"/>
        </w:rPr>
        <w:t>пре</w:t>
      </w:r>
      <w:r w:rsidR="003F54C5">
        <w:rPr>
          <w:lang w:val="bg-BG"/>
        </w:rPr>
        <w:t>глед</w:t>
      </w:r>
      <w:r w:rsidR="00596D8E">
        <w:rPr>
          <w:lang w:val="bg-BG"/>
        </w:rPr>
        <w:t xml:space="preserve"> на</w:t>
      </w:r>
      <w:r w:rsidR="00FA1997">
        <w:rPr>
          <w:lang w:val="bg-BG"/>
        </w:rPr>
        <w:t xml:space="preserve"> </w:t>
      </w:r>
      <w:r w:rsidR="003F54C5">
        <w:rPr>
          <w:lang w:val="bg-BG"/>
        </w:rPr>
        <w:t>историческите и политически</w:t>
      </w:r>
      <w:r w:rsidR="003F790D">
        <w:rPr>
          <w:lang w:val="bg-BG"/>
        </w:rPr>
        <w:t>те</w:t>
      </w:r>
      <w:r w:rsidR="003F54C5">
        <w:rPr>
          <w:lang w:val="bg-BG"/>
        </w:rPr>
        <w:t xml:space="preserve"> обстоятелства, които са довели до приемането на закона в Латвия и намира,</w:t>
      </w:r>
      <w:r w:rsidR="003F790D">
        <w:rPr>
          <w:lang w:val="bg-BG"/>
        </w:rPr>
        <w:t xml:space="preserve"> че ограничението не е ни</w:t>
      </w:r>
      <w:r w:rsidR="006701E6">
        <w:rPr>
          <w:lang w:val="bg-BG"/>
        </w:rPr>
        <w:t>то произволно, нито непропорционално</w:t>
      </w:r>
      <w:r w:rsidR="003F54C5">
        <w:rPr>
          <w:lang w:val="bg-BG"/>
        </w:rPr>
        <w:t xml:space="preserve"> към този момент, а именно девет години след разискваните събития (вж</w:t>
      </w:r>
      <w:r w:rsidR="00596D8E">
        <w:rPr>
          <w:lang w:val="bg-BG"/>
        </w:rPr>
        <w:t>.</w:t>
      </w:r>
      <w:r w:rsidR="003F54C5">
        <w:rPr>
          <w:lang w:val="bg-BG"/>
        </w:rPr>
        <w:t xml:space="preserve"> параграфи 61-63 по-горе). </w:t>
      </w:r>
      <w:r w:rsidR="0087595C" w:rsidRPr="00BB4F95">
        <w:rPr>
          <w:lang w:val="en-GB"/>
        </w:rPr>
        <w:t>  </w:t>
      </w:r>
    </w:p>
    <w:p w:rsidR="001811C2" w:rsidRPr="00945ED6" w:rsidRDefault="005D3E62" w:rsidP="00B8206D">
      <w:pPr>
        <w:pStyle w:val="JuPara"/>
        <w:rPr>
          <w:lang w:val="bg-BG"/>
        </w:rPr>
      </w:pPr>
      <w:r w:rsidRPr="00E17978">
        <w:fldChar w:fldCharType="begin"/>
      </w:r>
      <w:r w:rsidR="00BC0E4F" w:rsidRPr="00945ED6">
        <w:rPr>
          <w:lang w:val="bg-BG"/>
        </w:rPr>
        <w:instrText xml:space="preserve"> </w:instrText>
      </w:r>
      <w:r w:rsidR="00BC0E4F" w:rsidRPr="00BB4F95">
        <w:rPr>
          <w:lang w:val="en-GB"/>
        </w:rPr>
        <w:instrText>SEQ</w:instrText>
      </w:r>
      <w:r w:rsidR="00BC0E4F" w:rsidRPr="00945ED6">
        <w:rPr>
          <w:lang w:val="bg-BG"/>
        </w:rPr>
        <w:instrText xml:space="preserve"> </w:instrText>
      </w:r>
      <w:r w:rsidR="00BC0E4F" w:rsidRPr="00BB4F95">
        <w:rPr>
          <w:lang w:val="en-GB"/>
        </w:rPr>
        <w:instrText>level</w:instrText>
      </w:r>
      <w:r w:rsidR="00BC0E4F" w:rsidRPr="00945ED6">
        <w:rPr>
          <w:lang w:val="bg-BG"/>
        </w:rPr>
        <w:instrText>0 \*</w:instrText>
      </w:r>
      <w:r w:rsidR="00BC0E4F" w:rsidRPr="00BB4F95">
        <w:rPr>
          <w:lang w:val="en-GB"/>
        </w:rPr>
        <w:instrText>arabic</w:instrText>
      </w:r>
      <w:r w:rsidR="00BC0E4F" w:rsidRPr="00945ED6">
        <w:rPr>
          <w:lang w:val="bg-BG"/>
        </w:rPr>
        <w:instrText xml:space="preserve"> </w:instrText>
      </w:r>
      <w:r w:rsidRPr="00E17978">
        <w:fldChar w:fldCharType="separate"/>
      </w:r>
      <w:r w:rsidR="00955550" w:rsidRPr="00945ED6">
        <w:rPr>
          <w:noProof/>
          <w:lang w:val="bg-BG"/>
        </w:rPr>
        <w:t>135</w:t>
      </w:r>
      <w:r w:rsidRPr="00E17978">
        <w:fldChar w:fldCharType="end"/>
      </w:r>
      <w:r w:rsidR="00BC0E4F" w:rsidRPr="00945ED6">
        <w:rPr>
          <w:lang w:val="bg-BG"/>
        </w:rPr>
        <w:t>.</w:t>
      </w:r>
      <w:r w:rsidR="001811C2" w:rsidRPr="00945ED6">
        <w:rPr>
          <w:lang w:val="bg-BG"/>
        </w:rPr>
        <w:t xml:space="preserve"> </w:t>
      </w:r>
      <w:r w:rsidR="001811C2">
        <w:rPr>
          <w:lang w:val="bg-BG"/>
        </w:rPr>
        <w:t>Трябва да се обърне внимание на факта, че в решението си от 30 август 2000 г. Конституционният съд отбелязва, че латвийският парламент трябва да установи краен срок за ограничението. В светлината на това п</w:t>
      </w:r>
      <w:r w:rsidR="002261A8">
        <w:rPr>
          <w:lang w:val="bg-BG"/>
        </w:rPr>
        <w:t xml:space="preserve">редупреждение, дори ако днес </w:t>
      </w:r>
      <w:r w:rsidR="001811C2">
        <w:rPr>
          <w:lang w:val="bg-BG"/>
        </w:rPr>
        <w:t>не може да се смята</w:t>
      </w:r>
      <w:r w:rsidR="002261A8">
        <w:rPr>
          <w:lang w:val="bg-BG"/>
        </w:rPr>
        <w:t>, че Латвия е превишила значителната</w:t>
      </w:r>
      <w:r w:rsidR="001811C2">
        <w:rPr>
          <w:lang w:val="bg-BG"/>
        </w:rPr>
        <w:t xml:space="preserve"> си свобода на преценка по </w:t>
      </w:r>
      <w:r w:rsidR="001811C2" w:rsidRPr="00945ED6">
        <w:rPr>
          <w:lang w:val="bg-BG"/>
        </w:rPr>
        <w:t>чл</w:t>
      </w:r>
      <w:r w:rsidR="00FE59F3">
        <w:rPr>
          <w:lang w:val="bg-BG"/>
        </w:rPr>
        <w:t>ен</w:t>
      </w:r>
      <w:r w:rsidR="001811C2" w:rsidRPr="00945ED6">
        <w:rPr>
          <w:lang w:val="bg-BG"/>
        </w:rPr>
        <w:t xml:space="preserve"> 3 от Протокол № 1</w:t>
      </w:r>
      <w:r w:rsidR="001811C2">
        <w:rPr>
          <w:lang w:val="bg-BG"/>
        </w:rPr>
        <w:t>, латвийският парла</w:t>
      </w:r>
      <w:r w:rsidR="002261A8">
        <w:rPr>
          <w:lang w:val="bg-BG"/>
        </w:rPr>
        <w:t xml:space="preserve">мент все пак ще трябва да продължи </w:t>
      </w:r>
      <w:r w:rsidR="001811C2">
        <w:rPr>
          <w:lang w:val="bg-BG"/>
        </w:rPr>
        <w:t xml:space="preserve">да преразглежда оспорваното ограничение, с цел да го премахне възможно най-скоро. Подобно решение изглежда още по-оправдано с оглед на по-голямата стабилност, на която Латвия се радва </w:t>
      </w:r>
      <w:r w:rsidR="003F790D">
        <w:rPr>
          <w:lang w:val="bg-BG"/>
        </w:rPr>
        <w:t xml:space="preserve">в момента, наред с </w:t>
      </w:r>
      <w:r w:rsidR="00A55903">
        <w:rPr>
          <w:lang w:val="bg-BG"/>
        </w:rPr>
        <w:t>друго</w:t>
      </w:r>
      <w:r w:rsidR="003F790D">
        <w:rPr>
          <w:lang w:val="bg-BG"/>
        </w:rPr>
        <w:t>то</w:t>
      </w:r>
      <w:r w:rsidR="00A55903">
        <w:rPr>
          <w:lang w:val="bg-BG"/>
        </w:rPr>
        <w:t>, и заради пълната си европейска интеграция (вж</w:t>
      </w:r>
      <w:r w:rsidR="00FE59F3">
        <w:rPr>
          <w:lang w:val="bg-BG"/>
        </w:rPr>
        <w:t>.</w:t>
      </w:r>
      <w:r w:rsidR="00A55903">
        <w:rPr>
          <w:lang w:val="bg-BG"/>
        </w:rPr>
        <w:t xml:space="preserve"> параграф 51 по-горе). Следователно, ако латвийският законодател </w:t>
      </w:r>
      <w:r w:rsidR="00A55903">
        <w:rPr>
          <w:lang w:val="bg-BG"/>
        </w:rPr>
        <w:lastRenderedPageBreak/>
        <w:t xml:space="preserve">не предприеме активни стъпки в тази връзка, становището на Съда може да се промени </w:t>
      </w:r>
      <w:r w:rsidR="00A55903" w:rsidRPr="00945ED6">
        <w:rPr>
          <w:lang w:val="bg-BG"/>
        </w:rPr>
        <w:t>(</w:t>
      </w:r>
      <w:r w:rsidR="00A55903">
        <w:rPr>
          <w:lang w:val="bg-BG"/>
        </w:rPr>
        <w:t>вж</w:t>
      </w:r>
      <w:r w:rsidR="00FE59F3">
        <w:rPr>
          <w:lang w:val="bg-BG"/>
        </w:rPr>
        <w:t>.</w:t>
      </w:r>
      <w:r w:rsidR="00A55903" w:rsidRPr="00945ED6">
        <w:rPr>
          <w:lang w:val="bg-BG"/>
        </w:rPr>
        <w:t xml:space="preserve">, </w:t>
      </w:r>
      <w:r w:rsidR="00A55903" w:rsidRPr="00BB4F95">
        <w:rPr>
          <w:i/>
          <w:lang w:val="en-GB"/>
        </w:rPr>
        <w:t>mutatis</w:t>
      </w:r>
      <w:r w:rsidR="00A55903" w:rsidRPr="00945ED6">
        <w:rPr>
          <w:i/>
          <w:lang w:val="bg-BG"/>
        </w:rPr>
        <w:t xml:space="preserve"> </w:t>
      </w:r>
      <w:r w:rsidR="00A55903" w:rsidRPr="00BB4F95">
        <w:rPr>
          <w:i/>
          <w:lang w:val="en-GB"/>
        </w:rPr>
        <w:t>mutandis</w:t>
      </w:r>
      <w:r w:rsidR="00A55903" w:rsidRPr="00945ED6">
        <w:rPr>
          <w:lang w:val="bg-BG"/>
        </w:rPr>
        <w:t xml:space="preserve">, </w:t>
      </w:r>
      <w:r w:rsidR="00A55903" w:rsidRPr="00BB4F95">
        <w:rPr>
          <w:i/>
          <w:lang w:val="en-GB"/>
        </w:rPr>
        <w:t>Sheffield</w:t>
      </w:r>
      <w:r w:rsidR="00A55903" w:rsidRPr="00945ED6">
        <w:rPr>
          <w:i/>
          <w:lang w:val="bg-BG"/>
        </w:rPr>
        <w:t xml:space="preserve"> </w:t>
      </w:r>
      <w:r w:rsidR="00A55903" w:rsidRPr="00BB4F95">
        <w:rPr>
          <w:i/>
          <w:lang w:val="en-GB"/>
        </w:rPr>
        <w:t>and</w:t>
      </w:r>
      <w:r w:rsidR="00A55903" w:rsidRPr="00945ED6">
        <w:rPr>
          <w:i/>
          <w:lang w:val="bg-BG"/>
        </w:rPr>
        <w:t xml:space="preserve"> </w:t>
      </w:r>
      <w:r w:rsidR="00A55903" w:rsidRPr="00BB4F95">
        <w:rPr>
          <w:i/>
          <w:lang w:val="en-GB"/>
        </w:rPr>
        <w:t>Horsham</w:t>
      </w:r>
      <w:r w:rsidR="00A55903" w:rsidRPr="00945ED6">
        <w:rPr>
          <w:i/>
          <w:lang w:val="bg-BG"/>
        </w:rPr>
        <w:t xml:space="preserve"> </w:t>
      </w:r>
      <w:r w:rsidR="00A55903" w:rsidRPr="00BB4F95">
        <w:rPr>
          <w:i/>
          <w:lang w:val="en-GB"/>
        </w:rPr>
        <w:t>v</w:t>
      </w:r>
      <w:r w:rsidR="00A55903" w:rsidRPr="00945ED6">
        <w:rPr>
          <w:i/>
          <w:lang w:val="bg-BG"/>
        </w:rPr>
        <w:t xml:space="preserve">. </w:t>
      </w:r>
      <w:r w:rsidR="00A55903" w:rsidRPr="00BB4F95">
        <w:rPr>
          <w:i/>
          <w:lang w:val="en-GB"/>
        </w:rPr>
        <w:t>the</w:t>
      </w:r>
      <w:r w:rsidR="00A55903" w:rsidRPr="00945ED6">
        <w:rPr>
          <w:i/>
          <w:lang w:val="bg-BG"/>
        </w:rPr>
        <w:t xml:space="preserve"> </w:t>
      </w:r>
      <w:r w:rsidR="00A55903" w:rsidRPr="00BB4F95">
        <w:rPr>
          <w:i/>
          <w:lang w:val="en-GB"/>
        </w:rPr>
        <w:t>United</w:t>
      </w:r>
      <w:r w:rsidR="00A55903" w:rsidRPr="00945ED6">
        <w:rPr>
          <w:i/>
          <w:lang w:val="bg-BG"/>
        </w:rPr>
        <w:t xml:space="preserve"> </w:t>
      </w:r>
      <w:r w:rsidR="00A55903" w:rsidRPr="00BB4F95">
        <w:rPr>
          <w:i/>
          <w:lang w:val="en-GB"/>
        </w:rPr>
        <w:t>Kingdom</w:t>
      </w:r>
      <w:r w:rsidR="00A55903" w:rsidRPr="00945ED6">
        <w:rPr>
          <w:lang w:val="bg-BG"/>
        </w:rPr>
        <w:t>, 30</w:t>
      </w:r>
      <w:r w:rsidR="00A55903">
        <w:rPr>
          <w:lang w:val="en-GB"/>
        </w:rPr>
        <w:t> </w:t>
      </w:r>
      <w:r w:rsidR="00A55903" w:rsidRPr="00945ED6">
        <w:rPr>
          <w:lang w:val="bg-BG"/>
        </w:rPr>
        <w:t xml:space="preserve">юли 1998, § 60, </w:t>
      </w:r>
      <w:r w:rsidR="00CE73C6">
        <w:rPr>
          <w:i/>
          <w:lang w:val="bg-BG"/>
        </w:rPr>
        <w:t>Доклади</w:t>
      </w:r>
      <w:r w:rsidR="00A55903" w:rsidRPr="00945ED6">
        <w:rPr>
          <w:i/>
          <w:lang w:val="bg-BG"/>
        </w:rPr>
        <w:t xml:space="preserve"> </w:t>
      </w:r>
      <w:r w:rsidR="00A55903" w:rsidRPr="00945ED6">
        <w:rPr>
          <w:lang w:val="bg-BG"/>
        </w:rPr>
        <w:t>19</w:t>
      </w:r>
      <w:r w:rsidR="00CE73C6" w:rsidRPr="00945ED6">
        <w:rPr>
          <w:lang w:val="bg-BG"/>
        </w:rPr>
        <w:t>98-</w:t>
      </w:r>
      <w:r w:rsidR="00CE73C6">
        <w:rPr>
          <w:lang w:val="en-GB"/>
        </w:rPr>
        <w:t>V</w:t>
      </w:r>
      <w:r w:rsidR="00CE73C6" w:rsidRPr="00945ED6">
        <w:rPr>
          <w:lang w:val="bg-BG"/>
        </w:rPr>
        <w:t xml:space="preserve">; </w:t>
      </w:r>
      <w:r w:rsidR="00CE73C6">
        <w:rPr>
          <w:lang w:val="bg-BG"/>
        </w:rPr>
        <w:t>вж</w:t>
      </w:r>
      <w:r w:rsidR="00FE59F3">
        <w:rPr>
          <w:lang w:val="bg-BG"/>
        </w:rPr>
        <w:t>.</w:t>
      </w:r>
      <w:r w:rsidR="00CE73C6">
        <w:rPr>
          <w:lang w:val="bg-BG"/>
        </w:rPr>
        <w:t xml:space="preserve"> също следващото решение по това дело</w:t>
      </w:r>
      <w:r w:rsidR="00A55903" w:rsidRPr="00945ED6">
        <w:rPr>
          <w:lang w:val="bg-BG"/>
        </w:rPr>
        <w:t xml:space="preserve">, </w:t>
      </w:r>
      <w:r w:rsidR="00A55903" w:rsidRPr="00BB4F95">
        <w:rPr>
          <w:i/>
          <w:lang w:val="en-GB"/>
        </w:rPr>
        <w:t>Christine</w:t>
      </w:r>
      <w:r w:rsidR="00A55903" w:rsidRPr="00945ED6">
        <w:rPr>
          <w:i/>
          <w:lang w:val="bg-BG"/>
        </w:rPr>
        <w:t xml:space="preserve"> </w:t>
      </w:r>
      <w:r w:rsidR="00A55903" w:rsidRPr="00BB4F95">
        <w:rPr>
          <w:i/>
          <w:lang w:val="en-GB"/>
        </w:rPr>
        <w:t>Goodwin</w:t>
      </w:r>
      <w:r w:rsidR="00A55903" w:rsidRPr="00945ED6">
        <w:rPr>
          <w:i/>
          <w:lang w:val="bg-BG"/>
        </w:rPr>
        <w:t xml:space="preserve"> </w:t>
      </w:r>
      <w:r w:rsidR="00A55903" w:rsidRPr="00BB4F95">
        <w:rPr>
          <w:i/>
          <w:lang w:val="en-GB"/>
        </w:rPr>
        <w:t>v</w:t>
      </w:r>
      <w:r w:rsidR="00A55903" w:rsidRPr="00945ED6">
        <w:rPr>
          <w:i/>
          <w:lang w:val="bg-BG"/>
        </w:rPr>
        <w:t xml:space="preserve">. </w:t>
      </w:r>
      <w:r w:rsidR="00A55903" w:rsidRPr="00BB4F95">
        <w:rPr>
          <w:i/>
          <w:lang w:val="en-GB"/>
        </w:rPr>
        <w:t>the</w:t>
      </w:r>
      <w:r w:rsidR="00A55903" w:rsidRPr="00945ED6">
        <w:rPr>
          <w:i/>
          <w:lang w:val="bg-BG"/>
        </w:rPr>
        <w:t xml:space="preserve"> </w:t>
      </w:r>
      <w:r w:rsidR="00A55903" w:rsidRPr="00BB4F95">
        <w:rPr>
          <w:i/>
          <w:lang w:val="en-GB"/>
        </w:rPr>
        <w:t>United</w:t>
      </w:r>
      <w:r w:rsidR="00A55903" w:rsidRPr="00945ED6">
        <w:rPr>
          <w:i/>
          <w:lang w:val="bg-BG"/>
        </w:rPr>
        <w:t xml:space="preserve"> </w:t>
      </w:r>
      <w:r w:rsidR="00A55903" w:rsidRPr="00BB4F95">
        <w:rPr>
          <w:i/>
          <w:lang w:val="en-GB"/>
        </w:rPr>
        <w:t>Kingdom</w:t>
      </w:r>
      <w:r w:rsidR="00A55903" w:rsidRPr="00945ED6">
        <w:rPr>
          <w:lang w:val="bg-BG"/>
        </w:rPr>
        <w:t xml:space="preserve"> [</w:t>
      </w:r>
      <w:r w:rsidR="00FE59F3">
        <w:rPr>
          <w:lang w:val="bg-BG"/>
        </w:rPr>
        <w:t>ГО</w:t>
      </w:r>
      <w:r w:rsidR="00A55903" w:rsidRPr="00945ED6">
        <w:rPr>
          <w:lang w:val="bg-BG"/>
        </w:rPr>
        <w:t>], № 28957/95, §§</w:t>
      </w:r>
      <w:r w:rsidR="00A55903">
        <w:rPr>
          <w:lang w:val="en-GB"/>
        </w:rPr>
        <w:t> </w:t>
      </w:r>
      <w:r w:rsidR="00A55903" w:rsidRPr="00945ED6">
        <w:rPr>
          <w:lang w:val="bg-BG"/>
        </w:rPr>
        <w:t>71</w:t>
      </w:r>
      <w:r w:rsidR="00A55903" w:rsidRPr="00945ED6">
        <w:rPr>
          <w:lang w:val="bg-BG"/>
        </w:rPr>
        <w:noBreakHyphen/>
        <w:t>93, ЕСПЧ 2002-</w:t>
      </w:r>
      <w:r w:rsidR="00A55903" w:rsidRPr="00BB4F95">
        <w:rPr>
          <w:lang w:val="en-GB"/>
        </w:rPr>
        <w:t>VI</w:t>
      </w:r>
      <w:r w:rsidR="00A55903" w:rsidRPr="00945ED6">
        <w:rPr>
          <w:lang w:val="bg-BG"/>
        </w:rPr>
        <w:t>).</w:t>
      </w:r>
      <w:r w:rsidR="00A55903">
        <w:rPr>
          <w:lang w:val="bg-BG"/>
        </w:rPr>
        <w:t xml:space="preserve"> </w:t>
      </w:r>
      <w:r w:rsidR="00A55903" w:rsidRPr="00945ED6">
        <w:rPr>
          <w:lang w:val="bg-BG"/>
        </w:rPr>
        <w:t xml:space="preserve"> </w:t>
      </w:r>
      <w:r w:rsidR="00A55903">
        <w:rPr>
          <w:lang w:val="bg-BG"/>
        </w:rPr>
        <w:t xml:space="preserve"> </w:t>
      </w:r>
      <w:r w:rsidR="001811C2">
        <w:rPr>
          <w:lang w:val="bg-BG"/>
        </w:rPr>
        <w:t xml:space="preserve">   </w:t>
      </w:r>
      <w:r w:rsidR="00BC0E4F" w:rsidRPr="00BB4F95">
        <w:rPr>
          <w:lang w:val="en-GB"/>
        </w:rPr>
        <w:t>  </w:t>
      </w:r>
    </w:p>
    <w:p w:rsidR="005A5ED0" w:rsidRPr="00945ED6" w:rsidRDefault="005D3E62" w:rsidP="00B8206D">
      <w:pPr>
        <w:pStyle w:val="JuPara"/>
        <w:rPr>
          <w:lang w:val="bg-BG"/>
        </w:rPr>
      </w:pPr>
      <w:r w:rsidRPr="00E17978">
        <w:fldChar w:fldCharType="begin"/>
      </w:r>
      <w:r w:rsidR="00EE74A9" w:rsidRPr="00945ED6">
        <w:rPr>
          <w:lang w:val="bg-BG"/>
        </w:rPr>
        <w:instrText xml:space="preserve"> </w:instrText>
      </w:r>
      <w:r w:rsidR="00EE74A9" w:rsidRPr="00BB4F95">
        <w:rPr>
          <w:lang w:val="en-GB"/>
        </w:rPr>
        <w:instrText>SEQ</w:instrText>
      </w:r>
      <w:r w:rsidR="00EE74A9" w:rsidRPr="00945ED6">
        <w:rPr>
          <w:lang w:val="bg-BG"/>
        </w:rPr>
        <w:instrText xml:space="preserve"> </w:instrText>
      </w:r>
      <w:r w:rsidR="00EE74A9" w:rsidRPr="00BB4F95">
        <w:rPr>
          <w:lang w:val="en-GB"/>
        </w:rPr>
        <w:instrText>level</w:instrText>
      </w:r>
      <w:r w:rsidR="00EE74A9" w:rsidRPr="00945ED6">
        <w:rPr>
          <w:lang w:val="bg-BG"/>
        </w:rPr>
        <w:instrText>0 \*</w:instrText>
      </w:r>
      <w:r w:rsidR="00EE74A9" w:rsidRPr="00BB4F95">
        <w:rPr>
          <w:lang w:val="en-GB"/>
        </w:rPr>
        <w:instrText>arabic</w:instrText>
      </w:r>
      <w:r w:rsidR="00EE74A9" w:rsidRPr="00945ED6">
        <w:rPr>
          <w:lang w:val="bg-BG"/>
        </w:rPr>
        <w:instrText xml:space="preserve"> </w:instrText>
      </w:r>
      <w:r w:rsidRPr="00E17978">
        <w:fldChar w:fldCharType="separate"/>
      </w:r>
      <w:r w:rsidR="00955550" w:rsidRPr="00945ED6">
        <w:rPr>
          <w:noProof/>
          <w:lang w:val="bg-BG"/>
        </w:rPr>
        <w:t>136</w:t>
      </w:r>
      <w:r w:rsidRPr="00E17978">
        <w:fldChar w:fldCharType="end"/>
      </w:r>
      <w:r w:rsidR="00EE74A9" w:rsidRPr="00945ED6">
        <w:rPr>
          <w:lang w:val="bg-BG"/>
        </w:rPr>
        <w:t>.</w:t>
      </w:r>
      <w:r w:rsidR="00EE74A9" w:rsidRPr="00BB4F95">
        <w:rPr>
          <w:lang w:val="en-GB"/>
        </w:rPr>
        <w:t>  </w:t>
      </w:r>
      <w:r w:rsidR="00CE73C6">
        <w:rPr>
          <w:lang w:val="bg-BG"/>
        </w:rPr>
        <w:t xml:space="preserve">Заключението на Съда е, че няма нарушение на </w:t>
      </w:r>
      <w:r w:rsidR="00CE73C6" w:rsidRPr="00945ED6">
        <w:rPr>
          <w:lang w:val="bg-BG"/>
        </w:rPr>
        <w:t>чл</w:t>
      </w:r>
      <w:r w:rsidR="00FE59F3">
        <w:rPr>
          <w:lang w:val="bg-BG"/>
        </w:rPr>
        <w:t>ен</w:t>
      </w:r>
      <w:r w:rsidR="00CE73C6" w:rsidRPr="00945ED6">
        <w:rPr>
          <w:lang w:val="bg-BG"/>
        </w:rPr>
        <w:t xml:space="preserve"> 3 от Протокол № 1.</w:t>
      </w:r>
      <w:r w:rsidR="00CE73C6">
        <w:rPr>
          <w:lang w:val="bg-BG"/>
        </w:rPr>
        <w:t xml:space="preserve"> </w:t>
      </w:r>
    </w:p>
    <w:p w:rsidR="00741FDE" w:rsidRPr="00945ED6" w:rsidRDefault="005A5ED0" w:rsidP="00741FDE">
      <w:pPr>
        <w:pStyle w:val="JuHIRoman"/>
        <w:rPr>
          <w:lang w:val="bg-BG"/>
        </w:rPr>
      </w:pPr>
      <w:r>
        <w:t>III</w:t>
      </w:r>
      <w:r w:rsidRPr="00945ED6">
        <w:rPr>
          <w:lang w:val="bg-BG"/>
        </w:rPr>
        <w:t>.</w:t>
      </w:r>
      <w:r>
        <w:t> </w:t>
      </w:r>
      <w:r w:rsidR="00CE73C6">
        <w:rPr>
          <w:lang w:val="bg-BG"/>
        </w:rPr>
        <w:t>ТВЪРДЯНО НАРУШЕНИЕ НА ЧЛ</w:t>
      </w:r>
      <w:r w:rsidR="00FE59F3">
        <w:rPr>
          <w:lang w:val="bg-BG"/>
        </w:rPr>
        <w:t>ЕНОВЕ</w:t>
      </w:r>
      <w:r w:rsidR="00CE73C6">
        <w:rPr>
          <w:lang w:val="bg-BG"/>
        </w:rPr>
        <w:t xml:space="preserve"> 10 И 11 ОТ КОНВЕНЦИЯТА </w:t>
      </w:r>
    </w:p>
    <w:p w:rsidR="00741FDE" w:rsidRPr="00945ED6" w:rsidRDefault="005D3E62" w:rsidP="00741FDE">
      <w:pPr>
        <w:pStyle w:val="JuPara"/>
        <w:rPr>
          <w:lang w:val="bg-BG"/>
        </w:rPr>
      </w:pPr>
      <w:r w:rsidRPr="00E17978">
        <w:rPr>
          <w:lang w:val="en-GB"/>
        </w:rPr>
        <w:fldChar w:fldCharType="begin"/>
      </w:r>
      <w:r w:rsidR="00741FDE" w:rsidRPr="00945ED6">
        <w:rPr>
          <w:lang w:val="bg-BG"/>
        </w:rPr>
        <w:instrText xml:space="preserve"> </w:instrText>
      </w:r>
      <w:r w:rsidR="00741FDE" w:rsidRPr="00E17978">
        <w:rPr>
          <w:lang w:val="en-GB"/>
        </w:rPr>
        <w:instrText>SEQ</w:instrText>
      </w:r>
      <w:r w:rsidR="00741FDE" w:rsidRPr="00945ED6">
        <w:rPr>
          <w:lang w:val="bg-BG"/>
        </w:rPr>
        <w:instrText xml:space="preserve"> </w:instrText>
      </w:r>
      <w:r w:rsidR="00741FDE" w:rsidRPr="00E17978">
        <w:rPr>
          <w:lang w:val="en-GB"/>
        </w:rPr>
        <w:instrText>level</w:instrText>
      </w:r>
      <w:r w:rsidR="00741FDE" w:rsidRPr="00945ED6">
        <w:rPr>
          <w:lang w:val="bg-BG"/>
        </w:rPr>
        <w:instrText>0 \*</w:instrText>
      </w:r>
      <w:r w:rsidR="00741FDE" w:rsidRPr="00E17978">
        <w:rPr>
          <w:lang w:val="en-GB"/>
        </w:rPr>
        <w:instrText>arabic</w:instrText>
      </w:r>
      <w:r w:rsidR="00741FDE" w:rsidRPr="00945ED6">
        <w:rPr>
          <w:lang w:val="bg-BG"/>
        </w:rPr>
        <w:instrText xml:space="preserve"> </w:instrText>
      </w:r>
      <w:r w:rsidRPr="00E17978">
        <w:rPr>
          <w:lang w:val="en-GB"/>
        </w:rPr>
        <w:fldChar w:fldCharType="separate"/>
      </w:r>
      <w:r w:rsidR="00955550" w:rsidRPr="00945ED6">
        <w:rPr>
          <w:noProof/>
          <w:lang w:val="bg-BG"/>
        </w:rPr>
        <w:t>137</w:t>
      </w:r>
      <w:r w:rsidRPr="00E17978">
        <w:rPr>
          <w:lang w:val="en-GB"/>
        </w:rPr>
        <w:fldChar w:fldCharType="end"/>
      </w:r>
      <w:r w:rsidR="00741FDE" w:rsidRPr="00945ED6">
        <w:rPr>
          <w:lang w:val="bg-BG"/>
        </w:rPr>
        <w:t>.</w:t>
      </w:r>
      <w:r w:rsidR="00741FDE" w:rsidRPr="00E17978">
        <w:rPr>
          <w:lang w:val="en-GB"/>
        </w:rPr>
        <w:t>  </w:t>
      </w:r>
      <w:r w:rsidR="00354C6E">
        <w:rPr>
          <w:lang w:val="bg-BG"/>
        </w:rPr>
        <w:t>Жалбоподателката</w:t>
      </w:r>
      <w:r w:rsidR="00CE73C6">
        <w:rPr>
          <w:lang w:val="bg-BG"/>
        </w:rPr>
        <w:t xml:space="preserve"> твърди, че забраната да се кандидатира на изборите за националния парламент, както и на изборите за общински съвети, представлява нарушение на </w:t>
      </w:r>
      <w:r w:rsidR="00FA220F">
        <w:rPr>
          <w:lang w:val="bg-BG"/>
        </w:rPr>
        <w:t>чл</w:t>
      </w:r>
      <w:r w:rsidR="00FE59F3">
        <w:rPr>
          <w:lang w:val="bg-BG"/>
        </w:rPr>
        <w:t>енове</w:t>
      </w:r>
      <w:r w:rsidR="00FA220F">
        <w:rPr>
          <w:lang w:val="bg-BG"/>
        </w:rPr>
        <w:t xml:space="preserve"> 10 и 11 от Конвенцията. Приложимите</w:t>
      </w:r>
      <w:r w:rsidR="00CE73C6">
        <w:rPr>
          <w:lang w:val="bg-BG"/>
        </w:rPr>
        <w:t xml:space="preserve"> части от тези членове </w:t>
      </w:r>
      <w:r w:rsidR="00FE59F3">
        <w:rPr>
          <w:lang w:val="bg-BG"/>
        </w:rPr>
        <w:t>гласят</w:t>
      </w:r>
      <w:r w:rsidR="00CE73C6">
        <w:rPr>
          <w:lang w:val="bg-BG"/>
        </w:rPr>
        <w:t xml:space="preserve">:  </w:t>
      </w:r>
    </w:p>
    <w:p w:rsidR="00741FDE" w:rsidRPr="00CE73C6" w:rsidRDefault="007C5907" w:rsidP="00B8206D">
      <w:pPr>
        <w:pStyle w:val="JuHArticle"/>
        <w:rPr>
          <w:lang w:val="bg-BG"/>
        </w:rPr>
      </w:pPr>
      <w:r>
        <w:rPr>
          <w:lang w:val="bg-BG"/>
        </w:rPr>
        <w:t>Чл</w:t>
      </w:r>
      <w:r w:rsidR="00FE59F3">
        <w:rPr>
          <w:lang w:val="bg-BG"/>
        </w:rPr>
        <w:t>ен</w:t>
      </w:r>
      <w:r>
        <w:rPr>
          <w:lang w:val="bg-BG"/>
        </w:rPr>
        <w:t xml:space="preserve"> 10</w:t>
      </w:r>
    </w:p>
    <w:p w:rsidR="007C5907" w:rsidRPr="00945ED6" w:rsidRDefault="00FE59F3" w:rsidP="00741FDE">
      <w:pPr>
        <w:pStyle w:val="JuQuot"/>
        <w:rPr>
          <w:lang w:val="bg-BG"/>
        </w:rPr>
      </w:pPr>
      <w:r>
        <w:rPr>
          <w:lang w:val="bg-BG"/>
        </w:rPr>
        <w:t>„</w:t>
      </w:r>
      <w:r w:rsidR="000A079D" w:rsidRPr="00945ED6">
        <w:rPr>
          <w:lang w:val="bg-BG"/>
        </w:rPr>
        <w:t>1.</w:t>
      </w:r>
      <w:r w:rsidR="007C5907">
        <w:rPr>
          <w:lang w:val="bg-BG"/>
        </w:rPr>
        <w:t xml:space="preserve"> </w:t>
      </w:r>
      <w:r w:rsidR="007C5907">
        <w:t>Β</w:t>
      </w:r>
      <w:r w:rsidR="007C5907" w:rsidRPr="00945ED6">
        <w:rPr>
          <w:lang w:val="bg-BG"/>
        </w:rPr>
        <w:t>секи има право на свобода на изразяването на мнения. Това право включва свободата на всеки да отстоява своето мнение, да получава и да разпространява информация и идеи без намеса на държавните власти и независимо от държавните граници.</w:t>
      </w:r>
      <w:r w:rsidR="007C5907">
        <w:rPr>
          <w:lang w:val="bg-BG"/>
        </w:rPr>
        <w:t xml:space="preserve"> ...</w:t>
      </w:r>
      <w:r w:rsidR="000A079D">
        <w:t>  </w:t>
      </w:r>
    </w:p>
    <w:p w:rsidR="007C5907" w:rsidRPr="00126EB2" w:rsidRDefault="00741FDE" w:rsidP="00741FDE">
      <w:pPr>
        <w:pStyle w:val="JuQuot"/>
        <w:rPr>
          <w:lang w:val="bg-BG"/>
        </w:rPr>
      </w:pPr>
      <w:r w:rsidRPr="00126EB2">
        <w:rPr>
          <w:lang w:val="bg-BG"/>
        </w:rPr>
        <w:t>2.</w:t>
      </w:r>
      <w:r w:rsidRPr="00E17978">
        <w:t> </w:t>
      </w:r>
      <w:r w:rsidR="007C5907" w:rsidRPr="00126EB2">
        <w:rPr>
          <w:lang w:val="bg-BG"/>
        </w:rPr>
        <w:t>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w:t>
      </w:r>
      <w:r w:rsidR="007C5907">
        <w:rPr>
          <w:lang w:val="bg-BG"/>
        </w:rPr>
        <w:t xml:space="preserve"> ...</w:t>
      </w:r>
      <w:r w:rsidR="007C5907" w:rsidRPr="00126EB2">
        <w:rPr>
          <w:lang w:val="bg-BG"/>
        </w:rPr>
        <w:t xml:space="preserve"> за защитата на репутацията или правата на другите</w:t>
      </w:r>
      <w:r w:rsidR="007C5907">
        <w:rPr>
          <w:lang w:val="bg-BG"/>
        </w:rPr>
        <w:t xml:space="preserve"> </w:t>
      </w:r>
      <w:r w:rsidR="007C5907" w:rsidRPr="00126EB2">
        <w:rPr>
          <w:lang w:val="bg-BG"/>
        </w:rPr>
        <w:t>.</w:t>
      </w:r>
      <w:r w:rsidR="007C5907">
        <w:rPr>
          <w:lang w:val="bg-BG"/>
        </w:rPr>
        <w:t>..</w:t>
      </w:r>
      <w:r w:rsidR="00985FCD">
        <w:rPr>
          <w:lang w:val="bg-BG"/>
        </w:rPr>
        <w:t>“</w:t>
      </w:r>
      <w:r w:rsidRPr="00E17978">
        <w:t> </w:t>
      </w:r>
    </w:p>
    <w:p w:rsidR="00741FDE" w:rsidRPr="00126EB2" w:rsidRDefault="007C5907" w:rsidP="00B8206D">
      <w:pPr>
        <w:pStyle w:val="JuHArticle"/>
        <w:rPr>
          <w:lang w:val="bg-BG"/>
        </w:rPr>
      </w:pPr>
      <w:r w:rsidRPr="00126EB2">
        <w:rPr>
          <w:lang w:val="bg-BG"/>
        </w:rPr>
        <w:t>Чл</w:t>
      </w:r>
      <w:r w:rsidR="00FE59F3">
        <w:rPr>
          <w:lang w:val="bg-BG"/>
        </w:rPr>
        <w:t>ен</w:t>
      </w:r>
      <w:r w:rsidR="00741FDE" w:rsidRPr="00126EB2">
        <w:rPr>
          <w:lang w:val="bg-BG"/>
        </w:rPr>
        <w:t xml:space="preserve"> 11</w:t>
      </w:r>
    </w:p>
    <w:p w:rsidR="00741FDE" w:rsidRPr="007C5907" w:rsidRDefault="00FE59F3" w:rsidP="00741FDE">
      <w:pPr>
        <w:pStyle w:val="JuQuot"/>
        <w:rPr>
          <w:lang w:val="bg-BG"/>
        </w:rPr>
      </w:pPr>
      <w:r>
        <w:rPr>
          <w:lang w:val="bg-BG"/>
        </w:rPr>
        <w:t>„</w:t>
      </w:r>
      <w:r w:rsidR="00741FDE" w:rsidRPr="00126EB2">
        <w:rPr>
          <w:lang w:val="bg-BG"/>
        </w:rPr>
        <w:t>1.</w:t>
      </w:r>
      <w:r w:rsidR="00741FDE" w:rsidRPr="00E17978">
        <w:t>  </w:t>
      </w:r>
      <w:r w:rsidR="007C5907">
        <w:t>Β</w:t>
      </w:r>
      <w:r w:rsidR="007C5907" w:rsidRPr="00126EB2">
        <w:rPr>
          <w:lang w:val="bg-BG"/>
        </w:rPr>
        <w:t>секи има право на свобода на</w:t>
      </w:r>
      <w:r w:rsidR="0076633D">
        <w:rPr>
          <w:lang w:val="bg-BG"/>
        </w:rPr>
        <w:t xml:space="preserve"> мирни</w:t>
      </w:r>
      <w:r w:rsidR="00985FCD">
        <w:rPr>
          <w:lang w:val="bg-BG"/>
        </w:rPr>
        <w:t>те</w:t>
      </w:r>
      <w:r w:rsidR="0076633D">
        <w:rPr>
          <w:lang w:val="bg-BG"/>
        </w:rPr>
        <w:t xml:space="preserve"> събрания</w:t>
      </w:r>
      <w:r w:rsidR="007C5907" w:rsidRPr="00126EB2">
        <w:rPr>
          <w:lang w:val="bg-BG"/>
        </w:rPr>
        <w:t xml:space="preserve"> и на свободно сдружаване</w:t>
      </w:r>
      <w:r w:rsidR="007C5907">
        <w:rPr>
          <w:lang w:val="bg-BG"/>
        </w:rPr>
        <w:t xml:space="preserve"> ...</w:t>
      </w:r>
    </w:p>
    <w:p w:rsidR="007C5907" w:rsidRPr="00945ED6" w:rsidRDefault="00741FDE" w:rsidP="00741FDE">
      <w:pPr>
        <w:pStyle w:val="JuQuot"/>
        <w:rPr>
          <w:lang w:val="bg-BG"/>
        </w:rPr>
      </w:pPr>
      <w:r w:rsidRPr="00945ED6">
        <w:rPr>
          <w:lang w:val="bg-BG"/>
        </w:rPr>
        <w:t>2.</w:t>
      </w:r>
      <w:r w:rsidR="007C5907">
        <w:rPr>
          <w:lang w:val="bg-BG"/>
        </w:rPr>
        <w:t xml:space="preserve"> </w:t>
      </w:r>
      <w:r w:rsidR="007C5907" w:rsidRPr="00945ED6">
        <w:rPr>
          <w:lang w:val="bg-BG"/>
        </w:rPr>
        <w:t xml:space="preserve">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w:t>
      </w:r>
      <w:r w:rsidR="007C5907">
        <w:rPr>
          <w:lang w:val="bg-BG"/>
        </w:rPr>
        <w:t xml:space="preserve">... </w:t>
      </w:r>
      <w:r w:rsidR="007C5907" w:rsidRPr="00945ED6">
        <w:rPr>
          <w:lang w:val="bg-BG"/>
        </w:rPr>
        <w:t>за защитата на правата и свободите на другите. Този член не изключва въвеждането на законни ограничения върху упражняването на тези права от служещите във въоръжените сили, полицията или държавната администрация.</w:t>
      </w:r>
      <w:r w:rsidR="005A0412">
        <w:rPr>
          <w:lang w:val="bg-BG"/>
        </w:rPr>
        <w:t>“</w:t>
      </w:r>
      <w:r w:rsidRPr="00E17978">
        <w:t>  </w:t>
      </w:r>
    </w:p>
    <w:p w:rsidR="005A5ED0" w:rsidRPr="00945ED6" w:rsidRDefault="005A5ED0" w:rsidP="00741FDE">
      <w:pPr>
        <w:pStyle w:val="JuHA"/>
        <w:rPr>
          <w:lang w:val="bg-BG"/>
        </w:rPr>
      </w:pPr>
      <w:r>
        <w:t>A</w:t>
      </w:r>
      <w:r w:rsidRPr="00945ED6">
        <w:rPr>
          <w:lang w:val="bg-BG"/>
        </w:rPr>
        <w:t>.</w:t>
      </w:r>
      <w:r>
        <w:t> </w:t>
      </w:r>
      <w:r w:rsidR="00A07FF6">
        <w:rPr>
          <w:lang w:val="bg-BG"/>
        </w:rPr>
        <w:t>Решение</w:t>
      </w:r>
      <w:r w:rsidR="00985FCD">
        <w:rPr>
          <w:lang w:val="bg-BG"/>
        </w:rPr>
        <w:t>то</w:t>
      </w:r>
      <w:r w:rsidR="005E1FB4">
        <w:rPr>
          <w:lang w:val="bg-BG"/>
        </w:rPr>
        <w:t xml:space="preserve"> на съдебния състав</w:t>
      </w:r>
      <w:r w:rsidR="005A0412">
        <w:rPr>
          <w:lang w:val="bg-BG"/>
        </w:rPr>
        <w:t xml:space="preserve"> </w:t>
      </w:r>
    </w:p>
    <w:p w:rsidR="005A0412" w:rsidRPr="00945ED6" w:rsidRDefault="005D3E62" w:rsidP="00B8206D">
      <w:pPr>
        <w:pStyle w:val="JuPara"/>
        <w:rPr>
          <w:lang w:val="bg-BG"/>
        </w:rPr>
      </w:pPr>
      <w:r w:rsidRPr="00E17978">
        <w:fldChar w:fldCharType="begin"/>
      </w:r>
      <w:r w:rsidR="00741FDE" w:rsidRPr="00945ED6">
        <w:rPr>
          <w:lang w:val="bg-BG"/>
        </w:rPr>
        <w:instrText xml:space="preserve"> </w:instrText>
      </w:r>
      <w:r w:rsidR="00741FDE" w:rsidRPr="00BB4F95">
        <w:rPr>
          <w:lang w:val="en-GB"/>
        </w:rPr>
        <w:instrText>SEQ</w:instrText>
      </w:r>
      <w:r w:rsidR="00741FDE" w:rsidRPr="00945ED6">
        <w:rPr>
          <w:lang w:val="bg-BG"/>
        </w:rPr>
        <w:instrText xml:space="preserve"> </w:instrText>
      </w:r>
      <w:r w:rsidR="00741FDE" w:rsidRPr="00BB4F95">
        <w:rPr>
          <w:lang w:val="en-GB"/>
        </w:rPr>
        <w:instrText>level</w:instrText>
      </w:r>
      <w:r w:rsidR="00741FDE" w:rsidRPr="00945ED6">
        <w:rPr>
          <w:lang w:val="bg-BG"/>
        </w:rPr>
        <w:instrText>0 \*</w:instrText>
      </w:r>
      <w:r w:rsidR="00741FDE" w:rsidRPr="00BB4F95">
        <w:rPr>
          <w:lang w:val="en-GB"/>
        </w:rPr>
        <w:instrText>arabic</w:instrText>
      </w:r>
      <w:r w:rsidR="00741FDE" w:rsidRPr="00945ED6">
        <w:rPr>
          <w:lang w:val="bg-BG"/>
        </w:rPr>
        <w:instrText xml:space="preserve"> </w:instrText>
      </w:r>
      <w:r w:rsidRPr="00E17978">
        <w:fldChar w:fldCharType="separate"/>
      </w:r>
      <w:r w:rsidR="00955550" w:rsidRPr="00945ED6">
        <w:rPr>
          <w:noProof/>
          <w:lang w:val="bg-BG"/>
        </w:rPr>
        <w:t>138</w:t>
      </w:r>
      <w:r w:rsidRPr="00E17978">
        <w:fldChar w:fldCharType="end"/>
      </w:r>
      <w:r w:rsidR="00741FDE" w:rsidRPr="00945ED6">
        <w:rPr>
          <w:lang w:val="bg-BG"/>
        </w:rPr>
        <w:t>.</w:t>
      </w:r>
      <w:r w:rsidR="005E1FB4">
        <w:rPr>
          <w:lang w:val="bg-BG"/>
        </w:rPr>
        <w:t xml:space="preserve"> Съдебният състав</w:t>
      </w:r>
      <w:r w:rsidR="005A0412">
        <w:rPr>
          <w:lang w:val="bg-BG"/>
        </w:rPr>
        <w:t xml:space="preserve"> счита, че </w:t>
      </w:r>
      <w:r w:rsidR="005A0412" w:rsidRPr="00C51877">
        <w:rPr>
          <w:lang w:val="bg-BG"/>
        </w:rPr>
        <w:t>има непропорционална намеса</w:t>
      </w:r>
      <w:r w:rsidR="005A0412">
        <w:rPr>
          <w:lang w:val="bg-BG"/>
        </w:rPr>
        <w:t xml:space="preserve"> в правата на </w:t>
      </w:r>
      <w:r w:rsidR="00354C6E">
        <w:rPr>
          <w:lang w:val="bg-BG"/>
        </w:rPr>
        <w:t>жалбоподателката</w:t>
      </w:r>
      <w:r w:rsidR="005A0412">
        <w:rPr>
          <w:lang w:val="bg-BG"/>
        </w:rPr>
        <w:t xml:space="preserve"> в нарушение на</w:t>
      </w:r>
      <w:r w:rsidR="005E1FB4">
        <w:rPr>
          <w:lang w:val="bg-BG"/>
        </w:rPr>
        <w:t xml:space="preserve"> чл</w:t>
      </w:r>
      <w:r w:rsidR="00985FCD">
        <w:rPr>
          <w:lang w:val="bg-BG"/>
        </w:rPr>
        <w:t>ен</w:t>
      </w:r>
      <w:r w:rsidR="005E1FB4">
        <w:rPr>
          <w:lang w:val="bg-BG"/>
        </w:rPr>
        <w:t xml:space="preserve"> 11 от Конвенцията. Съдебният състав</w:t>
      </w:r>
      <w:r w:rsidR="005A0412">
        <w:rPr>
          <w:lang w:val="bg-BG"/>
        </w:rPr>
        <w:t xml:space="preserve"> счита също така, че не е необходимо да се произнася по оплакванията на </w:t>
      </w:r>
      <w:r w:rsidR="00354C6E">
        <w:rPr>
          <w:lang w:val="bg-BG"/>
        </w:rPr>
        <w:t>жалбоподателката</w:t>
      </w:r>
      <w:r w:rsidR="005A0412">
        <w:rPr>
          <w:lang w:val="bg-BG"/>
        </w:rPr>
        <w:t xml:space="preserve"> относно чл</w:t>
      </w:r>
      <w:r w:rsidR="00985FCD">
        <w:rPr>
          <w:lang w:val="bg-BG"/>
        </w:rPr>
        <w:t>ен</w:t>
      </w:r>
      <w:r w:rsidR="005A0412">
        <w:rPr>
          <w:lang w:val="bg-BG"/>
        </w:rPr>
        <w:t xml:space="preserve"> 10.</w:t>
      </w:r>
      <w:r w:rsidR="00741FDE" w:rsidRPr="00BB4F95">
        <w:rPr>
          <w:lang w:val="en-GB"/>
        </w:rPr>
        <w:t>  </w:t>
      </w:r>
    </w:p>
    <w:p w:rsidR="00741FDE" w:rsidRPr="00945ED6" w:rsidRDefault="00741FDE" w:rsidP="00741FDE">
      <w:pPr>
        <w:pStyle w:val="JuHA"/>
        <w:rPr>
          <w:lang w:val="bg-BG"/>
        </w:rPr>
      </w:pPr>
      <w:r w:rsidRPr="00E17978">
        <w:lastRenderedPageBreak/>
        <w:t>B</w:t>
      </w:r>
      <w:r w:rsidRPr="00945ED6">
        <w:rPr>
          <w:lang w:val="bg-BG"/>
        </w:rPr>
        <w:t>.</w:t>
      </w:r>
      <w:r w:rsidRPr="00E17978">
        <w:t> </w:t>
      </w:r>
      <w:r w:rsidR="005A0412">
        <w:rPr>
          <w:lang w:val="bg-BG"/>
        </w:rPr>
        <w:t>Становища</w:t>
      </w:r>
      <w:r w:rsidR="00CA2913">
        <w:rPr>
          <w:lang w:val="bg-BG"/>
        </w:rPr>
        <w:t>та</w:t>
      </w:r>
      <w:r w:rsidR="005A0412">
        <w:rPr>
          <w:lang w:val="bg-BG"/>
        </w:rPr>
        <w:t xml:space="preserve"> на страните</w:t>
      </w:r>
    </w:p>
    <w:p w:rsidR="00741FDE" w:rsidRPr="00945ED6" w:rsidRDefault="00741FDE" w:rsidP="00741FDE">
      <w:pPr>
        <w:pStyle w:val="JuH1"/>
        <w:rPr>
          <w:lang w:val="bg-BG"/>
        </w:rPr>
      </w:pPr>
      <w:r w:rsidRPr="00945ED6">
        <w:rPr>
          <w:lang w:val="bg-BG"/>
        </w:rPr>
        <w:t>1.</w:t>
      </w:r>
      <w:r w:rsidRPr="00E17978">
        <w:t>  </w:t>
      </w:r>
      <w:r w:rsidR="00354C6E">
        <w:rPr>
          <w:lang w:val="bg-BG"/>
        </w:rPr>
        <w:t>Жалбоподателката</w:t>
      </w:r>
    </w:p>
    <w:p w:rsidR="005A0412" w:rsidRPr="00945ED6" w:rsidRDefault="005D3E62" w:rsidP="00741FDE">
      <w:pPr>
        <w:pStyle w:val="JuPara"/>
        <w:rPr>
          <w:noProof/>
          <w:lang w:val="bg-BG"/>
        </w:rPr>
      </w:pPr>
      <w:r w:rsidRPr="00E17978">
        <w:rPr>
          <w:lang w:val="en-GB"/>
        </w:rPr>
        <w:fldChar w:fldCharType="begin"/>
      </w:r>
      <w:r w:rsidR="00741FDE" w:rsidRPr="00945ED6">
        <w:rPr>
          <w:lang w:val="bg-BG"/>
        </w:rPr>
        <w:instrText xml:space="preserve"> </w:instrText>
      </w:r>
      <w:r w:rsidR="00741FDE" w:rsidRPr="00E17978">
        <w:rPr>
          <w:lang w:val="en-GB"/>
        </w:rPr>
        <w:instrText>SEQ</w:instrText>
      </w:r>
      <w:r w:rsidR="00741FDE" w:rsidRPr="00945ED6">
        <w:rPr>
          <w:lang w:val="bg-BG"/>
        </w:rPr>
        <w:instrText xml:space="preserve"> </w:instrText>
      </w:r>
      <w:r w:rsidR="00741FDE" w:rsidRPr="00E17978">
        <w:rPr>
          <w:lang w:val="en-GB"/>
        </w:rPr>
        <w:instrText>level</w:instrText>
      </w:r>
      <w:r w:rsidR="00741FDE" w:rsidRPr="00945ED6">
        <w:rPr>
          <w:lang w:val="bg-BG"/>
        </w:rPr>
        <w:instrText>0 \*</w:instrText>
      </w:r>
      <w:r w:rsidR="00741FDE" w:rsidRPr="00E17978">
        <w:rPr>
          <w:lang w:val="en-GB"/>
        </w:rPr>
        <w:instrText>arabic</w:instrText>
      </w:r>
      <w:r w:rsidR="00741FDE" w:rsidRPr="00945ED6">
        <w:rPr>
          <w:lang w:val="bg-BG"/>
        </w:rPr>
        <w:instrText xml:space="preserve"> </w:instrText>
      </w:r>
      <w:r w:rsidRPr="00E17978">
        <w:rPr>
          <w:lang w:val="en-GB"/>
        </w:rPr>
        <w:fldChar w:fldCharType="separate"/>
      </w:r>
      <w:r w:rsidR="00955550" w:rsidRPr="00945ED6">
        <w:rPr>
          <w:noProof/>
          <w:lang w:val="bg-BG"/>
        </w:rPr>
        <w:t>139</w:t>
      </w:r>
      <w:r w:rsidRPr="00E17978">
        <w:rPr>
          <w:lang w:val="en-GB"/>
        </w:rPr>
        <w:fldChar w:fldCharType="end"/>
      </w:r>
      <w:r w:rsidR="00741FDE" w:rsidRPr="00945ED6">
        <w:rPr>
          <w:noProof/>
          <w:lang w:val="bg-BG"/>
        </w:rPr>
        <w:t>.</w:t>
      </w:r>
      <w:r w:rsidR="005A0412">
        <w:rPr>
          <w:noProof/>
          <w:lang w:val="bg-BG"/>
        </w:rPr>
        <w:t xml:space="preserve"> </w:t>
      </w:r>
      <w:r w:rsidR="00354C6E">
        <w:rPr>
          <w:noProof/>
          <w:lang w:val="bg-BG"/>
        </w:rPr>
        <w:t>Жалбоподателката</w:t>
      </w:r>
      <w:r w:rsidR="005A0412">
        <w:rPr>
          <w:noProof/>
          <w:lang w:val="bg-BG"/>
        </w:rPr>
        <w:t xml:space="preserve"> признава, че въпросната </w:t>
      </w:r>
      <w:r w:rsidR="005A0412" w:rsidRPr="005E1FB4">
        <w:rPr>
          <w:noProof/>
          <w:lang w:val="bg-BG"/>
        </w:rPr>
        <w:t>намеса е „предвидена в закона“ по силата на чл</w:t>
      </w:r>
      <w:r w:rsidR="0069583B">
        <w:rPr>
          <w:noProof/>
          <w:lang w:val="bg-BG"/>
        </w:rPr>
        <w:t>ен</w:t>
      </w:r>
      <w:r w:rsidR="005A0412" w:rsidRPr="005E1FB4">
        <w:rPr>
          <w:noProof/>
          <w:lang w:val="bg-BG"/>
        </w:rPr>
        <w:t xml:space="preserve"> 10 § 2 и чл</w:t>
      </w:r>
      <w:r w:rsidR="0069583B">
        <w:rPr>
          <w:noProof/>
          <w:lang w:val="bg-BG"/>
        </w:rPr>
        <w:t>ен</w:t>
      </w:r>
      <w:r w:rsidR="005A0412" w:rsidRPr="005E1FB4">
        <w:rPr>
          <w:noProof/>
          <w:lang w:val="bg-BG"/>
        </w:rPr>
        <w:t xml:space="preserve"> 11 § 2</w:t>
      </w:r>
      <w:r w:rsidR="005A0412">
        <w:rPr>
          <w:noProof/>
          <w:lang w:val="bg-BG"/>
        </w:rPr>
        <w:t xml:space="preserve"> от Конвенцията. Въпреки това счита, че становищата на Правителството, касаещи легитимността на преследваните от оспорваната мярка цели и зачитането н</w:t>
      </w:r>
      <w:r w:rsidR="0076633D">
        <w:rPr>
          <w:noProof/>
          <w:lang w:val="bg-BG"/>
        </w:rPr>
        <w:t>а принципа на пропорционалност</w:t>
      </w:r>
      <w:r w:rsidR="00257488">
        <w:rPr>
          <w:noProof/>
          <w:lang w:val="bg-BG"/>
        </w:rPr>
        <w:t xml:space="preserve">, са необосновани. По-конкретно нито цитираното по-горе решение по делото </w:t>
      </w:r>
      <w:r w:rsidR="00257488" w:rsidRPr="00E17978">
        <w:rPr>
          <w:i/>
          <w:iCs/>
          <w:noProof/>
          <w:lang w:val="en-GB"/>
        </w:rPr>
        <w:t>Rekv</w:t>
      </w:r>
      <w:r w:rsidR="00257488" w:rsidRPr="00945ED6">
        <w:rPr>
          <w:i/>
          <w:iCs/>
          <w:noProof/>
          <w:lang w:val="bg-BG"/>
        </w:rPr>
        <w:t>é</w:t>
      </w:r>
      <w:r w:rsidR="00257488" w:rsidRPr="00E17978">
        <w:rPr>
          <w:i/>
          <w:iCs/>
          <w:noProof/>
          <w:lang w:val="en-GB"/>
        </w:rPr>
        <w:t>nyi</w:t>
      </w:r>
      <w:r w:rsidR="00257488">
        <w:rPr>
          <w:i/>
          <w:iCs/>
          <w:noProof/>
          <w:lang w:val="bg-BG"/>
        </w:rPr>
        <w:t xml:space="preserve">, </w:t>
      </w:r>
      <w:r w:rsidR="00257488">
        <w:rPr>
          <w:iCs/>
          <w:noProof/>
          <w:lang w:val="bg-BG"/>
        </w:rPr>
        <w:t>нито чл</w:t>
      </w:r>
      <w:r w:rsidR="0069583B">
        <w:rPr>
          <w:iCs/>
          <w:noProof/>
          <w:lang w:val="bg-BG"/>
        </w:rPr>
        <w:t>ен</w:t>
      </w:r>
      <w:r w:rsidR="00257488">
        <w:rPr>
          <w:iCs/>
          <w:noProof/>
          <w:lang w:val="bg-BG"/>
        </w:rPr>
        <w:t xml:space="preserve"> 17 от Конвенцията подкрепят позицията на Правителството по настоящото дело.</w:t>
      </w:r>
      <w:r w:rsidR="00257488">
        <w:rPr>
          <w:noProof/>
          <w:lang w:val="bg-BG"/>
        </w:rPr>
        <w:t xml:space="preserve"> </w:t>
      </w:r>
      <w:r w:rsidR="005A0412">
        <w:rPr>
          <w:noProof/>
          <w:lang w:val="bg-BG"/>
        </w:rPr>
        <w:t xml:space="preserve">   </w:t>
      </w:r>
      <w:r w:rsidR="00741FDE" w:rsidRPr="00E17978">
        <w:rPr>
          <w:noProof/>
          <w:lang w:val="en-GB"/>
        </w:rPr>
        <w:t>  </w:t>
      </w:r>
    </w:p>
    <w:p w:rsidR="00741FDE" w:rsidRPr="00945ED6" w:rsidRDefault="00741FDE" w:rsidP="00741FDE">
      <w:pPr>
        <w:pStyle w:val="JuH1"/>
        <w:rPr>
          <w:lang w:val="bg-BG"/>
        </w:rPr>
      </w:pPr>
      <w:r w:rsidRPr="00945ED6">
        <w:rPr>
          <w:lang w:val="bg-BG"/>
        </w:rPr>
        <w:t>2.</w:t>
      </w:r>
      <w:r w:rsidRPr="00E17978">
        <w:t>  </w:t>
      </w:r>
      <w:r w:rsidR="00257488">
        <w:rPr>
          <w:lang w:val="bg-BG"/>
        </w:rPr>
        <w:t>Правителството</w:t>
      </w:r>
    </w:p>
    <w:p w:rsidR="00257488" w:rsidRPr="00945ED6" w:rsidRDefault="005D3E62" w:rsidP="00741FDE">
      <w:pPr>
        <w:pStyle w:val="JuPara"/>
        <w:rPr>
          <w:noProof/>
          <w:lang w:val="bg-BG"/>
        </w:rPr>
      </w:pPr>
      <w:r w:rsidRPr="00A07FF6">
        <w:rPr>
          <w:lang w:val="en-GB"/>
        </w:rPr>
        <w:fldChar w:fldCharType="begin"/>
      </w:r>
      <w:r w:rsidR="00741FDE" w:rsidRPr="00A07FF6">
        <w:rPr>
          <w:lang w:val="bg-BG"/>
        </w:rPr>
        <w:instrText xml:space="preserve"> </w:instrText>
      </w:r>
      <w:r w:rsidR="00741FDE" w:rsidRPr="00A07FF6">
        <w:rPr>
          <w:lang w:val="en-GB"/>
        </w:rPr>
        <w:instrText>SEQ</w:instrText>
      </w:r>
      <w:r w:rsidR="00741FDE" w:rsidRPr="00A07FF6">
        <w:rPr>
          <w:lang w:val="bg-BG"/>
        </w:rPr>
        <w:instrText xml:space="preserve"> </w:instrText>
      </w:r>
      <w:r w:rsidR="00741FDE" w:rsidRPr="00A07FF6">
        <w:rPr>
          <w:lang w:val="en-GB"/>
        </w:rPr>
        <w:instrText>level</w:instrText>
      </w:r>
      <w:r w:rsidR="00741FDE" w:rsidRPr="00A07FF6">
        <w:rPr>
          <w:lang w:val="bg-BG"/>
        </w:rPr>
        <w:instrText>0 \*</w:instrText>
      </w:r>
      <w:r w:rsidR="00741FDE" w:rsidRPr="00A07FF6">
        <w:rPr>
          <w:lang w:val="en-GB"/>
        </w:rPr>
        <w:instrText>arabic</w:instrText>
      </w:r>
      <w:r w:rsidR="00741FDE" w:rsidRPr="00A07FF6">
        <w:rPr>
          <w:lang w:val="bg-BG"/>
        </w:rPr>
        <w:instrText xml:space="preserve"> </w:instrText>
      </w:r>
      <w:r w:rsidRPr="00A07FF6">
        <w:rPr>
          <w:lang w:val="en-GB"/>
        </w:rPr>
        <w:fldChar w:fldCharType="separate"/>
      </w:r>
      <w:r w:rsidR="00955550" w:rsidRPr="00A07FF6">
        <w:rPr>
          <w:noProof/>
          <w:lang w:val="bg-BG"/>
        </w:rPr>
        <w:t>140</w:t>
      </w:r>
      <w:r w:rsidRPr="00A07FF6">
        <w:rPr>
          <w:lang w:val="en-GB"/>
        </w:rPr>
        <w:fldChar w:fldCharType="end"/>
      </w:r>
      <w:r w:rsidR="00741FDE" w:rsidRPr="00A07FF6">
        <w:rPr>
          <w:noProof/>
          <w:lang w:val="bg-BG"/>
        </w:rPr>
        <w:t>.</w:t>
      </w:r>
      <w:r w:rsidR="00C8625E" w:rsidRPr="00A07FF6">
        <w:rPr>
          <w:noProof/>
          <w:lang w:val="bg-BG"/>
        </w:rPr>
        <w:t xml:space="preserve"> Правителството поддържа тезата, че намесата съответства</w:t>
      </w:r>
      <w:r w:rsidR="00C8625E">
        <w:rPr>
          <w:noProof/>
          <w:lang w:val="bg-BG"/>
        </w:rPr>
        <w:t xml:space="preserve"> на изискванията във вторите алинеи на чл</w:t>
      </w:r>
      <w:r w:rsidR="0069583B">
        <w:rPr>
          <w:noProof/>
          <w:lang w:val="bg-BG"/>
        </w:rPr>
        <w:t>енове</w:t>
      </w:r>
      <w:r w:rsidR="00C8625E">
        <w:rPr>
          <w:noProof/>
          <w:lang w:val="bg-BG"/>
        </w:rPr>
        <w:t xml:space="preserve"> 10 и 11, както и че оспорваната мярка е „необходима в едно демократично общество“.</w:t>
      </w:r>
      <w:r w:rsidR="00741FDE" w:rsidRPr="00E17978">
        <w:rPr>
          <w:noProof/>
          <w:lang w:val="en-GB"/>
        </w:rPr>
        <w:t>  </w:t>
      </w:r>
    </w:p>
    <w:p w:rsidR="00741FDE" w:rsidRPr="00C8625E" w:rsidRDefault="005A5ED0" w:rsidP="00741FDE">
      <w:pPr>
        <w:pStyle w:val="JuHA"/>
        <w:rPr>
          <w:lang w:val="bg-BG"/>
        </w:rPr>
      </w:pPr>
      <w:r>
        <w:t>C</w:t>
      </w:r>
      <w:r w:rsidRPr="00945ED6">
        <w:rPr>
          <w:lang w:val="bg-BG"/>
        </w:rPr>
        <w:t>.</w:t>
      </w:r>
      <w:r>
        <w:t> </w:t>
      </w:r>
      <w:r w:rsidR="00C8625E">
        <w:rPr>
          <w:lang w:val="bg-BG"/>
        </w:rPr>
        <w:t>Преценка</w:t>
      </w:r>
      <w:r w:rsidR="00CA2913">
        <w:rPr>
          <w:lang w:val="bg-BG"/>
        </w:rPr>
        <w:t>та</w:t>
      </w:r>
      <w:r w:rsidR="00C8625E">
        <w:rPr>
          <w:lang w:val="bg-BG"/>
        </w:rPr>
        <w:t xml:space="preserve"> на Съда</w:t>
      </w:r>
    </w:p>
    <w:p w:rsidR="00C8625E" w:rsidRPr="00945ED6" w:rsidRDefault="005D3E62" w:rsidP="00B8206D">
      <w:pPr>
        <w:pStyle w:val="JuPara"/>
        <w:rPr>
          <w:noProof/>
          <w:lang w:val="bg-BG"/>
        </w:rPr>
      </w:pPr>
      <w:r w:rsidRPr="00E17978">
        <w:fldChar w:fldCharType="begin"/>
      </w:r>
      <w:r w:rsidR="00741FDE" w:rsidRPr="00945ED6">
        <w:rPr>
          <w:lang w:val="bg-BG"/>
        </w:rPr>
        <w:instrText xml:space="preserve"> </w:instrText>
      </w:r>
      <w:r w:rsidR="00741FDE" w:rsidRPr="00BB4F95">
        <w:rPr>
          <w:lang w:val="en-GB"/>
        </w:rPr>
        <w:instrText>SEQ</w:instrText>
      </w:r>
      <w:r w:rsidR="00741FDE" w:rsidRPr="00945ED6">
        <w:rPr>
          <w:lang w:val="bg-BG"/>
        </w:rPr>
        <w:instrText xml:space="preserve"> </w:instrText>
      </w:r>
      <w:r w:rsidR="00741FDE" w:rsidRPr="00BB4F95">
        <w:rPr>
          <w:lang w:val="en-GB"/>
        </w:rPr>
        <w:instrText>level</w:instrText>
      </w:r>
      <w:r w:rsidR="00741FDE" w:rsidRPr="00945ED6">
        <w:rPr>
          <w:lang w:val="bg-BG"/>
        </w:rPr>
        <w:instrText>0 \*</w:instrText>
      </w:r>
      <w:r w:rsidR="00741FDE" w:rsidRPr="00BB4F95">
        <w:rPr>
          <w:lang w:val="en-GB"/>
        </w:rPr>
        <w:instrText>arabic</w:instrText>
      </w:r>
      <w:r w:rsidR="00741FDE" w:rsidRPr="00945ED6">
        <w:rPr>
          <w:lang w:val="bg-BG"/>
        </w:rPr>
        <w:instrText xml:space="preserve"> </w:instrText>
      </w:r>
      <w:r w:rsidRPr="00E17978">
        <w:fldChar w:fldCharType="separate"/>
      </w:r>
      <w:r w:rsidR="00955550" w:rsidRPr="00945ED6">
        <w:rPr>
          <w:noProof/>
          <w:lang w:val="bg-BG"/>
        </w:rPr>
        <w:t>141</w:t>
      </w:r>
      <w:r w:rsidRPr="00E17978">
        <w:fldChar w:fldCharType="end"/>
      </w:r>
      <w:r w:rsidR="00741FDE" w:rsidRPr="00945ED6">
        <w:rPr>
          <w:noProof/>
          <w:lang w:val="bg-BG"/>
        </w:rPr>
        <w:t>.</w:t>
      </w:r>
      <w:r w:rsidR="00741FDE" w:rsidRPr="00BB4F95">
        <w:rPr>
          <w:noProof/>
          <w:lang w:val="en-GB"/>
        </w:rPr>
        <w:t> </w:t>
      </w:r>
      <w:r w:rsidR="00C8625E">
        <w:rPr>
          <w:noProof/>
          <w:lang w:val="bg-BG"/>
        </w:rPr>
        <w:t xml:space="preserve">С оглед на обстоятелствата по делото Съдът счита, че </w:t>
      </w:r>
      <w:r w:rsidR="00C8625E" w:rsidRPr="00945ED6">
        <w:rPr>
          <w:lang w:val="bg-BG"/>
        </w:rPr>
        <w:t>чл</w:t>
      </w:r>
      <w:r w:rsidR="0069583B">
        <w:rPr>
          <w:lang w:val="bg-BG"/>
        </w:rPr>
        <w:t>ен</w:t>
      </w:r>
      <w:r w:rsidR="00C8625E" w:rsidRPr="00945ED6">
        <w:rPr>
          <w:lang w:val="bg-BG"/>
        </w:rPr>
        <w:t xml:space="preserve"> 3 от Протокол № 1</w:t>
      </w:r>
      <w:r w:rsidR="00C8625E">
        <w:rPr>
          <w:lang w:val="bg-BG"/>
        </w:rPr>
        <w:t xml:space="preserve"> е </w:t>
      </w:r>
      <w:r w:rsidR="00C8625E" w:rsidRPr="00BB4F95">
        <w:rPr>
          <w:i/>
          <w:lang w:val="en-GB"/>
        </w:rPr>
        <w:t>lex</w:t>
      </w:r>
      <w:r w:rsidR="00C8625E" w:rsidRPr="00945ED6">
        <w:rPr>
          <w:i/>
          <w:lang w:val="bg-BG"/>
        </w:rPr>
        <w:t xml:space="preserve"> </w:t>
      </w:r>
      <w:r w:rsidR="00C8625E" w:rsidRPr="00BB4F95">
        <w:rPr>
          <w:i/>
          <w:lang w:val="en-GB"/>
        </w:rPr>
        <w:t>specialis</w:t>
      </w:r>
      <w:r w:rsidR="00C8625E">
        <w:rPr>
          <w:i/>
          <w:lang w:val="bg-BG"/>
        </w:rPr>
        <w:t xml:space="preserve"> </w:t>
      </w:r>
      <w:r w:rsidR="00966433">
        <w:rPr>
          <w:lang w:val="bg-BG"/>
        </w:rPr>
        <w:t>и самостоятелното</w:t>
      </w:r>
      <w:r w:rsidR="00C8625E">
        <w:rPr>
          <w:lang w:val="bg-BG"/>
        </w:rPr>
        <w:t xml:space="preserve"> разгле</w:t>
      </w:r>
      <w:r w:rsidR="0034634F">
        <w:rPr>
          <w:lang w:val="bg-BG"/>
        </w:rPr>
        <w:t>ждане на оплакванията</w:t>
      </w:r>
      <w:r w:rsidR="00C8625E">
        <w:rPr>
          <w:lang w:val="bg-BG"/>
        </w:rPr>
        <w:t xml:space="preserve"> на </w:t>
      </w:r>
      <w:r w:rsidR="00354C6E">
        <w:rPr>
          <w:lang w:val="bg-BG"/>
        </w:rPr>
        <w:t>жалбоподателката</w:t>
      </w:r>
      <w:r w:rsidR="00C8625E">
        <w:rPr>
          <w:lang w:val="bg-BG"/>
        </w:rPr>
        <w:t xml:space="preserve"> по чл</w:t>
      </w:r>
      <w:r w:rsidR="0069583B">
        <w:rPr>
          <w:lang w:val="bg-BG"/>
        </w:rPr>
        <w:t>ен</w:t>
      </w:r>
      <w:r w:rsidR="00C8625E">
        <w:rPr>
          <w:lang w:val="bg-BG"/>
        </w:rPr>
        <w:t xml:space="preserve"> 11 не е оправдано. Съдът не може да намери и ар</w:t>
      </w:r>
      <w:r w:rsidR="00966433">
        <w:rPr>
          <w:lang w:val="bg-BG"/>
        </w:rPr>
        <w:t>гумент, който да изисква самостоятелно</w:t>
      </w:r>
      <w:r w:rsidR="00C8625E">
        <w:rPr>
          <w:lang w:val="bg-BG"/>
        </w:rPr>
        <w:t xml:space="preserve"> разглеждане </w:t>
      </w:r>
      <w:r w:rsidR="00966433">
        <w:rPr>
          <w:lang w:val="bg-BG"/>
        </w:rPr>
        <w:t>по силата</w:t>
      </w:r>
      <w:r w:rsidR="00C8625E">
        <w:rPr>
          <w:lang w:val="bg-BG"/>
        </w:rPr>
        <w:t xml:space="preserve"> на чл</w:t>
      </w:r>
      <w:r w:rsidR="0069583B">
        <w:rPr>
          <w:lang w:val="bg-BG"/>
        </w:rPr>
        <w:t>ен</w:t>
      </w:r>
      <w:r w:rsidR="00C8625E">
        <w:rPr>
          <w:lang w:val="bg-BG"/>
        </w:rPr>
        <w:t xml:space="preserve"> 10 на оплакванията на </w:t>
      </w:r>
      <w:r w:rsidR="00354C6E">
        <w:rPr>
          <w:lang w:val="bg-BG"/>
        </w:rPr>
        <w:t>жалбоподателката</w:t>
      </w:r>
      <w:r w:rsidR="002261A8">
        <w:rPr>
          <w:lang w:val="bg-BG"/>
        </w:rPr>
        <w:t xml:space="preserve"> относно недопускането ѝ</w:t>
      </w:r>
      <w:r w:rsidR="00C8625E">
        <w:rPr>
          <w:lang w:val="bg-BG"/>
        </w:rPr>
        <w:t xml:space="preserve"> да се кандидатира.  </w:t>
      </w:r>
      <w:r w:rsidR="00C8625E">
        <w:rPr>
          <w:noProof/>
          <w:lang w:val="bg-BG"/>
        </w:rPr>
        <w:t xml:space="preserve"> </w:t>
      </w:r>
      <w:r w:rsidR="00741FDE" w:rsidRPr="00BB4F95">
        <w:rPr>
          <w:noProof/>
          <w:lang w:val="en-GB"/>
        </w:rPr>
        <w:t> </w:t>
      </w:r>
    </w:p>
    <w:p w:rsidR="00CD49A7" w:rsidRPr="00945ED6" w:rsidRDefault="00062F78" w:rsidP="00530E30">
      <w:pPr>
        <w:pStyle w:val="JuHHead"/>
        <w:rPr>
          <w:lang w:val="bg-BG"/>
        </w:rPr>
      </w:pPr>
      <w:r>
        <w:rPr>
          <w:lang w:val="bg-BG"/>
        </w:rPr>
        <w:t xml:space="preserve">ПО ТЕЗИ СЪОБРАЖЕНИЯ СЪДЪТ </w:t>
      </w:r>
    </w:p>
    <w:p w:rsidR="00CD49A7" w:rsidRPr="00945ED6" w:rsidRDefault="00CD49A7">
      <w:pPr>
        <w:pStyle w:val="JuList"/>
        <w:rPr>
          <w:lang w:val="bg-BG"/>
        </w:rPr>
      </w:pPr>
      <w:r w:rsidRPr="00945ED6">
        <w:rPr>
          <w:lang w:val="bg-BG"/>
        </w:rPr>
        <w:t>1.</w:t>
      </w:r>
      <w:r w:rsidRPr="00E17978">
        <w:t>  </w:t>
      </w:r>
      <w:r w:rsidR="00062F78" w:rsidRPr="00062F78">
        <w:rPr>
          <w:i/>
          <w:lang w:val="bg-BG"/>
        </w:rPr>
        <w:t>Отхвърля</w:t>
      </w:r>
      <w:r w:rsidR="00062F78">
        <w:rPr>
          <w:lang w:val="bg-BG"/>
        </w:rPr>
        <w:t xml:space="preserve"> единодушно</w:t>
      </w:r>
      <w:r w:rsidR="00966433">
        <w:rPr>
          <w:lang w:val="bg-BG"/>
        </w:rPr>
        <w:t xml:space="preserve"> </w:t>
      </w:r>
      <w:r w:rsidR="00062F78">
        <w:rPr>
          <w:lang w:val="bg-BG"/>
        </w:rPr>
        <w:t xml:space="preserve">предварителното възражение на Правителството; </w:t>
      </w:r>
    </w:p>
    <w:p w:rsidR="00CD49A7" w:rsidRPr="00945ED6" w:rsidRDefault="00CD49A7">
      <w:pPr>
        <w:pStyle w:val="JuList"/>
        <w:rPr>
          <w:lang w:val="bg-BG"/>
        </w:rPr>
      </w:pPr>
    </w:p>
    <w:p w:rsidR="00CD49A7" w:rsidRPr="00945ED6" w:rsidRDefault="0086311B">
      <w:pPr>
        <w:pStyle w:val="JuList"/>
        <w:rPr>
          <w:lang w:val="bg-BG"/>
        </w:rPr>
      </w:pPr>
      <w:r w:rsidRPr="00945ED6">
        <w:rPr>
          <w:lang w:val="bg-BG"/>
        </w:rPr>
        <w:t>2</w:t>
      </w:r>
      <w:r w:rsidR="00CD49A7" w:rsidRPr="00945ED6">
        <w:rPr>
          <w:lang w:val="bg-BG"/>
        </w:rPr>
        <w:t>.</w:t>
      </w:r>
      <w:r w:rsidR="00CD49A7" w:rsidRPr="00E17978">
        <w:t>  </w:t>
      </w:r>
      <w:r w:rsidR="00062F78" w:rsidRPr="00062F78">
        <w:rPr>
          <w:i/>
          <w:lang w:val="bg-BG"/>
        </w:rPr>
        <w:t>Приема</w:t>
      </w:r>
      <w:r w:rsidR="00062F78">
        <w:rPr>
          <w:lang w:val="bg-BG"/>
        </w:rPr>
        <w:t xml:space="preserve"> с тринадесет </w:t>
      </w:r>
      <w:r w:rsidR="00251D9E">
        <w:rPr>
          <w:lang w:val="bg-BG"/>
        </w:rPr>
        <w:t>на</w:t>
      </w:r>
      <w:r w:rsidR="00062F78">
        <w:rPr>
          <w:lang w:val="bg-BG"/>
        </w:rPr>
        <w:t xml:space="preserve"> четири гласа, че няма нарушение на чл</w:t>
      </w:r>
      <w:r w:rsidR="00251D9E">
        <w:rPr>
          <w:lang w:val="bg-BG"/>
        </w:rPr>
        <w:t>ен</w:t>
      </w:r>
      <w:r w:rsidR="00AF2DB3" w:rsidRPr="00945ED6">
        <w:rPr>
          <w:lang w:val="bg-BG"/>
        </w:rPr>
        <w:t xml:space="preserve"> 3 от Протокол № 1</w:t>
      </w:r>
      <w:r w:rsidR="00CD49A7" w:rsidRPr="00945ED6">
        <w:rPr>
          <w:lang w:val="bg-BG"/>
        </w:rPr>
        <w:t>;</w:t>
      </w:r>
    </w:p>
    <w:p w:rsidR="0086311B" w:rsidRPr="00945ED6" w:rsidRDefault="0086311B" w:rsidP="0086311B">
      <w:pPr>
        <w:pStyle w:val="JuList"/>
        <w:rPr>
          <w:lang w:val="bg-BG"/>
        </w:rPr>
      </w:pPr>
    </w:p>
    <w:p w:rsidR="00966433" w:rsidRPr="00945ED6" w:rsidRDefault="0086311B" w:rsidP="0086311B">
      <w:pPr>
        <w:pStyle w:val="JuList"/>
        <w:rPr>
          <w:lang w:val="bg-BG"/>
        </w:rPr>
      </w:pPr>
      <w:r w:rsidRPr="00945ED6">
        <w:rPr>
          <w:lang w:val="bg-BG"/>
        </w:rPr>
        <w:t>3.</w:t>
      </w:r>
      <w:r w:rsidR="00966433">
        <w:rPr>
          <w:lang w:val="bg-BG"/>
        </w:rPr>
        <w:t xml:space="preserve"> </w:t>
      </w:r>
      <w:r w:rsidR="00966433" w:rsidRPr="00966433">
        <w:rPr>
          <w:i/>
          <w:lang w:val="bg-BG"/>
        </w:rPr>
        <w:t>Приема</w:t>
      </w:r>
      <w:r w:rsidR="002261A8">
        <w:rPr>
          <w:lang w:val="bg-BG"/>
        </w:rPr>
        <w:t xml:space="preserve"> с тринадесет </w:t>
      </w:r>
      <w:r w:rsidR="00251D9E">
        <w:rPr>
          <w:lang w:val="bg-BG"/>
        </w:rPr>
        <w:t xml:space="preserve">на </w:t>
      </w:r>
      <w:r w:rsidR="00966433">
        <w:rPr>
          <w:lang w:val="bg-BG"/>
        </w:rPr>
        <w:t xml:space="preserve">четири гласа, че не е необходимо оплакванията на </w:t>
      </w:r>
      <w:r w:rsidR="00354C6E">
        <w:rPr>
          <w:lang w:val="bg-BG"/>
        </w:rPr>
        <w:t>жалбоподателката</w:t>
      </w:r>
      <w:r w:rsidR="00966433">
        <w:rPr>
          <w:lang w:val="bg-BG"/>
        </w:rPr>
        <w:t xml:space="preserve"> </w:t>
      </w:r>
      <w:r w:rsidR="00251D9E">
        <w:rPr>
          <w:lang w:val="bg-BG"/>
        </w:rPr>
        <w:t xml:space="preserve">по член 11 от Конвенцията </w:t>
      </w:r>
      <w:r w:rsidR="00966433">
        <w:rPr>
          <w:lang w:val="bg-BG"/>
        </w:rPr>
        <w:t>да се разглеждат самостоятелно;</w:t>
      </w:r>
      <w:r w:rsidRPr="00E17978">
        <w:t>  </w:t>
      </w:r>
    </w:p>
    <w:p w:rsidR="0086311B" w:rsidRPr="00945ED6" w:rsidRDefault="0086311B" w:rsidP="0086311B">
      <w:pPr>
        <w:pStyle w:val="JuList"/>
        <w:rPr>
          <w:lang w:val="bg-BG"/>
        </w:rPr>
      </w:pPr>
    </w:p>
    <w:p w:rsidR="00966433" w:rsidRPr="00945ED6" w:rsidRDefault="0086311B" w:rsidP="00247D07">
      <w:pPr>
        <w:pStyle w:val="JuList"/>
        <w:rPr>
          <w:lang w:val="bg-BG"/>
        </w:rPr>
      </w:pPr>
      <w:r w:rsidRPr="00945ED6">
        <w:rPr>
          <w:lang w:val="bg-BG"/>
        </w:rPr>
        <w:t>4.</w:t>
      </w:r>
      <w:r w:rsidR="00966433">
        <w:rPr>
          <w:lang w:val="bg-BG"/>
        </w:rPr>
        <w:t xml:space="preserve"> </w:t>
      </w:r>
      <w:r w:rsidR="00966433" w:rsidRPr="00966433">
        <w:rPr>
          <w:i/>
          <w:lang w:val="bg-BG"/>
        </w:rPr>
        <w:t>Приема</w:t>
      </w:r>
      <w:r w:rsidR="00966433">
        <w:rPr>
          <w:lang w:val="bg-BG"/>
        </w:rPr>
        <w:t xml:space="preserve"> единодушно, че не е необходимо оплакванията на </w:t>
      </w:r>
      <w:r w:rsidR="00354C6E">
        <w:rPr>
          <w:lang w:val="bg-BG"/>
        </w:rPr>
        <w:t>жалбоподателката</w:t>
      </w:r>
      <w:r w:rsidR="00966433">
        <w:rPr>
          <w:lang w:val="bg-BG"/>
        </w:rPr>
        <w:t xml:space="preserve"> </w:t>
      </w:r>
      <w:r w:rsidR="00251D9E">
        <w:rPr>
          <w:lang w:val="bg-BG"/>
        </w:rPr>
        <w:t xml:space="preserve">по член 10 от Конвенцията </w:t>
      </w:r>
      <w:r w:rsidR="00966433">
        <w:rPr>
          <w:lang w:val="bg-BG"/>
        </w:rPr>
        <w:t>да се разглеждат самостоятелно</w:t>
      </w:r>
      <w:r w:rsidR="00251D9E">
        <w:rPr>
          <w:lang w:val="bg-BG"/>
        </w:rPr>
        <w:t>.</w:t>
      </w:r>
      <w:r w:rsidR="00966433">
        <w:rPr>
          <w:lang w:val="bg-BG"/>
        </w:rPr>
        <w:t xml:space="preserve"> </w:t>
      </w:r>
      <w:r w:rsidRPr="00E17978">
        <w:t>  </w:t>
      </w:r>
    </w:p>
    <w:p w:rsidR="00CD49A7" w:rsidRPr="00945ED6" w:rsidRDefault="00966433">
      <w:pPr>
        <w:pStyle w:val="JuParaLast"/>
        <w:rPr>
          <w:lang w:val="bg-BG"/>
        </w:rPr>
      </w:pPr>
      <w:r>
        <w:rPr>
          <w:lang w:val="bg-BG"/>
        </w:rPr>
        <w:lastRenderedPageBreak/>
        <w:t>Изготвено на английски и френски ези</w:t>
      </w:r>
      <w:r w:rsidR="001E67B5">
        <w:rPr>
          <w:lang w:val="bg-BG"/>
        </w:rPr>
        <w:t>к и оповестено в публично</w:t>
      </w:r>
      <w:r>
        <w:rPr>
          <w:lang w:val="bg-BG"/>
        </w:rPr>
        <w:t xml:space="preserve"> заседание в сградата на Европейския съд по правата на човека, Страсбург, на 16 март 2006 г. </w:t>
      </w:r>
    </w:p>
    <w:p w:rsidR="00CD49A7" w:rsidRPr="00621135" w:rsidRDefault="00966433" w:rsidP="00C211DB">
      <w:pPr>
        <w:pStyle w:val="JuSigned"/>
        <w:tabs>
          <w:tab w:val="clear" w:pos="851"/>
          <w:tab w:val="clear" w:pos="6407"/>
          <w:tab w:val="center" w:pos="1092"/>
          <w:tab w:val="center" w:pos="6439"/>
        </w:tabs>
        <w:rPr>
          <w:lang w:val="bg-BG"/>
        </w:rPr>
      </w:pPr>
      <w:r>
        <w:rPr>
          <w:lang w:val="bg-BG"/>
        </w:rPr>
        <w:t>Лорънс Ърли</w:t>
      </w:r>
      <w:r w:rsidRPr="00945ED6">
        <w:rPr>
          <w:lang w:val="bg-BG"/>
        </w:rPr>
        <w:t xml:space="preserve"> (</w:t>
      </w:r>
      <w:r>
        <w:rPr>
          <w:lang w:val="en-US"/>
        </w:rPr>
        <w:t>La</w:t>
      </w:r>
      <w:r w:rsidR="00621135">
        <w:rPr>
          <w:lang w:val="en-US"/>
        </w:rPr>
        <w:t>wrence</w:t>
      </w:r>
      <w:r w:rsidR="00621135" w:rsidRPr="00945ED6">
        <w:rPr>
          <w:lang w:val="bg-BG"/>
        </w:rPr>
        <w:t xml:space="preserve"> </w:t>
      </w:r>
      <w:r w:rsidR="00621135">
        <w:rPr>
          <w:lang w:val="en-US"/>
        </w:rPr>
        <w:t>Early</w:t>
      </w:r>
      <w:r w:rsidR="00621135" w:rsidRPr="00945ED6">
        <w:rPr>
          <w:lang w:val="bg-BG"/>
        </w:rPr>
        <w:t xml:space="preserve">)      </w:t>
      </w:r>
      <w:r w:rsidR="00621135">
        <w:rPr>
          <w:lang w:val="bg-BG"/>
        </w:rPr>
        <w:t>Луциус Вилдхабер (</w:t>
      </w:r>
      <w:r w:rsidR="00621135" w:rsidRPr="00340962">
        <w:t>Luzius</w:t>
      </w:r>
      <w:r w:rsidR="00621135" w:rsidRPr="00945ED6">
        <w:rPr>
          <w:lang w:val="bg-BG"/>
        </w:rPr>
        <w:t xml:space="preserve"> </w:t>
      </w:r>
      <w:r w:rsidR="00621135" w:rsidRPr="00340962">
        <w:t>Wildhaber</w:t>
      </w:r>
      <w:r w:rsidR="00621135">
        <w:rPr>
          <w:lang w:val="bg-BG"/>
        </w:rPr>
        <w:t>)</w:t>
      </w:r>
      <w:r w:rsidR="00A13D5D" w:rsidRPr="00945ED6">
        <w:rPr>
          <w:rStyle w:val="JuNames"/>
          <w:smallCaps w:val="0"/>
          <w:lang w:val="bg-BG"/>
        </w:rPr>
        <w:br/>
      </w:r>
      <w:r w:rsidR="00C211DB" w:rsidRPr="00945ED6">
        <w:rPr>
          <w:rStyle w:val="JuNames"/>
          <w:smallCaps w:val="0"/>
          <w:lang w:val="bg-BG"/>
        </w:rPr>
        <w:tab/>
      </w:r>
      <w:r w:rsidRPr="00945ED6">
        <w:rPr>
          <w:rStyle w:val="JuNames"/>
          <w:smallCaps w:val="0"/>
          <w:lang w:val="bg-BG"/>
        </w:rPr>
        <w:t xml:space="preserve">      </w:t>
      </w:r>
      <w:r>
        <w:rPr>
          <w:lang w:val="bg-BG"/>
        </w:rPr>
        <w:t>Заместник-секрета</w:t>
      </w:r>
      <w:r w:rsidR="00621135">
        <w:rPr>
          <w:lang w:val="bg-BG"/>
        </w:rPr>
        <w:t>р                                      Председател</w:t>
      </w:r>
    </w:p>
    <w:p w:rsidR="00621135" w:rsidRPr="00945ED6" w:rsidRDefault="00652202">
      <w:pPr>
        <w:pStyle w:val="JuParaLast"/>
        <w:rPr>
          <w:lang w:val="bg-BG"/>
        </w:rPr>
      </w:pPr>
      <w:r w:rsidRPr="00945ED6">
        <w:rPr>
          <w:lang w:val="bg-BG"/>
        </w:rPr>
        <w:t>Съгласно</w:t>
      </w:r>
      <w:r w:rsidR="00621135" w:rsidRPr="00945ED6">
        <w:rPr>
          <w:lang w:val="bg-BG"/>
        </w:rPr>
        <w:t xml:space="preserve"> член 45 § 2 от Конвенцията и Правило 74 § 2 от Правилника на съда </w:t>
      </w:r>
      <w:r w:rsidR="00AE510F" w:rsidRPr="00945ED6">
        <w:rPr>
          <w:lang w:val="bg-BG"/>
        </w:rPr>
        <w:t xml:space="preserve">към настоящото решение са приложени </w:t>
      </w:r>
      <w:r w:rsidR="00621135" w:rsidRPr="00945ED6">
        <w:rPr>
          <w:lang w:val="bg-BG"/>
        </w:rPr>
        <w:t>следните отделни становища:</w:t>
      </w:r>
    </w:p>
    <w:p w:rsidR="000054E5" w:rsidRPr="00945ED6" w:rsidRDefault="000054E5" w:rsidP="000054E5">
      <w:pPr>
        <w:pStyle w:val="JuPara"/>
        <w:rPr>
          <w:lang w:val="bg-BG"/>
        </w:rPr>
      </w:pPr>
      <w:r w:rsidRPr="00945ED6">
        <w:rPr>
          <w:lang w:val="bg-BG"/>
        </w:rPr>
        <w:t>(</w:t>
      </w:r>
      <w:r>
        <w:rPr>
          <w:lang w:val="en-GB"/>
        </w:rPr>
        <w:t>a</w:t>
      </w:r>
      <w:r w:rsidRPr="00945ED6">
        <w:rPr>
          <w:lang w:val="bg-BG"/>
        </w:rPr>
        <w:t>)</w:t>
      </w:r>
      <w:r w:rsidRPr="00B8206D">
        <w:rPr>
          <w:lang w:val="en-GB"/>
        </w:rPr>
        <w:t>  </w:t>
      </w:r>
      <w:r w:rsidR="00621135">
        <w:rPr>
          <w:lang w:val="bg-BG"/>
        </w:rPr>
        <w:t xml:space="preserve">частично особено мнение на съдия Вилдхабер; </w:t>
      </w:r>
    </w:p>
    <w:p w:rsidR="000054E5" w:rsidRPr="00945ED6" w:rsidRDefault="000054E5" w:rsidP="000054E5">
      <w:pPr>
        <w:pStyle w:val="JuPara"/>
        <w:rPr>
          <w:lang w:val="bg-BG"/>
        </w:rPr>
      </w:pPr>
      <w:r w:rsidRPr="00945ED6">
        <w:rPr>
          <w:lang w:val="bg-BG"/>
        </w:rPr>
        <w:t>(</w:t>
      </w:r>
      <w:r>
        <w:rPr>
          <w:lang w:val="en-GB"/>
        </w:rPr>
        <w:t>b</w:t>
      </w:r>
      <w:r w:rsidRPr="00945ED6">
        <w:rPr>
          <w:lang w:val="bg-BG"/>
        </w:rPr>
        <w:t>)</w:t>
      </w:r>
      <w:r w:rsidRPr="00B8206D">
        <w:rPr>
          <w:lang w:val="en-GB"/>
        </w:rPr>
        <w:t>  </w:t>
      </w:r>
      <w:r w:rsidR="00621135">
        <w:rPr>
          <w:lang w:val="bg-BG"/>
        </w:rPr>
        <w:t>частично особено мнение на съдии Шпилман и Йегер</w:t>
      </w:r>
      <w:r w:rsidRPr="00945ED6">
        <w:rPr>
          <w:lang w:val="bg-BG"/>
        </w:rPr>
        <w:t>;</w:t>
      </w:r>
    </w:p>
    <w:p w:rsidR="00E50E98" w:rsidRPr="00945ED6" w:rsidRDefault="00B8206D" w:rsidP="000054E5">
      <w:pPr>
        <w:pStyle w:val="JuPara"/>
        <w:rPr>
          <w:lang w:val="bg-BG"/>
        </w:rPr>
      </w:pPr>
      <w:r w:rsidRPr="00945ED6">
        <w:rPr>
          <w:lang w:val="bg-BG"/>
        </w:rPr>
        <w:t>(</w:t>
      </w:r>
      <w:r w:rsidR="000054E5">
        <w:rPr>
          <w:lang w:val="en-GB"/>
        </w:rPr>
        <w:t>c</w:t>
      </w:r>
      <w:r w:rsidRPr="00945ED6">
        <w:rPr>
          <w:lang w:val="bg-BG"/>
        </w:rPr>
        <w:t>)</w:t>
      </w:r>
      <w:r w:rsidRPr="00B8206D">
        <w:rPr>
          <w:lang w:val="en-GB"/>
        </w:rPr>
        <w:t>  </w:t>
      </w:r>
      <w:r w:rsidR="00621135">
        <w:rPr>
          <w:lang w:val="bg-BG"/>
        </w:rPr>
        <w:t xml:space="preserve">особено мнение на съдия Розакис; </w:t>
      </w:r>
    </w:p>
    <w:p w:rsidR="00621135" w:rsidRPr="00945ED6" w:rsidRDefault="000054E5" w:rsidP="00E50E98">
      <w:pPr>
        <w:pStyle w:val="JuPara"/>
        <w:rPr>
          <w:lang w:val="bg-BG"/>
        </w:rPr>
      </w:pPr>
      <w:r w:rsidRPr="00945ED6">
        <w:rPr>
          <w:lang w:val="bg-BG"/>
        </w:rPr>
        <w:t>(</w:t>
      </w:r>
      <w:r>
        <w:rPr>
          <w:lang w:val="en-GB"/>
        </w:rPr>
        <w:t>d</w:t>
      </w:r>
      <w:r w:rsidR="00E50E98" w:rsidRPr="00945ED6">
        <w:rPr>
          <w:lang w:val="bg-BG"/>
        </w:rPr>
        <w:t>)</w:t>
      </w:r>
      <w:r w:rsidR="00B8206D" w:rsidRPr="00B8206D">
        <w:rPr>
          <w:lang w:val="en-GB"/>
        </w:rPr>
        <w:t>  </w:t>
      </w:r>
      <w:r w:rsidR="00621135">
        <w:rPr>
          <w:lang w:val="bg-BG"/>
        </w:rPr>
        <w:t xml:space="preserve">особено мнение на съдия Зупанчич; </w:t>
      </w:r>
    </w:p>
    <w:p w:rsidR="00E50E98" w:rsidRPr="00945ED6" w:rsidRDefault="00E50E98" w:rsidP="00E50E98">
      <w:pPr>
        <w:pStyle w:val="JuPara"/>
        <w:rPr>
          <w:lang w:val="bg-BG"/>
        </w:rPr>
      </w:pPr>
      <w:r w:rsidRPr="00945ED6">
        <w:rPr>
          <w:lang w:val="bg-BG"/>
        </w:rPr>
        <w:t>(</w:t>
      </w:r>
      <w:r w:rsidR="000054E5">
        <w:rPr>
          <w:lang w:val="en-GB"/>
        </w:rPr>
        <w:t>e</w:t>
      </w:r>
      <w:r w:rsidRPr="00945ED6">
        <w:rPr>
          <w:lang w:val="bg-BG"/>
        </w:rPr>
        <w:t>)</w:t>
      </w:r>
      <w:r w:rsidR="00B8206D" w:rsidRPr="00B8206D">
        <w:rPr>
          <w:lang w:val="en-GB"/>
        </w:rPr>
        <w:t>  </w:t>
      </w:r>
      <w:r w:rsidR="00621135">
        <w:rPr>
          <w:lang w:val="bg-BG"/>
        </w:rPr>
        <w:t xml:space="preserve">съвместно особено мнение на съдии Мийович и Гюлумян. </w:t>
      </w:r>
    </w:p>
    <w:p w:rsidR="007A6E82" w:rsidRPr="00945ED6" w:rsidRDefault="00E50E98" w:rsidP="00E50E98">
      <w:pPr>
        <w:pStyle w:val="JuInitialled"/>
        <w:rPr>
          <w:lang w:val="bg-BG"/>
        </w:rPr>
        <w:sectPr w:rsidR="007A6E82" w:rsidRPr="00945ED6" w:rsidSect="0011749D">
          <w:headerReference w:type="even" r:id="rId13"/>
          <w:headerReference w:type="default" r:id="rId14"/>
          <w:footerReference w:type="even" r:id="rId15"/>
          <w:footerReference w:type="default" r:id="rId16"/>
          <w:footnotePr>
            <w:numRestart w:val="eachPage"/>
          </w:footnotePr>
          <w:pgSz w:w="11906" w:h="16838" w:code="9"/>
          <w:pgMar w:top="2274" w:right="2274" w:bottom="2274" w:left="2274" w:header="1701" w:footer="720" w:gutter="0"/>
          <w:pgNumType w:start="1"/>
          <w:cols w:space="720"/>
          <w:docGrid w:linePitch="326"/>
        </w:sectPr>
      </w:pPr>
      <w:r w:rsidRPr="006701E6">
        <w:t>L</w:t>
      </w:r>
      <w:r w:rsidRPr="006701E6">
        <w:rPr>
          <w:lang w:val="bg-BG"/>
        </w:rPr>
        <w:t>.</w:t>
      </w:r>
      <w:r w:rsidRPr="006701E6">
        <w:t>W</w:t>
      </w:r>
      <w:r w:rsidRPr="006701E6">
        <w:rPr>
          <w:lang w:val="bg-BG"/>
        </w:rPr>
        <w:t>.</w:t>
      </w:r>
      <w:r w:rsidRPr="006701E6">
        <w:rPr>
          <w:lang w:val="bg-BG"/>
        </w:rPr>
        <w:br/>
      </w:r>
      <w:r w:rsidRPr="006701E6">
        <w:t>T</w:t>
      </w:r>
      <w:r w:rsidRPr="006701E6">
        <w:rPr>
          <w:lang w:val="bg-BG"/>
        </w:rPr>
        <w:t>.</w:t>
      </w:r>
      <w:r w:rsidRPr="006701E6">
        <w:t>L</w:t>
      </w:r>
      <w:r w:rsidRPr="006701E6">
        <w:rPr>
          <w:lang w:val="bg-BG"/>
        </w:rPr>
        <w:t>.</w:t>
      </w:r>
      <w:r w:rsidRPr="006701E6">
        <w:t>E</w:t>
      </w:r>
      <w:r w:rsidRPr="006701E6">
        <w:rPr>
          <w:lang w:val="bg-BG"/>
        </w:rPr>
        <w:t>.</w:t>
      </w:r>
    </w:p>
    <w:p w:rsidR="00430671" w:rsidRPr="00945ED6" w:rsidRDefault="00621135" w:rsidP="00430671">
      <w:pPr>
        <w:pStyle w:val="OpiHHead"/>
        <w:rPr>
          <w:lang w:val="bg-BG"/>
        </w:rPr>
      </w:pPr>
      <w:r>
        <w:rPr>
          <w:lang w:val="bg-BG"/>
        </w:rPr>
        <w:lastRenderedPageBreak/>
        <w:t>ЧАСТИЧНО ОСОБЕНО МНЕНИЕ НА СЪДИЯ ВИЛДХАБЕР</w:t>
      </w:r>
      <w:r w:rsidR="00746DB7">
        <w:rPr>
          <w:lang w:val="bg-BG"/>
        </w:rPr>
        <w:t xml:space="preserve"> </w:t>
      </w:r>
    </w:p>
    <w:p w:rsidR="00746DB7" w:rsidRPr="00746DB7" w:rsidRDefault="00746DB7" w:rsidP="00430671">
      <w:pPr>
        <w:pStyle w:val="OpiPara"/>
        <w:rPr>
          <w:lang w:val="bg-BG"/>
        </w:rPr>
      </w:pPr>
      <w:r>
        <w:rPr>
          <w:lang w:val="bg-BG"/>
        </w:rPr>
        <w:t xml:space="preserve">Съгласявам се с мнозинството, че това дело засяга оплакване на </w:t>
      </w:r>
      <w:r w:rsidR="00354C6E">
        <w:rPr>
          <w:lang w:val="bg-BG"/>
        </w:rPr>
        <w:t>жалбоподателката</w:t>
      </w:r>
      <w:r>
        <w:rPr>
          <w:lang w:val="bg-BG"/>
        </w:rPr>
        <w:t xml:space="preserve"> по силата на </w:t>
      </w:r>
      <w:r w:rsidRPr="00945ED6">
        <w:rPr>
          <w:lang w:val="bg-BG"/>
        </w:rPr>
        <w:t>чл</w:t>
      </w:r>
      <w:r w:rsidR="00AE510F">
        <w:rPr>
          <w:lang w:val="bg-BG"/>
        </w:rPr>
        <w:t>ен</w:t>
      </w:r>
      <w:r w:rsidRPr="00945ED6">
        <w:rPr>
          <w:lang w:val="bg-BG"/>
        </w:rPr>
        <w:t xml:space="preserve"> 3 от Протокол № 1</w:t>
      </w:r>
      <w:r>
        <w:rPr>
          <w:lang w:val="bg-BG"/>
        </w:rPr>
        <w:t xml:space="preserve"> относно </w:t>
      </w:r>
      <w:r w:rsidR="00C76D61">
        <w:rPr>
          <w:lang w:val="bg-BG"/>
        </w:rPr>
        <w:t>възпрепятстването</w:t>
      </w:r>
      <w:r w:rsidR="002261A8">
        <w:rPr>
          <w:lang w:val="bg-BG"/>
        </w:rPr>
        <w:t xml:space="preserve"> ѝ</w:t>
      </w:r>
      <w:r>
        <w:rPr>
          <w:lang w:val="bg-BG"/>
        </w:rPr>
        <w:t xml:space="preserve"> да се кандидатира за член на националния парламент.</w:t>
      </w:r>
      <w:r w:rsidRPr="00945ED6">
        <w:rPr>
          <w:lang w:val="bg-BG"/>
        </w:rPr>
        <w:t xml:space="preserve"> </w:t>
      </w:r>
      <w:r w:rsidR="00C76D61">
        <w:rPr>
          <w:lang w:val="bg-BG"/>
        </w:rPr>
        <w:t>Ако н</w:t>
      </w:r>
      <w:r>
        <w:rPr>
          <w:lang w:val="bg-BG"/>
        </w:rPr>
        <w:t>е се съгласявам с</w:t>
      </w:r>
      <w:r w:rsidR="00AE510F">
        <w:rPr>
          <w:lang w:val="bg-BG"/>
        </w:rPr>
        <w:t xml:space="preserve"> констатацията</w:t>
      </w:r>
      <w:r>
        <w:rPr>
          <w:lang w:val="bg-BG"/>
        </w:rPr>
        <w:t xml:space="preserve">, че не е необходимо жалбата на </w:t>
      </w:r>
      <w:r w:rsidR="00354C6E">
        <w:rPr>
          <w:lang w:val="bg-BG"/>
        </w:rPr>
        <w:t>жалбоподателката</w:t>
      </w:r>
      <w:r>
        <w:rPr>
          <w:lang w:val="bg-BG"/>
        </w:rPr>
        <w:t xml:space="preserve"> </w:t>
      </w:r>
      <w:r w:rsidR="00AE510F">
        <w:rPr>
          <w:lang w:val="bg-BG"/>
        </w:rPr>
        <w:t xml:space="preserve">по силата на чл. 11 от Конвенцията </w:t>
      </w:r>
      <w:r>
        <w:rPr>
          <w:lang w:val="bg-BG"/>
        </w:rPr>
        <w:t xml:space="preserve">да се разглежда самостоятелно, </w:t>
      </w:r>
      <w:r w:rsidR="00C76D61">
        <w:rPr>
          <w:lang w:val="bg-BG"/>
        </w:rPr>
        <w:t xml:space="preserve">то е </w:t>
      </w:r>
      <w:r>
        <w:rPr>
          <w:lang w:val="bg-BG"/>
        </w:rPr>
        <w:t>само за да подчертая, че</w:t>
      </w:r>
      <w:r w:rsidR="00C76D61">
        <w:rPr>
          <w:lang w:val="bg-BG"/>
        </w:rPr>
        <w:t xml:space="preserve"> </w:t>
      </w:r>
      <w:r w:rsidR="00354C6E">
        <w:rPr>
          <w:lang w:val="bg-BG"/>
        </w:rPr>
        <w:t>жалбоподателката</w:t>
      </w:r>
      <w:r w:rsidR="00C76D61">
        <w:rPr>
          <w:lang w:val="bg-BG"/>
        </w:rPr>
        <w:t xml:space="preserve"> не е и никога не е бил</w:t>
      </w:r>
      <w:r w:rsidR="002261A8">
        <w:rPr>
          <w:lang w:val="bg-BG"/>
        </w:rPr>
        <w:t>а</w:t>
      </w:r>
      <w:r w:rsidR="00C76D61">
        <w:rPr>
          <w:lang w:val="bg-BG"/>
        </w:rPr>
        <w:t xml:space="preserve"> възпрепятстван</w:t>
      </w:r>
      <w:r w:rsidR="002261A8">
        <w:rPr>
          <w:lang w:val="bg-BG"/>
        </w:rPr>
        <w:t>а</w:t>
      </w:r>
      <w:r w:rsidR="00C76D61">
        <w:rPr>
          <w:lang w:val="bg-BG"/>
        </w:rPr>
        <w:t xml:space="preserve"> да се присъедини към партия по свой избор. Фактите, стоящи в основата на жалбата, че е бил</w:t>
      </w:r>
      <w:r w:rsidR="002261A8">
        <w:rPr>
          <w:lang w:val="bg-BG"/>
        </w:rPr>
        <w:t>а</w:t>
      </w:r>
      <w:r w:rsidR="00C76D61">
        <w:rPr>
          <w:lang w:val="bg-BG"/>
        </w:rPr>
        <w:t xml:space="preserve"> възпрепятстван</w:t>
      </w:r>
      <w:r w:rsidR="002261A8">
        <w:rPr>
          <w:lang w:val="bg-BG"/>
        </w:rPr>
        <w:t>а</w:t>
      </w:r>
      <w:r w:rsidR="00C76D61">
        <w:rPr>
          <w:lang w:val="bg-BG"/>
        </w:rPr>
        <w:t xml:space="preserve"> да се кандидатира на общинските избори, също не </w:t>
      </w:r>
      <w:r w:rsidR="00EA6F34">
        <w:rPr>
          <w:lang w:val="bg-BG"/>
        </w:rPr>
        <w:t>означават нарушение по чл</w:t>
      </w:r>
      <w:r w:rsidR="000C697F">
        <w:rPr>
          <w:lang w:val="bg-BG"/>
        </w:rPr>
        <w:t>ен</w:t>
      </w:r>
      <w:r w:rsidR="00EA6F34">
        <w:rPr>
          <w:lang w:val="bg-BG"/>
        </w:rPr>
        <w:t xml:space="preserve"> 11.</w:t>
      </w:r>
      <w:r w:rsidR="000C697F">
        <w:rPr>
          <w:lang w:val="bg-BG"/>
        </w:rPr>
        <w:t xml:space="preserve"> </w:t>
      </w:r>
      <w:r>
        <w:rPr>
          <w:lang w:val="bg-BG"/>
        </w:rPr>
        <w:t xml:space="preserve">  </w:t>
      </w:r>
      <w:r w:rsidRPr="00945ED6">
        <w:rPr>
          <w:lang w:val="bg-BG"/>
        </w:rPr>
        <w:t xml:space="preserve"> </w:t>
      </w:r>
      <w:r>
        <w:rPr>
          <w:lang w:val="bg-BG"/>
        </w:rPr>
        <w:t xml:space="preserve">  </w:t>
      </w:r>
    </w:p>
    <w:p w:rsidR="00430671" w:rsidRPr="00945ED6" w:rsidRDefault="00430671" w:rsidP="00430671">
      <w:pPr>
        <w:pStyle w:val="OpiPara"/>
        <w:rPr>
          <w:lang w:val="bg-BG"/>
        </w:rPr>
      </w:pPr>
    </w:p>
    <w:p w:rsidR="000054E5" w:rsidRPr="00945ED6" w:rsidRDefault="000054E5" w:rsidP="00430671">
      <w:pPr>
        <w:pStyle w:val="OpiHHead"/>
        <w:rPr>
          <w:lang w:val="bg-BG"/>
        </w:rPr>
        <w:sectPr w:rsidR="000054E5" w:rsidRPr="00945ED6" w:rsidSect="007A6E82">
          <w:headerReference w:type="even" r:id="rId17"/>
          <w:headerReference w:type="default" r:id="rId18"/>
          <w:footerReference w:type="even" r:id="rId19"/>
          <w:footerReference w:type="default" r:id="rId20"/>
          <w:footnotePr>
            <w:numRestart w:val="eachPage"/>
          </w:footnotePr>
          <w:pgSz w:w="11906" w:h="16838" w:code="9"/>
          <w:pgMar w:top="2274" w:right="2274" w:bottom="2274" w:left="2274" w:header="1701" w:footer="720" w:gutter="0"/>
          <w:pgNumType w:start="46"/>
          <w:cols w:space="720"/>
          <w:docGrid w:linePitch="326"/>
        </w:sectPr>
      </w:pPr>
    </w:p>
    <w:p w:rsidR="00430671" w:rsidRDefault="00EA6F34" w:rsidP="00EA6F34">
      <w:pPr>
        <w:pStyle w:val="OpiHHead"/>
        <w:rPr>
          <w:lang w:val="bg-BG"/>
        </w:rPr>
      </w:pPr>
      <w:r>
        <w:rPr>
          <w:lang w:val="bg-BG"/>
        </w:rPr>
        <w:lastRenderedPageBreak/>
        <w:t>ЧАСТИЧНО ОСОБЕНО М</w:t>
      </w:r>
      <w:r w:rsidR="00E019DE">
        <w:rPr>
          <w:lang w:val="bg-BG"/>
        </w:rPr>
        <w:t>Н</w:t>
      </w:r>
      <w:r>
        <w:rPr>
          <w:lang w:val="bg-BG"/>
        </w:rPr>
        <w:t xml:space="preserve">ЕНИЕ </w:t>
      </w:r>
      <w:r>
        <w:rPr>
          <w:lang w:val="bg-BG"/>
        </w:rPr>
        <w:br/>
        <w:t xml:space="preserve">НА СЪДИИ ШПИЛМАН И ЙЕГЕР </w:t>
      </w:r>
    </w:p>
    <w:p w:rsidR="00E14185" w:rsidRPr="00530E30" w:rsidRDefault="00E14185" w:rsidP="00530E30">
      <w:pPr>
        <w:pStyle w:val="OpiPara"/>
        <w:spacing w:after="240"/>
        <w:jc w:val="center"/>
        <w:rPr>
          <w:lang w:val="bg-BG"/>
        </w:rPr>
      </w:pPr>
      <w:r w:rsidRPr="00530E30">
        <w:rPr>
          <w:i/>
          <w:lang w:val="bg-BG"/>
        </w:rPr>
        <w:t>(</w:t>
      </w:r>
      <w:r>
        <w:rPr>
          <w:i/>
          <w:lang w:val="bg-BG"/>
        </w:rPr>
        <w:t>Превод</w:t>
      </w:r>
      <w:r w:rsidRPr="00530E30">
        <w:rPr>
          <w:i/>
          <w:lang w:val="bg-BG"/>
        </w:rPr>
        <w:t>)</w:t>
      </w:r>
    </w:p>
    <w:p w:rsidR="00EA6F34" w:rsidRPr="00945ED6" w:rsidRDefault="00EA6F34" w:rsidP="00EA6F34">
      <w:pPr>
        <w:pStyle w:val="OpiPara"/>
        <w:rPr>
          <w:szCs w:val="24"/>
          <w:lang w:val="bg-BG"/>
        </w:rPr>
      </w:pPr>
      <w:r>
        <w:rPr>
          <w:szCs w:val="24"/>
          <w:lang w:val="bg-BG"/>
        </w:rPr>
        <w:t>1. Не сме съгласни с решението на мнозинството, че не е оправдано самост</w:t>
      </w:r>
      <w:r w:rsidR="0034634F">
        <w:rPr>
          <w:szCs w:val="24"/>
          <w:lang w:val="bg-BG"/>
        </w:rPr>
        <w:t>оятелното разглеждане на оплакванията</w:t>
      </w:r>
      <w:r w:rsidR="0034634F" w:rsidRPr="00945ED6">
        <w:rPr>
          <w:szCs w:val="24"/>
          <w:lang w:val="bg-BG"/>
        </w:rPr>
        <w:t xml:space="preserve"> </w:t>
      </w:r>
      <w:r w:rsidR="0034634F">
        <w:rPr>
          <w:szCs w:val="24"/>
          <w:lang w:val="bg-BG"/>
        </w:rPr>
        <w:t>на жалбоподателката</w:t>
      </w:r>
      <w:r>
        <w:rPr>
          <w:szCs w:val="24"/>
          <w:lang w:val="bg-BG"/>
        </w:rPr>
        <w:t xml:space="preserve"> по силата на чл</w:t>
      </w:r>
      <w:r w:rsidR="00E14185">
        <w:rPr>
          <w:szCs w:val="24"/>
          <w:lang w:val="bg-BG"/>
        </w:rPr>
        <w:t>ен</w:t>
      </w:r>
      <w:r>
        <w:rPr>
          <w:szCs w:val="24"/>
          <w:lang w:val="bg-BG"/>
        </w:rPr>
        <w:t xml:space="preserve"> 11 от Конвенцията (вж</w:t>
      </w:r>
      <w:r w:rsidR="00E14185">
        <w:rPr>
          <w:szCs w:val="24"/>
          <w:lang w:val="bg-BG"/>
        </w:rPr>
        <w:t>.</w:t>
      </w:r>
      <w:r>
        <w:rPr>
          <w:szCs w:val="24"/>
          <w:lang w:val="bg-BG"/>
        </w:rPr>
        <w:t xml:space="preserve"> параграф 141 и т. 3 от оперативните разпоредби).</w:t>
      </w:r>
      <w:r w:rsidR="00430671" w:rsidRPr="00E17978">
        <w:rPr>
          <w:szCs w:val="24"/>
        </w:rPr>
        <w:t> </w:t>
      </w:r>
      <w:r w:rsidR="000A079D">
        <w:rPr>
          <w:szCs w:val="24"/>
        </w:rPr>
        <w:t> </w:t>
      </w:r>
    </w:p>
    <w:p w:rsidR="00430671" w:rsidRPr="00EA6F34" w:rsidRDefault="00EA6F34" w:rsidP="00EA6F34">
      <w:pPr>
        <w:pStyle w:val="OpiPara"/>
        <w:rPr>
          <w:szCs w:val="24"/>
          <w:lang w:val="bg-BG"/>
        </w:rPr>
      </w:pPr>
      <w:r>
        <w:rPr>
          <w:szCs w:val="24"/>
          <w:lang w:val="bg-BG"/>
        </w:rPr>
        <w:t xml:space="preserve">Считаме, че възпрепятстването на </w:t>
      </w:r>
      <w:r w:rsidR="00354C6E">
        <w:rPr>
          <w:szCs w:val="24"/>
          <w:lang w:val="bg-BG"/>
        </w:rPr>
        <w:t>жалбоподателката</w:t>
      </w:r>
      <w:r>
        <w:rPr>
          <w:szCs w:val="24"/>
          <w:lang w:val="bg-BG"/>
        </w:rPr>
        <w:t xml:space="preserve"> да се кандидатира за член на </w:t>
      </w:r>
      <w:r w:rsidR="00E14185">
        <w:rPr>
          <w:szCs w:val="24"/>
          <w:lang w:val="bg-BG"/>
        </w:rPr>
        <w:t>п</w:t>
      </w:r>
      <w:r>
        <w:rPr>
          <w:szCs w:val="24"/>
          <w:lang w:val="bg-BG"/>
        </w:rPr>
        <w:t>арламента и на общинските с</w:t>
      </w:r>
      <w:r w:rsidR="002261A8">
        <w:rPr>
          <w:szCs w:val="24"/>
          <w:lang w:val="bg-BG"/>
        </w:rPr>
        <w:t>ъвети в резултат на активното ѝ</w:t>
      </w:r>
      <w:r>
        <w:rPr>
          <w:szCs w:val="24"/>
          <w:lang w:val="bg-BG"/>
        </w:rPr>
        <w:t xml:space="preserve"> участие в ЛКП – забрана, </w:t>
      </w:r>
      <w:r w:rsidR="0099751A">
        <w:rPr>
          <w:szCs w:val="24"/>
          <w:lang w:val="bg-BG"/>
        </w:rPr>
        <w:t xml:space="preserve">продължила </w:t>
      </w:r>
      <w:r>
        <w:rPr>
          <w:szCs w:val="24"/>
          <w:lang w:val="bg-BG"/>
        </w:rPr>
        <w:t>повече от десетилетие след събитията, в които партията е обвинена – е т</w:t>
      </w:r>
      <w:r w:rsidR="00F50A1B">
        <w:rPr>
          <w:szCs w:val="24"/>
          <w:lang w:val="bg-BG"/>
        </w:rPr>
        <w:t>рябвало да се разгледа от Съда с оглед</w:t>
      </w:r>
      <w:r>
        <w:rPr>
          <w:szCs w:val="24"/>
          <w:lang w:val="bg-BG"/>
        </w:rPr>
        <w:t xml:space="preserve"> на съвместимостта му с чл</w:t>
      </w:r>
      <w:r w:rsidR="00E14185">
        <w:rPr>
          <w:szCs w:val="24"/>
          <w:lang w:val="bg-BG"/>
        </w:rPr>
        <w:t>ен</w:t>
      </w:r>
      <w:r>
        <w:rPr>
          <w:szCs w:val="24"/>
          <w:lang w:val="bg-BG"/>
        </w:rPr>
        <w:t xml:space="preserve"> 11 от Конвенцията. </w:t>
      </w:r>
    </w:p>
    <w:p w:rsidR="00EA6F34" w:rsidRPr="00945ED6" w:rsidRDefault="00430671" w:rsidP="00430671">
      <w:pPr>
        <w:pStyle w:val="OpiPara"/>
        <w:rPr>
          <w:szCs w:val="24"/>
          <w:lang w:val="bg-BG"/>
        </w:rPr>
      </w:pPr>
      <w:r w:rsidRPr="00945ED6">
        <w:rPr>
          <w:szCs w:val="24"/>
          <w:lang w:val="bg-BG"/>
        </w:rPr>
        <w:t>2.</w:t>
      </w:r>
      <w:r w:rsidR="00DE6AB4">
        <w:rPr>
          <w:szCs w:val="24"/>
          <w:lang w:val="bg-BG"/>
        </w:rPr>
        <w:t xml:space="preserve"> </w:t>
      </w:r>
      <w:r w:rsidR="00F700A1">
        <w:rPr>
          <w:szCs w:val="24"/>
          <w:lang w:val="bg-BG"/>
        </w:rPr>
        <w:t xml:space="preserve">Ръководният </w:t>
      </w:r>
      <w:r w:rsidR="00DE6AB4">
        <w:rPr>
          <w:szCs w:val="24"/>
          <w:lang w:val="bg-BG"/>
        </w:rPr>
        <w:t>пост</w:t>
      </w:r>
      <w:r w:rsidR="00EA6F34">
        <w:rPr>
          <w:szCs w:val="24"/>
          <w:lang w:val="bg-BG"/>
        </w:rPr>
        <w:t xml:space="preserve"> на </w:t>
      </w:r>
      <w:r w:rsidR="00354C6E">
        <w:rPr>
          <w:szCs w:val="24"/>
          <w:lang w:val="bg-BG"/>
        </w:rPr>
        <w:t>жалбоподателката</w:t>
      </w:r>
      <w:r w:rsidR="00EA6F34">
        <w:rPr>
          <w:szCs w:val="24"/>
          <w:lang w:val="bg-BG"/>
        </w:rPr>
        <w:t xml:space="preserve"> в</w:t>
      </w:r>
      <w:r w:rsidR="00DE6AB4">
        <w:rPr>
          <w:szCs w:val="24"/>
          <w:lang w:val="bg-BG"/>
        </w:rPr>
        <w:t xml:space="preserve"> структурата</w:t>
      </w:r>
      <w:r w:rsidR="004F33D5">
        <w:rPr>
          <w:szCs w:val="24"/>
          <w:lang w:val="bg-BG"/>
        </w:rPr>
        <w:t xml:space="preserve"> на ЛКП и дейността ѝ</w:t>
      </w:r>
      <w:r w:rsidR="00EA6F34">
        <w:rPr>
          <w:szCs w:val="24"/>
          <w:lang w:val="bg-BG"/>
        </w:rPr>
        <w:t xml:space="preserve"> по време на събитията от 1991 г. са използвани, за да се </w:t>
      </w:r>
      <w:r w:rsidR="00DE6AB4">
        <w:rPr>
          <w:szCs w:val="24"/>
          <w:lang w:val="bg-BG"/>
        </w:rPr>
        <w:t>оправдае недопускането на нейната кандидатура</w:t>
      </w:r>
      <w:r w:rsidR="00EA6F34">
        <w:rPr>
          <w:szCs w:val="24"/>
          <w:lang w:val="bg-BG"/>
        </w:rPr>
        <w:t xml:space="preserve"> както на парламент</w:t>
      </w:r>
      <w:r w:rsidR="00216E7A">
        <w:rPr>
          <w:szCs w:val="24"/>
          <w:lang w:val="bg-BG"/>
        </w:rPr>
        <w:t>арни, така и</w:t>
      </w:r>
      <w:r w:rsidR="004F33D5">
        <w:rPr>
          <w:szCs w:val="24"/>
          <w:lang w:val="bg-BG"/>
        </w:rPr>
        <w:t xml:space="preserve"> на местни избори. Следователно</w:t>
      </w:r>
      <w:r w:rsidR="00216E7A">
        <w:rPr>
          <w:szCs w:val="24"/>
          <w:lang w:val="bg-BG"/>
        </w:rPr>
        <w:t xml:space="preserve"> въпросните</w:t>
      </w:r>
      <w:r w:rsidR="00EA6F34">
        <w:rPr>
          <w:szCs w:val="24"/>
          <w:lang w:val="bg-BG"/>
        </w:rPr>
        <w:t xml:space="preserve"> елементи, </w:t>
      </w:r>
      <w:r w:rsidR="00216E7A">
        <w:rPr>
          <w:szCs w:val="24"/>
          <w:lang w:val="bg-BG"/>
        </w:rPr>
        <w:t xml:space="preserve">а именно </w:t>
      </w:r>
      <w:r w:rsidR="00EA6F34">
        <w:rPr>
          <w:szCs w:val="24"/>
          <w:lang w:val="bg-BG"/>
        </w:rPr>
        <w:t xml:space="preserve">членството на </w:t>
      </w:r>
      <w:r w:rsidR="00354C6E">
        <w:rPr>
          <w:szCs w:val="24"/>
          <w:lang w:val="bg-BG"/>
        </w:rPr>
        <w:t>жалбоподателката</w:t>
      </w:r>
      <w:r w:rsidR="00DE6AB4">
        <w:rPr>
          <w:szCs w:val="24"/>
          <w:lang w:val="bg-BG"/>
        </w:rPr>
        <w:t xml:space="preserve"> и </w:t>
      </w:r>
      <w:r w:rsidR="00F700A1">
        <w:rPr>
          <w:szCs w:val="24"/>
          <w:lang w:val="bg-BG"/>
        </w:rPr>
        <w:t xml:space="preserve">ръководният </w:t>
      </w:r>
      <w:r w:rsidR="00DE6AB4">
        <w:rPr>
          <w:szCs w:val="24"/>
          <w:lang w:val="bg-BG"/>
        </w:rPr>
        <w:t>ѝ пост</w:t>
      </w:r>
      <w:r w:rsidR="004F33D5">
        <w:rPr>
          <w:szCs w:val="24"/>
          <w:lang w:val="bg-BG"/>
        </w:rPr>
        <w:t xml:space="preserve"> в ЛКП, заедно с дейността ѝ</w:t>
      </w:r>
      <w:r w:rsidR="00EA6F34">
        <w:rPr>
          <w:szCs w:val="24"/>
          <w:lang w:val="bg-BG"/>
        </w:rPr>
        <w:t xml:space="preserve"> по време на решаващ период от борбата на Латвия за „демокрация чрез независимост“</w:t>
      </w:r>
      <w:r w:rsidR="00216E7A">
        <w:rPr>
          <w:szCs w:val="24"/>
          <w:lang w:val="bg-BG"/>
        </w:rPr>
        <w:t xml:space="preserve"> през 1991 г., се намират в основ</w:t>
      </w:r>
      <w:r w:rsidR="00DE6AB4">
        <w:rPr>
          <w:szCs w:val="24"/>
          <w:lang w:val="bg-BG"/>
        </w:rPr>
        <w:t>ата на ограничението, което Съдът</w:t>
      </w:r>
      <w:r w:rsidR="00216E7A">
        <w:rPr>
          <w:szCs w:val="24"/>
          <w:lang w:val="bg-BG"/>
        </w:rPr>
        <w:t xml:space="preserve"> намира за съвместимо с </w:t>
      </w:r>
      <w:r w:rsidR="00216E7A" w:rsidRPr="00945ED6">
        <w:rPr>
          <w:szCs w:val="24"/>
          <w:lang w:val="bg-BG"/>
        </w:rPr>
        <w:t>чл</w:t>
      </w:r>
      <w:r w:rsidR="00F450BF">
        <w:rPr>
          <w:szCs w:val="24"/>
          <w:lang w:val="bg-BG"/>
        </w:rPr>
        <w:t>ен</w:t>
      </w:r>
      <w:r w:rsidR="00216E7A" w:rsidRPr="00945ED6">
        <w:rPr>
          <w:szCs w:val="24"/>
          <w:lang w:val="bg-BG"/>
        </w:rPr>
        <w:t xml:space="preserve"> 3 от Протокол № 1.</w:t>
      </w:r>
      <w:r w:rsidR="00216E7A">
        <w:rPr>
          <w:szCs w:val="24"/>
          <w:lang w:val="bg-BG"/>
        </w:rPr>
        <w:t xml:space="preserve">  </w:t>
      </w:r>
      <w:r w:rsidR="00EA6F34">
        <w:rPr>
          <w:szCs w:val="24"/>
          <w:lang w:val="bg-BG"/>
        </w:rPr>
        <w:t xml:space="preserve"> </w:t>
      </w:r>
      <w:r w:rsidR="000A079D">
        <w:rPr>
          <w:szCs w:val="24"/>
        </w:rPr>
        <w:t> </w:t>
      </w:r>
      <w:r w:rsidRPr="00E17978">
        <w:rPr>
          <w:szCs w:val="24"/>
        </w:rPr>
        <w:t> </w:t>
      </w:r>
    </w:p>
    <w:p w:rsidR="00216E7A" w:rsidRPr="00216E7A" w:rsidRDefault="00216E7A" w:rsidP="00430671">
      <w:pPr>
        <w:pStyle w:val="OpiPara"/>
        <w:rPr>
          <w:szCs w:val="24"/>
          <w:lang w:val="bg-BG"/>
        </w:rPr>
      </w:pPr>
      <w:r>
        <w:rPr>
          <w:szCs w:val="24"/>
          <w:lang w:val="bg-BG"/>
        </w:rPr>
        <w:t xml:space="preserve">Било е необходимо разглеждане на съвместимостта на това ограничение не само с </w:t>
      </w:r>
      <w:r w:rsidRPr="00945ED6">
        <w:rPr>
          <w:szCs w:val="24"/>
          <w:lang w:val="bg-BG"/>
        </w:rPr>
        <w:t>чл</w:t>
      </w:r>
      <w:r w:rsidR="00F450BF">
        <w:rPr>
          <w:szCs w:val="24"/>
          <w:lang w:val="bg-BG"/>
        </w:rPr>
        <w:t>ен</w:t>
      </w:r>
      <w:r w:rsidRPr="00945ED6">
        <w:rPr>
          <w:szCs w:val="24"/>
          <w:lang w:val="bg-BG"/>
        </w:rPr>
        <w:t xml:space="preserve"> 3 от Протокол № 1</w:t>
      </w:r>
      <w:r>
        <w:rPr>
          <w:szCs w:val="24"/>
          <w:lang w:val="bg-BG"/>
        </w:rPr>
        <w:t>, но и с чл</w:t>
      </w:r>
      <w:r w:rsidR="00F450BF">
        <w:rPr>
          <w:szCs w:val="24"/>
          <w:lang w:val="bg-BG"/>
        </w:rPr>
        <w:t>ен</w:t>
      </w:r>
      <w:r>
        <w:rPr>
          <w:szCs w:val="24"/>
          <w:lang w:val="bg-BG"/>
        </w:rPr>
        <w:t xml:space="preserve"> 11.</w:t>
      </w:r>
    </w:p>
    <w:p w:rsidR="00216E7A" w:rsidRPr="00945ED6" w:rsidRDefault="00430671" w:rsidP="00430671">
      <w:pPr>
        <w:pStyle w:val="OpiPara"/>
        <w:rPr>
          <w:szCs w:val="24"/>
          <w:lang w:val="bg-BG"/>
        </w:rPr>
      </w:pPr>
      <w:r w:rsidRPr="00945ED6">
        <w:rPr>
          <w:szCs w:val="24"/>
          <w:lang w:val="bg-BG"/>
        </w:rPr>
        <w:t>3.</w:t>
      </w:r>
      <w:r w:rsidR="00216E7A">
        <w:rPr>
          <w:szCs w:val="24"/>
          <w:lang w:val="bg-BG"/>
        </w:rPr>
        <w:t xml:space="preserve"> Трябва да се отбележи, че по време на решаващите съ</w:t>
      </w:r>
      <w:r w:rsidR="00DE6AB4">
        <w:rPr>
          <w:szCs w:val="24"/>
          <w:lang w:val="bg-BG"/>
        </w:rPr>
        <w:t>бития, т.е. по време на подкрепя</w:t>
      </w:r>
      <w:r w:rsidR="00216E7A">
        <w:rPr>
          <w:szCs w:val="24"/>
          <w:lang w:val="bg-BG"/>
        </w:rPr>
        <w:t xml:space="preserve">ния от ЛКП опит за преврат на 13 януари 1991 г., партията не е била забранена. ЛКП е обявена за противоконституционна чак на 23 август 1991 г. и на следващия ден дейността на партията е преустановена, а министърът на правосъдието е инструктиран </w:t>
      </w:r>
      <w:r w:rsidR="0044141D">
        <w:rPr>
          <w:lang w:val="bg-BG"/>
        </w:rPr>
        <w:t>„да</w:t>
      </w:r>
      <w:r w:rsidR="00DE6AB4">
        <w:rPr>
          <w:lang w:val="bg-BG"/>
        </w:rPr>
        <w:t xml:space="preserve"> раз</w:t>
      </w:r>
      <w:r w:rsidR="00827A92">
        <w:rPr>
          <w:lang w:val="bg-BG"/>
        </w:rPr>
        <w:t>следва незаконните дейност</w:t>
      </w:r>
      <w:r w:rsidR="00DE6AB4">
        <w:rPr>
          <w:lang w:val="bg-BG"/>
        </w:rPr>
        <w:t>и</w:t>
      </w:r>
      <w:r w:rsidR="0044141D">
        <w:rPr>
          <w:lang w:val="bg-BG"/>
        </w:rPr>
        <w:t xml:space="preserve"> на ЛКП и да представи ... предложение относно възможността да се разреши на партията да продължи сво</w:t>
      </w:r>
      <w:r w:rsidR="00157067">
        <w:rPr>
          <w:lang w:val="bg-BG"/>
        </w:rPr>
        <w:t>я</w:t>
      </w:r>
      <w:r w:rsidR="0044141D">
        <w:rPr>
          <w:lang w:val="bg-BG"/>
        </w:rPr>
        <w:t>т</w:t>
      </w:r>
      <w:r w:rsidR="00157067">
        <w:rPr>
          <w:lang w:val="bg-BG"/>
        </w:rPr>
        <w:t>а</w:t>
      </w:r>
      <w:r w:rsidR="0044141D">
        <w:rPr>
          <w:lang w:val="bg-BG"/>
        </w:rPr>
        <w:t xml:space="preserve"> </w:t>
      </w:r>
      <w:r w:rsidR="00157067">
        <w:rPr>
          <w:lang w:val="bg-BG"/>
        </w:rPr>
        <w:t>дейност“</w:t>
      </w:r>
      <w:r w:rsidR="0044141D">
        <w:rPr>
          <w:lang w:val="bg-BG"/>
        </w:rPr>
        <w:t>. Върховният съвет нарежда разпускане на партията чак на 10 септември 1991 г.</w:t>
      </w:r>
    </w:p>
    <w:p w:rsidR="0044141D" w:rsidRPr="00945ED6" w:rsidRDefault="00430671" w:rsidP="00430671">
      <w:pPr>
        <w:pStyle w:val="OpiPara"/>
        <w:rPr>
          <w:szCs w:val="24"/>
          <w:lang w:val="bg-BG"/>
        </w:rPr>
      </w:pPr>
      <w:r w:rsidRPr="00945ED6">
        <w:rPr>
          <w:szCs w:val="24"/>
          <w:lang w:val="bg-BG"/>
        </w:rPr>
        <w:t>4.</w:t>
      </w:r>
      <w:r w:rsidR="0044141D">
        <w:rPr>
          <w:szCs w:val="24"/>
          <w:lang w:val="bg-BG"/>
        </w:rPr>
        <w:t xml:space="preserve"> Вярно е, че дисквалификацията на </w:t>
      </w:r>
      <w:r w:rsidR="00354C6E">
        <w:rPr>
          <w:szCs w:val="24"/>
          <w:lang w:val="bg-BG"/>
        </w:rPr>
        <w:t>жалбоподателката</w:t>
      </w:r>
      <w:r w:rsidR="0044141D">
        <w:rPr>
          <w:szCs w:val="24"/>
          <w:lang w:val="bg-BG"/>
        </w:rPr>
        <w:t xml:space="preserve"> не е основана </w:t>
      </w:r>
      <w:r w:rsidR="00DE6AB4">
        <w:rPr>
          <w:i/>
          <w:szCs w:val="24"/>
          <w:lang w:val="bg-BG"/>
        </w:rPr>
        <w:t xml:space="preserve">единствено на база </w:t>
      </w:r>
      <w:r w:rsidR="00832116" w:rsidRPr="00832116">
        <w:rPr>
          <w:i/>
          <w:szCs w:val="24"/>
          <w:lang w:val="bg-BG"/>
        </w:rPr>
        <w:t>членството</w:t>
      </w:r>
      <w:r w:rsidR="00DE6AB4">
        <w:rPr>
          <w:i/>
          <w:szCs w:val="24"/>
          <w:lang w:val="bg-BG"/>
        </w:rPr>
        <w:t xml:space="preserve"> ѝ</w:t>
      </w:r>
      <w:r w:rsidR="00832116">
        <w:rPr>
          <w:szCs w:val="24"/>
          <w:lang w:val="bg-BG"/>
        </w:rPr>
        <w:t xml:space="preserve"> в ЛКП. И все пак в настоящия случай това членство е сред условия</w:t>
      </w:r>
      <w:r w:rsidR="00157067">
        <w:rPr>
          <w:szCs w:val="24"/>
          <w:lang w:val="bg-BG"/>
        </w:rPr>
        <w:t xml:space="preserve">та </w:t>
      </w:r>
      <w:r w:rsidR="00157067" w:rsidRPr="00E17978">
        <w:rPr>
          <w:i/>
          <w:szCs w:val="24"/>
        </w:rPr>
        <w:t>sine</w:t>
      </w:r>
      <w:r w:rsidR="00157067" w:rsidRPr="00530E30">
        <w:rPr>
          <w:i/>
          <w:szCs w:val="24"/>
          <w:lang w:val="bg-BG"/>
        </w:rPr>
        <w:t xml:space="preserve"> </w:t>
      </w:r>
      <w:r w:rsidR="00157067" w:rsidRPr="00E17978">
        <w:rPr>
          <w:i/>
          <w:szCs w:val="24"/>
        </w:rPr>
        <w:t>qua</w:t>
      </w:r>
      <w:r w:rsidR="00157067" w:rsidRPr="00530E30">
        <w:rPr>
          <w:i/>
          <w:szCs w:val="24"/>
          <w:lang w:val="bg-BG"/>
        </w:rPr>
        <w:t xml:space="preserve"> </w:t>
      </w:r>
      <w:r w:rsidR="00157067" w:rsidRPr="00E17978">
        <w:rPr>
          <w:i/>
          <w:szCs w:val="24"/>
        </w:rPr>
        <w:t>non</w:t>
      </w:r>
      <w:r w:rsidR="00832116">
        <w:rPr>
          <w:szCs w:val="24"/>
          <w:lang w:val="bg-BG"/>
        </w:rPr>
        <w:t xml:space="preserve"> за оспорваното ограничение. Следователно</w:t>
      </w:r>
      <w:r w:rsidR="00AB0997">
        <w:rPr>
          <w:szCs w:val="24"/>
          <w:lang w:val="bg-BG"/>
        </w:rPr>
        <w:t>,</w:t>
      </w:r>
      <w:r w:rsidR="00832116">
        <w:rPr>
          <w:szCs w:val="24"/>
          <w:lang w:val="bg-BG"/>
        </w:rPr>
        <w:t xml:space="preserve"> при положение че членств</w:t>
      </w:r>
      <w:r w:rsidR="00DE6AB4">
        <w:rPr>
          <w:szCs w:val="24"/>
          <w:lang w:val="bg-BG"/>
        </w:rPr>
        <w:t xml:space="preserve">ото в ЛКП и </w:t>
      </w:r>
      <w:r w:rsidR="00AB0997">
        <w:rPr>
          <w:szCs w:val="24"/>
          <w:lang w:val="bg-BG"/>
        </w:rPr>
        <w:t xml:space="preserve">ръководният </w:t>
      </w:r>
      <w:r w:rsidR="00DE6AB4">
        <w:rPr>
          <w:szCs w:val="24"/>
          <w:lang w:val="bg-BG"/>
        </w:rPr>
        <w:t>пост</w:t>
      </w:r>
      <w:r w:rsidR="00832116">
        <w:rPr>
          <w:szCs w:val="24"/>
          <w:lang w:val="bg-BG"/>
        </w:rPr>
        <w:t xml:space="preserve"> в структурата на партията </w:t>
      </w:r>
      <w:r w:rsidR="00832116" w:rsidRPr="00832116">
        <w:rPr>
          <w:i/>
          <w:szCs w:val="24"/>
          <w:lang w:val="bg-BG"/>
        </w:rPr>
        <w:t>са сред елементите</w:t>
      </w:r>
      <w:r w:rsidR="00832116">
        <w:rPr>
          <w:szCs w:val="24"/>
          <w:lang w:val="bg-BG"/>
        </w:rPr>
        <w:t xml:space="preserve">, използвани за оправдаване на ограничението, смятаме, че има значение обхватът на защитата </w:t>
      </w:r>
      <w:r w:rsidR="00832116" w:rsidRPr="00945ED6">
        <w:rPr>
          <w:szCs w:val="24"/>
          <w:lang w:val="bg-BG"/>
        </w:rPr>
        <w:t>(</w:t>
      </w:r>
      <w:r w:rsidR="00832116" w:rsidRPr="00E17978">
        <w:rPr>
          <w:i/>
          <w:szCs w:val="24"/>
        </w:rPr>
        <w:t>Schutzbereich</w:t>
      </w:r>
      <w:r w:rsidR="00832116" w:rsidRPr="00945ED6">
        <w:rPr>
          <w:szCs w:val="24"/>
          <w:lang w:val="bg-BG"/>
        </w:rPr>
        <w:t>)</w:t>
      </w:r>
      <w:r w:rsidR="00832116">
        <w:rPr>
          <w:szCs w:val="24"/>
          <w:lang w:val="bg-BG"/>
        </w:rPr>
        <w:t>, предложена от чл</w:t>
      </w:r>
      <w:r w:rsidR="00AB0997">
        <w:rPr>
          <w:szCs w:val="24"/>
          <w:lang w:val="bg-BG"/>
        </w:rPr>
        <w:t>ен</w:t>
      </w:r>
      <w:r w:rsidR="00832116">
        <w:rPr>
          <w:szCs w:val="24"/>
          <w:lang w:val="bg-BG"/>
        </w:rPr>
        <w:t xml:space="preserve"> 11.    </w:t>
      </w:r>
      <w:r w:rsidR="000A079D">
        <w:rPr>
          <w:szCs w:val="24"/>
        </w:rPr>
        <w:t> </w:t>
      </w:r>
      <w:r w:rsidRPr="00E17978">
        <w:rPr>
          <w:szCs w:val="24"/>
        </w:rPr>
        <w:t> </w:t>
      </w:r>
    </w:p>
    <w:p w:rsidR="00BB48FD" w:rsidRPr="00945ED6" w:rsidRDefault="00430671" w:rsidP="00430671">
      <w:pPr>
        <w:pStyle w:val="OpiPara"/>
        <w:rPr>
          <w:szCs w:val="24"/>
          <w:lang w:val="bg-BG"/>
        </w:rPr>
      </w:pPr>
      <w:r w:rsidRPr="00945ED6">
        <w:rPr>
          <w:szCs w:val="24"/>
          <w:lang w:val="bg-BG"/>
        </w:rPr>
        <w:t>5.</w:t>
      </w:r>
      <w:r w:rsidR="00BB48FD">
        <w:rPr>
          <w:szCs w:val="24"/>
          <w:lang w:val="bg-BG"/>
        </w:rPr>
        <w:t xml:space="preserve"> В този контекст наше задължение е да подчертаем, че гарантираното по чл</w:t>
      </w:r>
      <w:r w:rsidR="00AB0997">
        <w:rPr>
          <w:szCs w:val="24"/>
          <w:lang w:val="bg-BG"/>
        </w:rPr>
        <w:t>ен</w:t>
      </w:r>
      <w:r w:rsidR="00BB48FD">
        <w:rPr>
          <w:szCs w:val="24"/>
          <w:lang w:val="bg-BG"/>
        </w:rPr>
        <w:t xml:space="preserve"> 11 от Конвенцията право включва не само </w:t>
      </w:r>
      <w:r w:rsidR="00BB48FD">
        <w:rPr>
          <w:szCs w:val="24"/>
          <w:lang w:val="bg-BG"/>
        </w:rPr>
        <w:lastRenderedPageBreak/>
        <w:t>правото на присъединяване към полити</w:t>
      </w:r>
      <w:r w:rsidR="00DE6AB4">
        <w:rPr>
          <w:szCs w:val="24"/>
          <w:lang w:val="bg-BG"/>
        </w:rPr>
        <w:t>ческа партия, но и ограничава въ</w:t>
      </w:r>
      <w:r w:rsidR="00BB48FD">
        <w:rPr>
          <w:szCs w:val="24"/>
          <w:lang w:val="bg-BG"/>
        </w:rPr>
        <w:t>зможностите за наказание по повод минало членство в партия.</w:t>
      </w:r>
      <w:r w:rsidR="000A079D">
        <w:rPr>
          <w:szCs w:val="24"/>
        </w:rPr>
        <w:t> </w:t>
      </w:r>
      <w:r w:rsidRPr="00E17978">
        <w:rPr>
          <w:szCs w:val="24"/>
        </w:rPr>
        <w:t> </w:t>
      </w:r>
    </w:p>
    <w:p w:rsidR="00BB48FD" w:rsidRPr="00126EB2" w:rsidRDefault="00430671" w:rsidP="00430671">
      <w:pPr>
        <w:pStyle w:val="OpiPara"/>
        <w:rPr>
          <w:szCs w:val="24"/>
          <w:lang w:val="bg-BG"/>
        </w:rPr>
      </w:pPr>
      <w:r w:rsidRPr="00126EB2">
        <w:rPr>
          <w:szCs w:val="24"/>
          <w:lang w:val="bg-BG"/>
        </w:rPr>
        <w:t>6.</w:t>
      </w:r>
      <w:r w:rsidR="00BB48FD">
        <w:rPr>
          <w:szCs w:val="24"/>
          <w:lang w:val="bg-BG"/>
        </w:rPr>
        <w:t xml:space="preserve"> Освен това упражняването на гарантираните по чл</w:t>
      </w:r>
      <w:r w:rsidR="00AB0997">
        <w:rPr>
          <w:szCs w:val="24"/>
          <w:lang w:val="bg-BG"/>
        </w:rPr>
        <w:t>ен</w:t>
      </w:r>
      <w:r w:rsidR="00BB48FD">
        <w:rPr>
          <w:szCs w:val="24"/>
          <w:lang w:val="bg-BG"/>
        </w:rPr>
        <w:t xml:space="preserve"> </w:t>
      </w:r>
      <w:r w:rsidR="00BB48FD" w:rsidRPr="00126EB2">
        <w:rPr>
          <w:szCs w:val="24"/>
          <w:lang w:val="bg-BG"/>
        </w:rPr>
        <w:t>11 § 1</w:t>
      </w:r>
      <w:r w:rsidR="000A079D">
        <w:rPr>
          <w:szCs w:val="24"/>
        </w:rPr>
        <w:t> </w:t>
      </w:r>
      <w:r w:rsidR="00BB48FD">
        <w:rPr>
          <w:szCs w:val="24"/>
          <w:lang w:val="bg-BG"/>
        </w:rPr>
        <w:t xml:space="preserve">от Конвенцията права може да се тълкува единствено в рамките на втората алинея от въпросната разпоредба, която не оставя на държавите същата свобода на преценка като онази, която им се дава от Съда по силата </w:t>
      </w:r>
      <w:r w:rsidR="00BB48FD" w:rsidRPr="00516F1F">
        <w:rPr>
          <w:szCs w:val="24"/>
          <w:lang w:val="bg-BG"/>
        </w:rPr>
        <w:t>на чл</w:t>
      </w:r>
      <w:r w:rsidR="00A94B47">
        <w:rPr>
          <w:szCs w:val="24"/>
          <w:lang w:val="bg-BG"/>
        </w:rPr>
        <w:t>ен</w:t>
      </w:r>
      <w:r w:rsidR="00BB48FD" w:rsidRPr="00516F1F">
        <w:rPr>
          <w:szCs w:val="24"/>
          <w:lang w:val="bg-BG"/>
        </w:rPr>
        <w:t xml:space="preserve"> 3 от Протокол № 1 и която е описана в решението като „</w:t>
      </w:r>
      <w:r w:rsidR="00A94B47">
        <w:rPr>
          <w:szCs w:val="24"/>
          <w:lang w:val="bg-BG"/>
        </w:rPr>
        <w:t>широка</w:t>
      </w:r>
      <w:r w:rsidR="00BB48FD" w:rsidRPr="00516F1F">
        <w:rPr>
          <w:szCs w:val="24"/>
          <w:lang w:val="bg-BG"/>
        </w:rPr>
        <w:t>“ (вж</w:t>
      </w:r>
      <w:r w:rsidR="00A94B47">
        <w:rPr>
          <w:szCs w:val="24"/>
          <w:lang w:val="bg-BG"/>
        </w:rPr>
        <w:t>.</w:t>
      </w:r>
      <w:r w:rsidR="00BB48FD">
        <w:rPr>
          <w:szCs w:val="24"/>
          <w:lang w:val="bg-BG"/>
        </w:rPr>
        <w:t xml:space="preserve"> параграфи </w:t>
      </w:r>
      <w:r w:rsidR="00BB48FD" w:rsidRPr="00126EB2">
        <w:rPr>
          <w:szCs w:val="24"/>
          <w:lang w:val="bg-BG"/>
        </w:rPr>
        <w:t>103, 115 (</w:t>
      </w:r>
      <w:r w:rsidR="00BB48FD">
        <w:rPr>
          <w:szCs w:val="24"/>
        </w:rPr>
        <w:t>c</w:t>
      </w:r>
      <w:r w:rsidR="00BB48FD" w:rsidRPr="00126EB2">
        <w:rPr>
          <w:szCs w:val="24"/>
          <w:lang w:val="bg-BG"/>
        </w:rPr>
        <w:t>), 121 и 135).</w:t>
      </w:r>
      <w:r w:rsidR="00BB48FD">
        <w:rPr>
          <w:szCs w:val="24"/>
          <w:lang w:val="bg-BG"/>
        </w:rPr>
        <w:t xml:space="preserve"> </w:t>
      </w:r>
      <w:r w:rsidR="00BB48FD" w:rsidRPr="00126EB2">
        <w:rPr>
          <w:szCs w:val="24"/>
          <w:lang w:val="bg-BG"/>
        </w:rPr>
        <w:t xml:space="preserve"> </w:t>
      </w:r>
      <w:r w:rsidR="00BB48FD">
        <w:rPr>
          <w:szCs w:val="24"/>
          <w:lang w:val="bg-BG"/>
        </w:rPr>
        <w:t xml:space="preserve"> </w:t>
      </w:r>
      <w:r w:rsidRPr="00E17978">
        <w:rPr>
          <w:szCs w:val="24"/>
        </w:rPr>
        <w:t> </w:t>
      </w:r>
    </w:p>
    <w:p w:rsidR="00430671" w:rsidRPr="00BB48FD" w:rsidRDefault="00BB48FD" w:rsidP="00BB48FD">
      <w:pPr>
        <w:pStyle w:val="OpiPara"/>
        <w:rPr>
          <w:szCs w:val="24"/>
          <w:lang w:val="bg-BG"/>
        </w:rPr>
      </w:pPr>
      <w:r>
        <w:rPr>
          <w:szCs w:val="24"/>
          <w:lang w:val="bg-BG"/>
        </w:rPr>
        <w:t>Съдът е обърнал специално внимание на това основополагащо разграничение в параграф 115 (а) от настоящото решение, където се казва:</w:t>
      </w:r>
    </w:p>
    <w:p w:rsidR="00430671" w:rsidRPr="00E1560A" w:rsidRDefault="000F3566" w:rsidP="00E1560A">
      <w:pPr>
        <w:pStyle w:val="OpiQuot"/>
        <w:ind w:left="284" w:firstLine="284"/>
        <w:rPr>
          <w:lang w:val="bg-BG"/>
        </w:rPr>
      </w:pPr>
      <w:r>
        <w:rPr>
          <w:lang w:val="bg-BG"/>
        </w:rPr>
        <w:t xml:space="preserve">„ ... </w:t>
      </w:r>
      <w:r w:rsidR="007975D5">
        <w:rPr>
          <w:lang w:val="bg-BG"/>
        </w:rPr>
        <w:t xml:space="preserve">когато става въпрос за намеса във връзка с </w:t>
      </w:r>
      <w:r w:rsidR="007975D5" w:rsidRPr="00945ED6">
        <w:rPr>
          <w:lang w:val="bg-BG"/>
        </w:rPr>
        <w:t>чл</w:t>
      </w:r>
      <w:r w:rsidR="007975D5">
        <w:rPr>
          <w:lang w:val="bg-BG"/>
        </w:rPr>
        <w:t>ен</w:t>
      </w:r>
      <w:r w:rsidR="007975D5" w:rsidRPr="00945ED6">
        <w:rPr>
          <w:lang w:val="bg-BG"/>
        </w:rPr>
        <w:t xml:space="preserve"> 3 от Протокол № 1</w:t>
      </w:r>
      <w:r w:rsidR="007975D5">
        <w:rPr>
          <w:lang w:val="bg-BG"/>
        </w:rPr>
        <w:t xml:space="preserve">, Съдът не трябва автоматично да прилага същите критерии, които се прилагат във връзка с намесата, разрешена от вторите алинеи на член 8 – 11 от Конвенцията. Не е задължително Съдът да основава заключенията си по </w:t>
      </w:r>
      <w:r w:rsidR="007975D5" w:rsidRPr="00945ED6">
        <w:rPr>
          <w:lang w:val="bg-BG"/>
        </w:rPr>
        <w:t>чл</w:t>
      </w:r>
      <w:r w:rsidR="007975D5">
        <w:rPr>
          <w:lang w:val="bg-BG"/>
        </w:rPr>
        <w:t>ен</w:t>
      </w:r>
      <w:r w:rsidR="007975D5" w:rsidRPr="00945ED6">
        <w:rPr>
          <w:lang w:val="bg-BG"/>
        </w:rPr>
        <w:t xml:space="preserve"> 3 от Протокол № 1</w:t>
      </w:r>
      <w:r w:rsidR="007975D5">
        <w:rPr>
          <w:lang w:val="bg-BG"/>
        </w:rPr>
        <w:t xml:space="preserve"> върху принципите, произтичащи от приложението на член 8 – 11 от Конвенцията.</w:t>
      </w:r>
      <w:r w:rsidR="007975D5" w:rsidRPr="00945ED6">
        <w:rPr>
          <w:lang w:val="bg-BG"/>
        </w:rPr>
        <w:t xml:space="preserve"> </w:t>
      </w:r>
      <w:r w:rsidR="007975D5">
        <w:rPr>
          <w:lang w:val="bg-BG"/>
        </w:rPr>
        <w:t xml:space="preserve">Поради значимостта на </w:t>
      </w:r>
      <w:r w:rsidR="007975D5" w:rsidRPr="00945ED6">
        <w:rPr>
          <w:lang w:val="bg-BG"/>
        </w:rPr>
        <w:t>чл</w:t>
      </w:r>
      <w:r w:rsidR="007975D5">
        <w:rPr>
          <w:lang w:val="bg-BG"/>
        </w:rPr>
        <w:t>ен</w:t>
      </w:r>
      <w:r w:rsidR="007975D5" w:rsidRPr="00945ED6">
        <w:rPr>
          <w:lang w:val="bg-BG"/>
        </w:rPr>
        <w:t xml:space="preserve"> 3 от Протокол № 1</w:t>
      </w:r>
      <w:r w:rsidR="007975D5">
        <w:rPr>
          <w:lang w:val="bg-BG"/>
        </w:rPr>
        <w:t xml:space="preserve"> за институционалния ред в държавата, въпросната разпоредба </w:t>
      </w:r>
      <w:r w:rsidR="007975D5">
        <w:rPr>
          <w:lang w:val="en-US"/>
        </w:rPr>
        <w:t>e</w:t>
      </w:r>
      <w:r w:rsidR="007975D5" w:rsidRPr="00945ED6">
        <w:rPr>
          <w:lang w:val="bg-BG"/>
        </w:rPr>
        <w:t xml:space="preserve"> </w:t>
      </w:r>
      <w:r w:rsidR="007975D5">
        <w:rPr>
          <w:lang w:val="bg-BG"/>
        </w:rPr>
        <w:t xml:space="preserve">оформена по съвсем различен начин от член 8 – 11 от Конвенцията. </w:t>
      </w:r>
      <w:r w:rsidR="007975D5" w:rsidRPr="00945ED6">
        <w:rPr>
          <w:lang w:val="bg-BG"/>
        </w:rPr>
        <w:t>Чл</w:t>
      </w:r>
      <w:r w:rsidR="007975D5">
        <w:rPr>
          <w:lang w:val="bg-BG"/>
        </w:rPr>
        <w:t>ен</w:t>
      </w:r>
      <w:r w:rsidR="007975D5" w:rsidRPr="00945ED6">
        <w:rPr>
          <w:lang w:val="bg-BG"/>
        </w:rPr>
        <w:t xml:space="preserve"> 3 от Протокол № 1</w:t>
      </w:r>
      <w:r w:rsidR="007975D5">
        <w:rPr>
          <w:lang w:val="bg-BG"/>
        </w:rPr>
        <w:t xml:space="preserve"> е формулиран по събирателен и общ начин, въпреки че се е случвало Съдът да го интерпретира и като предполагащ определени индивидуални права. Следователно стандартите, които трябва да се прилагат за установяване на съответствие с </w:t>
      </w:r>
      <w:r w:rsidR="007975D5" w:rsidRPr="00945ED6">
        <w:rPr>
          <w:lang w:val="bg-BG"/>
        </w:rPr>
        <w:t>чл</w:t>
      </w:r>
      <w:r w:rsidR="007975D5">
        <w:rPr>
          <w:lang w:val="bg-BG"/>
        </w:rPr>
        <w:t>ен</w:t>
      </w:r>
      <w:r w:rsidR="007975D5" w:rsidRPr="00945ED6">
        <w:rPr>
          <w:lang w:val="bg-BG"/>
        </w:rPr>
        <w:t xml:space="preserve"> 3 от Протокол № 1</w:t>
      </w:r>
      <w:r w:rsidR="007975D5">
        <w:rPr>
          <w:lang w:val="bg-BG"/>
        </w:rPr>
        <w:t>, трябва да се смятат за по-малко строги от онези, които се прилагат към член 8 – 11 от Конвенцията</w:t>
      </w:r>
      <w:r>
        <w:rPr>
          <w:lang w:val="bg-BG"/>
        </w:rPr>
        <w:t>.“</w:t>
      </w:r>
      <w:r w:rsidR="00E1560A" w:rsidRPr="00945ED6">
        <w:rPr>
          <w:lang w:val="bg-BG"/>
        </w:rPr>
        <w:t xml:space="preserve"> </w:t>
      </w:r>
      <w:r w:rsidR="00873B42" w:rsidRPr="00945ED6">
        <w:rPr>
          <w:lang w:val="bg-BG"/>
        </w:rPr>
        <w:t xml:space="preserve"> </w:t>
      </w:r>
      <w:r w:rsidR="00873B42">
        <w:rPr>
          <w:lang w:val="bg-BG"/>
        </w:rPr>
        <w:t xml:space="preserve"> </w:t>
      </w:r>
      <w:r w:rsidR="00873B42" w:rsidRPr="00945ED6">
        <w:rPr>
          <w:lang w:val="bg-BG"/>
        </w:rPr>
        <w:t xml:space="preserve"> </w:t>
      </w:r>
      <w:r w:rsidR="00873B42">
        <w:rPr>
          <w:lang w:val="bg-BG"/>
        </w:rPr>
        <w:t xml:space="preserve">  </w:t>
      </w:r>
      <w:r w:rsidR="00BB48FD">
        <w:rPr>
          <w:lang w:val="bg-BG"/>
        </w:rPr>
        <w:t xml:space="preserve"> </w:t>
      </w:r>
    </w:p>
    <w:p w:rsidR="00E1560A" w:rsidRPr="00945ED6" w:rsidRDefault="00430671" w:rsidP="00430671">
      <w:pPr>
        <w:pStyle w:val="OpiPara"/>
        <w:rPr>
          <w:szCs w:val="24"/>
          <w:lang w:val="bg-BG"/>
        </w:rPr>
      </w:pPr>
      <w:r w:rsidRPr="00945ED6">
        <w:rPr>
          <w:szCs w:val="24"/>
          <w:lang w:val="bg-BG"/>
        </w:rPr>
        <w:t>7.</w:t>
      </w:r>
      <w:r w:rsidR="00F861CE">
        <w:rPr>
          <w:szCs w:val="24"/>
          <w:lang w:val="bg-BG"/>
        </w:rPr>
        <w:t xml:space="preserve"> Най-накрая страните постигат</w:t>
      </w:r>
      <w:r w:rsidR="00E1560A">
        <w:rPr>
          <w:szCs w:val="24"/>
          <w:lang w:val="bg-BG"/>
        </w:rPr>
        <w:t xml:space="preserve"> съгласие пред Съда, че от въпросния член възниква отделен въпрос.</w:t>
      </w:r>
      <w:r w:rsidR="00F861CE">
        <w:rPr>
          <w:szCs w:val="24"/>
          <w:lang w:val="bg-BG"/>
        </w:rPr>
        <w:t xml:space="preserve"> Правителството ответник твърди, че намесата в правата на </w:t>
      </w:r>
      <w:r w:rsidR="00354C6E">
        <w:rPr>
          <w:szCs w:val="24"/>
          <w:lang w:val="bg-BG"/>
        </w:rPr>
        <w:t>жалбоподателката</w:t>
      </w:r>
      <w:r w:rsidR="00F861CE">
        <w:rPr>
          <w:szCs w:val="24"/>
          <w:lang w:val="bg-BG"/>
        </w:rPr>
        <w:t xml:space="preserve"> по чл</w:t>
      </w:r>
      <w:r w:rsidR="009143C8">
        <w:rPr>
          <w:szCs w:val="24"/>
          <w:lang w:val="bg-BG"/>
        </w:rPr>
        <w:t>ен</w:t>
      </w:r>
      <w:r w:rsidR="00F861CE">
        <w:rPr>
          <w:szCs w:val="24"/>
          <w:lang w:val="bg-BG"/>
        </w:rPr>
        <w:t xml:space="preserve"> 11 е съвместима с изискванията на втория параграф на въпросната разпоредба и че оспорваната мярка е „необходима в едно демократично общество“. </w:t>
      </w:r>
      <w:r w:rsidR="00354C6E">
        <w:rPr>
          <w:szCs w:val="24"/>
          <w:lang w:val="bg-BG"/>
        </w:rPr>
        <w:t>Жалбоподателката</w:t>
      </w:r>
      <w:r w:rsidR="00F861CE">
        <w:rPr>
          <w:szCs w:val="24"/>
          <w:lang w:val="bg-BG"/>
        </w:rPr>
        <w:t xml:space="preserve"> оспорва легитимността на преследваните от оспорваната мярка цели и я счита за непропорционална.</w:t>
      </w:r>
      <w:r w:rsidRPr="00E17978">
        <w:rPr>
          <w:szCs w:val="24"/>
        </w:rPr>
        <w:t> </w:t>
      </w:r>
      <w:r w:rsidR="000A079D">
        <w:rPr>
          <w:szCs w:val="24"/>
        </w:rPr>
        <w:t> </w:t>
      </w:r>
    </w:p>
    <w:p w:rsidR="00F861CE" w:rsidRPr="00945ED6" w:rsidRDefault="00430671" w:rsidP="00430671">
      <w:pPr>
        <w:pStyle w:val="OpiPara"/>
        <w:rPr>
          <w:lang w:val="bg-BG"/>
        </w:rPr>
      </w:pPr>
      <w:r w:rsidRPr="00945ED6">
        <w:rPr>
          <w:lang w:val="bg-BG"/>
        </w:rPr>
        <w:t>8.</w:t>
      </w:r>
      <w:r w:rsidR="00F861CE">
        <w:rPr>
          <w:lang w:val="bg-BG"/>
        </w:rPr>
        <w:t xml:space="preserve"> Следователно смятаме, че Съдът е трябвало да изготви отделно становище по този важен въпрос.</w:t>
      </w:r>
      <w:r w:rsidRPr="00E17978">
        <w:t> </w:t>
      </w:r>
      <w:r w:rsidR="000A079D">
        <w:t> </w:t>
      </w:r>
    </w:p>
    <w:p w:rsidR="000054E5" w:rsidRPr="00945ED6" w:rsidRDefault="000054E5" w:rsidP="00E50E98">
      <w:pPr>
        <w:pStyle w:val="OpiHHead"/>
        <w:rPr>
          <w:lang w:val="bg-BG"/>
        </w:rPr>
        <w:sectPr w:rsidR="000054E5" w:rsidRPr="00945ED6" w:rsidSect="000054E5">
          <w:headerReference w:type="even" r:id="rId21"/>
          <w:headerReference w:type="default" r:id="rId22"/>
          <w:footerReference w:type="even" r:id="rId23"/>
          <w:footerReference w:type="default" r:id="rId24"/>
          <w:footnotePr>
            <w:numRestart w:val="eachPage"/>
          </w:footnotePr>
          <w:pgSz w:w="11906" w:h="16838" w:code="9"/>
          <w:pgMar w:top="2274" w:right="2274" w:bottom="2274" w:left="2274" w:header="1701" w:footer="720" w:gutter="0"/>
          <w:cols w:space="720"/>
          <w:docGrid w:linePitch="326"/>
        </w:sectPr>
      </w:pPr>
    </w:p>
    <w:p w:rsidR="00E50E98" w:rsidRPr="00945ED6" w:rsidRDefault="00F861CE" w:rsidP="00E50E98">
      <w:pPr>
        <w:pStyle w:val="OpiHHead"/>
        <w:rPr>
          <w:lang w:val="bg-BG"/>
        </w:rPr>
      </w:pPr>
      <w:r>
        <w:rPr>
          <w:lang w:val="bg-BG"/>
        </w:rPr>
        <w:lastRenderedPageBreak/>
        <w:t xml:space="preserve">ОСОБЕНО МНЕНИЕ НА СЪДИЯ РОЗАКИС </w:t>
      </w:r>
    </w:p>
    <w:p w:rsidR="00F861CE" w:rsidRDefault="00F861CE" w:rsidP="00DD39EE">
      <w:pPr>
        <w:pStyle w:val="OpiPara"/>
        <w:rPr>
          <w:lang w:val="bg-BG"/>
        </w:rPr>
      </w:pPr>
      <w:r>
        <w:rPr>
          <w:lang w:val="bg-BG"/>
        </w:rPr>
        <w:t xml:space="preserve">Макар да се съгласявам с много от съображенията на мнозинството по настоящото дело – включително </w:t>
      </w:r>
      <w:r w:rsidR="007E2ACB">
        <w:rPr>
          <w:lang w:val="bg-BG"/>
        </w:rPr>
        <w:t>констатацията</w:t>
      </w:r>
      <w:r>
        <w:rPr>
          <w:lang w:val="bg-BG"/>
        </w:rPr>
        <w:t>, че по отношение на чл</w:t>
      </w:r>
      <w:r w:rsidR="007E2ACB">
        <w:rPr>
          <w:lang w:val="bg-BG"/>
        </w:rPr>
        <w:t>енове</w:t>
      </w:r>
      <w:r>
        <w:rPr>
          <w:lang w:val="bg-BG"/>
        </w:rPr>
        <w:t xml:space="preserve"> 10 и 11 не възниква отделен въпрос – не мога да се съглася с някои</w:t>
      </w:r>
      <w:r w:rsidR="006E1CF8">
        <w:rPr>
          <w:lang w:val="bg-BG"/>
        </w:rPr>
        <w:t xml:space="preserve"> от</w:t>
      </w:r>
      <w:r>
        <w:rPr>
          <w:lang w:val="bg-BG"/>
        </w:rPr>
        <w:t xml:space="preserve"> заключенията, които според мен са от основно значение по делото</w:t>
      </w:r>
      <w:r w:rsidR="006E1CF8">
        <w:rPr>
          <w:lang w:val="bg-BG"/>
        </w:rPr>
        <w:t xml:space="preserve"> и обосновават моето разграничаване от </w:t>
      </w:r>
      <w:r w:rsidR="00B8507C">
        <w:rPr>
          <w:lang w:val="bg-BG"/>
        </w:rPr>
        <w:t xml:space="preserve">констатацията </w:t>
      </w:r>
      <w:r w:rsidR="006E1CF8">
        <w:rPr>
          <w:lang w:val="bg-BG"/>
        </w:rPr>
        <w:t>на мнозинството, според ко</w:t>
      </w:r>
      <w:r w:rsidR="00091094">
        <w:rPr>
          <w:lang w:val="bg-BG"/>
        </w:rPr>
        <w:t>я</w:t>
      </w:r>
      <w:r w:rsidR="006E1CF8">
        <w:rPr>
          <w:lang w:val="bg-BG"/>
        </w:rPr>
        <w:t xml:space="preserve">то </w:t>
      </w:r>
      <w:r w:rsidR="00091094">
        <w:rPr>
          <w:lang w:val="bg-BG"/>
        </w:rPr>
        <w:t xml:space="preserve">при </w:t>
      </w:r>
      <w:r w:rsidR="006E1CF8">
        <w:rPr>
          <w:lang w:val="bg-BG"/>
        </w:rPr>
        <w:t xml:space="preserve">дадените обстоятелства няма нарушение на </w:t>
      </w:r>
      <w:r w:rsidR="006E1CF8" w:rsidRPr="00945ED6">
        <w:rPr>
          <w:lang w:val="bg-BG"/>
        </w:rPr>
        <w:t>чл</w:t>
      </w:r>
      <w:r w:rsidR="00B8507C">
        <w:rPr>
          <w:lang w:val="bg-BG"/>
        </w:rPr>
        <w:t>ен</w:t>
      </w:r>
      <w:r w:rsidR="006E1CF8" w:rsidRPr="00945ED6">
        <w:rPr>
          <w:lang w:val="bg-BG"/>
        </w:rPr>
        <w:t xml:space="preserve"> 3 от Протокол № 1</w:t>
      </w:r>
      <w:r w:rsidR="006E1CF8">
        <w:rPr>
          <w:lang w:val="bg-BG"/>
        </w:rPr>
        <w:t xml:space="preserve">. Бих искал също така от самото начало да изтъкна, че в много отношения мога да следвам </w:t>
      </w:r>
      <w:r w:rsidR="00091094">
        <w:rPr>
          <w:lang w:val="bg-BG"/>
        </w:rPr>
        <w:t xml:space="preserve">логиката </w:t>
      </w:r>
      <w:r w:rsidR="006E1CF8">
        <w:rPr>
          <w:lang w:val="bg-BG"/>
        </w:rPr>
        <w:t xml:space="preserve">на разсъжденията на съдия Зупанчич, отразена в неговото собствено несъгласие; и все пак </w:t>
      </w:r>
      <w:r w:rsidR="008676A1">
        <w:rPr>
          <w:lang w:val="bg-BG"/>
        </w:rPr>
        <w:t xml:space="preserve">неговият подход е основан предимно на принципи, а тук аз бих желал да се концентрирам преди всичко върху някои съображения от по-технически, бих казал, характер в сравнение с широко теоретичния подход на съдия Зупанчич. </w:t>
      </w:r>
    </w:p>
    <w:p w:rsidR="000D2ED6" w:rsidRDefault="008676A1" w:rsidP="00DD39EE">
      <w:pPr>
        <w:pStyle w:val="OpiPara"/>
        <w:rPr>
          <w:lang w:val="bg-BG"/>
        </w:rPr>
      </w:pPr>
      <w:r>
        <w:rPr>
          <w:lang w:val="bg-BG"/>
        </w:rPr>
        <w:t>Нека започна с нещо, което считам за необходимо предварително пояснени</w:t>
      </w:r>
      <w:r w:rsidR="000F3566">
        <w:rPr>
          <w:lang w:val="bg-BG"/>
        </w:rPr>
        <w:t>е</w:t>
      </w:r>
      <w:r w:rsidR="00A56C77">
        <w:rPr>
          <w:lang w:val="bg-BG"/>
        </w:rPr>
        <w:t>,</w:t>
      </w:r>
      <w:r w:rsidR="000F3566">
        <w:rPr>
          <w:lang w:val="bg-BG"/>
        </w:rPr>
        <w:t xml:space="preserve"> свързано с</w:t>
      </w:r>
      <w:r>
        <w:rPr>
          <w:lang w:val="bg-BG"/>
        </w:rPr>
        <w:t xml:space="preserve"> донякъде съмнителната позиция на мнозинството по отношение на естеството на правата по </w:t>
      </w:r>
      <w:r w:rsidRPr="00945ED6">
        <w:rPr>
          <w:lang w:val="bg-BG"/>
        </w:rPr>
        <w:t>чл</w:t>
      </w:r>
      <w:r w:rsidR="00A56C77">
        <w:rPr>
          <w:lang w:val="bg-BG"/>
        </w:rPr>
        <w:t>ен</w:t>
      </w:r>
      <w:r w:rsidRPr="00945ED6">
        <w:rPr>
          <w:lang w:val="bg-BG"/>
        </w:rPr>
        <w:t xml:space="preserve"> 3 от Протокол № 1</w:t>
      </w:r>
      <w:r>
        <w:rPr>
          <w:lang w:val="bg-BG"/>
        </w:rPr>
        <w:t xml:space="preserve">. В параграф 115 от решението Съдът счита, че </w:t>
      </w:r>
      <w:r w:rsidR="00A56C77">
        <w:rPr>
          <w:lang w:val="bg-BG"/>
        </w:rPr>
        <w:t>„</w:t>
      </w:r>
      <w:r>
        <w:rPr>
          <w:lang w:val="bg-BG"/>
        </w:rPr>
        <w:t>ч</w:t>
      </w:r>
      <w:r w:rsidR="000F3566" w:rsidRPr="00945ED6">
        <w:rPr>
          <w:lang w:val="bg-BG"/>
        </w:rPr>
        <w:t>л</w:t>
      </w:r>
      <w:r w:rsidR="00A56C77">
        <w:rPr>
          <w:lang w:val="bg-BG"/>
        </w:rPr>
        <w:t>ен</w:t>
      </w:r>
      <w:r w:rsidR="000F3566" w:rsidRPr="00945ED6">
        <w:rPr>
          <w:lang w:val="bg-BG"/>
        </w:rPr>
        <w:t xml:space="preserve"> 3</w:t>
      </w:r>
      <w:r w:rsidRPr="00945ED6">
        <w:rPr>
          <w:lang w:val="bg-BG"/>
        </w:rPr>
        <w:t xml:space="preserve"> …</w:t>
      </w:r>
      <w:r>
        <w:rPr>
          <w:lang w:val="bg-BG"/>
        </w:rPr>
        <w:t xml:space="preserve"> е формулиран по събирателен и общ начин, въпреки че </w:t>
      </w:r>
      <w:r w:rsidR="000F3566">
        <w:rPr>
          <w:lang w:val="bg-BG"/>
        </w:rPr>
        <w:t xml:space="preserve">се е случвало </w:t>
      </w:r>
      <w:r>
        <w:rPr>
          <w:lang w:val="bg-BG"/>
        </w:rPr>
        <w:t xml:space="preserve">Съдът </w:t>
      </w:r>
      <w:r w:rsidR="000F3566">
        <w:rPr>
          <w:lang w:val="bg-BG"/>
        </w:rPr>
        <w:t xml:space="preserve">да </w:t>
      </w:r>
      <w:r>
        <w:rPr>
          <w:lang w:val="bg-BG"/>
        </w:rPr>
        <w:t xml:space="preserve">го </w:t>
      </w:r>
      <w:r w:rsidR="000F3566">
        <w:rPr>
          <w:lang w:val="bg-BG"/>
        </w:rPr>
        <w:t>интерпретира</w:t>
      </w:r>
      <w:r>
        <w:rPr>
          <w:lang w:val="bg-BG"/>
        </w:rPr>
        <w:t xml:space="preserve"> и като предполагащ определени индивидуални права“. Това изречение, </w:t>
      </w:r>
      <w:r w:rsidR="003601F6">
        <w:rPr>
          <w:lang w:val="bg-BG"/>
        </w:rPr>
        <w:t xml:space="preserve">макар </w:t>
      </w:r>
      <w:r w:rsidR="006968BC">
        <w:rPr>
          <w:lang w:val="bg-BG"/>
        </w:rPr>
        <w:t xml:space="preserve">в крайна сметка </w:t>
      </w:r>
      <w:r w:rsidR="003601F6">
        <w:rPr>
          <w:lang w:val="bg-BG"/>
        </w:rPr>
        <w:t xml:space="preserve">да </w:t>
      </w:r>
      <w:r w:rsidR="006968BC">
        <w:rPr>
          <w:lang w:val="bg-BG"/>
        </w:rPr>
        <w:t>няма радикално влияние върху по</w:t>
      </w:r>
      <w:r w:rsidR="003601F6">
        <w:rPr>
          <w:lang w:val="bg-BG"/>
        </w:rPr>
        <w:t>-нататъшните изявления на Съда (</w:t>
      </w:r>
      <w:r w:rsidR="006968BC">
        <w:rPr>
          <w:lang w:val="bg-BG"/>
        </w:rPr>
        <w:t>изречението,</w:t>
      </w:r>
      <w:r w:rsidR="003601F6">
        <w:rPr>
          <w:lang w:val="bg-BG"/>
        </w:rPr>
        <w:t xml:space="preserve"> което следва в същия параграф, показва</w:t>
      </w:r>
      <w:r w:rsidR="007F7AC2">
        <w:rPr>
          <w:lang w:val="bg-BG"/>
        </w:rPr>
        <w:t xml:space="preserve">, че </w:t>
      </w:r>
      <w:r w:rsidR="005809BF">
        <w:rPr>
          <w:lang w:val="bg-BG"/>
        </w:rPr>
        <w:t xml:space="preserve">констатацията </w:t>
      </w:r>
      <w:r w:rsidR="007F7AC2">
        <w:rPr>
          <w:lang w:val="bg-BG"/>
        </w:rPr>
        <w:t>повлиява</w:t>
      </w:r>
      <w:r w:rsidR="003601F6">
        <w:rPr>
          <w:lang w:val="bg-BG"/>
        </w:rPr>
        <w:t xml:space="preserve"> стандартите, които ще се прилагат за установяване на съответствие с чл</w:t>
      </w:r>
      <w:r w:rsidR="005809BF">
        <w:rPr>
          <w:lang w:val="bg-BG"/>
        </w:rPr>
        <w:t>ен</w:t>
      </w:r>
      <w:r w:rsidR="003601F6">
        <w:rPr>
          <w:lang w:val="bg-BG"/>
        </w:rPr>
        <w:t xml:space="preserve"> 3, но не представлява пълно отрицание на материята на чл</w:t>
      </w:r>
      <w:r w:rsidR="005809BF">
        <w:rPr>
          <w:lang w:val="bg-BG"/>
        </w:rPr>
        <w:t>ен</w:t>
      </w:r>
      <w:r w:rsidR="003601F6">
        <w:rPr>
          <w:lang w:val="bg-BG"/>
        </w:rPr>
        <w:t xml:space="preserve"> 3 като съдържащ индивидуално право), е едн</w:t>
      </w:r>
      <w:r w:rsidR="005809BF">
        <w:rPr>
          <w:lang w:val="bg-BG"/>
        </w:rPr>
        <w:t>о</w:t>
      </w:r>
      <w:r w:rsidR="003601F6">
        <w:rPr>
          <w:lang w:val="bg-BG"/>
        </w:rPr>
        <w:t xml:space="preserve"> неясн</w:t>
      </w:r>
      <w:r w:rsidR="005809BF">
        <w:rPr>
          <w:lang w:val="bg-BG"/>
        </w:rPr>
        <w:t>о</w:t>
      </w:r>
      <w:r w:rsidR="003601F6">
        <w:rPr>
          <w:lang w:val="bg-BG"/>
        </w:rPr>
        <w:t xml:space="preserve"> </w:t>
      </w:r>
      <w:r w:rsidR="005809BF">
        <w:rPr>
          <w:lang w:val="bg-BG"/>
        </w:rPr>
        <w:t>обобщение</w:t>
      </w:r>
      <w:r w:rsidR="003601F6">
        <w:rPr>
          <w:lang w:val="bg-BG"/>
        </w:rPr>
        <w:t>, ко</w:t>
      </w:r>
      <w:r w:rsidR="005809BF">
        <w:rPr>
          <w:lang w:val="bg-BG"/>
        </w:rPr>
        <w:t>е</w:t>
      </w:r>
      <w:r w:rsidR="003601F6">
        <w:rPr>
          <w:lang w:val="bg-BG"/>
        </w:rPr>
        <w:t xml:space="preserve">то противоречи не само на историята </w:t>
      </w:r>
      <w:r w:rsidR="005809BF">
        <w:rPr>
          <w:lang w:val="bg-BG"/>
        </w:rPr>
        <w:t>на</w:t>
      </w:r>
      <w:r w:rsidR="003601F6">
        <w:rPr>
          <w:lang w:val="bg-BG"/>
        </w:rPr>
        <w:t xml:space="preserve"> създаване на протокола и на досегашната съдебна практика, но и на </w:t>
      </w:r>
      <w:r w:rsidR="005C5B7B">
        <w:rPr>
          <w:lang w:val="bg-BG"/>
        </w:rPr>
        <w:t xml:space="preserve">буквата на настоящото решение. Параграф 102 от него </w:t>
      </w:r>
      <w:r w:rsidR="000D2ED6">
        <w:rPr>
          <w:lang w:val="bg-BG"/>
        </w:rPr>
        <w:t xml:space="preserve">заявява с по-директна, но все пак отворена за интерпретации формулировка, че „Съдът е установил, че и тази разпоредба предполага индивидуални права, включително правото на глас и правото на човек да бъде избиран“. </w:t>
      </w:r>
      <w:r w:rsidR="003601F6">
        <w:rPr>
          <w:lang w:val="bg-BG"/>
        </w:rPr>
        <w:t xml:space="preserve"> </w:t>
      </w:r>
      <w:r w:rsidR="006968BC">
        <w:rPr>
          <w:lang w:val="bg-BG"/>
        </w:rPr>
        <w:t xml:space="preserve"> </w:t>
      </w:r>
    </w:p>
    <w:p w:rsidR="009A005F" w:rsidRPr="00867DFF" w:rsidRDefault="000D2ED6" w:rsidP="00867DFF">
      <w:pPr>
        <w:pStyle w:val="OpiPara"/>
        <w:rPr>
          <w:lang w:val="bg-BG"/>
        </w:rPr>
      </w:pPr>
      <w:r>
        <w:rPr>
          <w:lang w:val="bg-BG"/>
        </w:rPr>
        <w:t xml:space="preserve">Смятам, че независимо дали </w:t>
      </w:r>
      <w:r w:rsidRPr="00945ED6">
        <w:rPr>
          <w:lang w:val="bg-BG"/>
        </w:rPr>
        <w:t>чл</w:t>
      </w:r>
      <w:r w:rsidR="005809BF">
        <w:rPr>
          <w:lang w:val="bg-BG"/>
        </w:rPr>
        <w:t>ен</w:t>
      </w:r>
      <w:r w:rsidRPr="00945ED6">
        <w:rPr>
          <w:lang w:val="bg-BG"/>
        </w:rPr>
        <w:t xml:space="preserve"> 3 от Протокол № 1</w:t>
      </w:r>
      <w:r>
        <w:rPr>
          <w:lang w:val="bg-BG"/>
        </w:rPr>
        <w:t xml:space="preserve"> е „формулиран по събирателен и общ начин“</w:t>
      </w:r>
      <w:r w:rsidR="007F7AC2">
        <w:rPr>
          <w:lang w:val="bg-BG"/>
        </w:rPr>
        <w:t>,</w:t>
      </w:r>
      <w:r>
        <w:rPr>
          <w:lang w:val="bg-BG"/>
        </w:rPr>
        <w:t xml:space="preserve"> става ясно, че този член не просто</w:t>
      </w:r>
      <w:r w:rsidR="00D85496">
        <w:rPr>
          <w:lang w:val="bg-BG"/>
        </w:rPr>
        <w:t xml:space="preserve"> предпола</w:t>
      </w:r>
      <w:r w:rsidR="007F7AC2">
        <w:rPr>
          <w:lang w:val="bg-BG"/>
        </w:rPr>
        <w:t xml:space="preserve">га индивидуално право, а </w:t>
      </w:r>
      <w:r w:rsidR="005809BF" w:rsidRPr="00530E30">
        <w:rPr>
          <w:lang w:val="bg-BG"/>
        </w:rPr>
        <w:t>обезпечава</w:t>
      </w:r>
      <w:r w:rsidR="005809BF">
        <w:rPr>
          <w:lang w:val="bg-BG"/>
        </w:rPr>
        <w:t xml:space="preserve"> </w:t>
      </w:r>
      <w:r w:rsidR="00D85496">
        <w:rPr>
          <w:lang w:val="bg-BG"/>
        </w:rPr>
        <w:t xml:space="preserve">такова право. Авторите са имали за цел да обогатят Конвенцията с политическо </w:t>
      </w:r>
      <w:r w:rsidR="007F7AC2">
        <w:rPr>
          <w:lang w:val="bg-BG"/>
        </w:rPr>
        <w:t>право, не по-различно от останалите</w:t>
      </w:r>
      <w:r w:rsidR="00D85496">
        <w:rPr>
          <w:lang w:val="bg-BG"/>
        </w:rPr>
        <w:t xml:space="preserve"> индивидуални човешки права, които се съдържат в оригиналната Конвенция. </w:t>
      </w:r>
      <w:r w:rsidR="00280934" w:rsidRPr="00516F1F">
        <w:rPr>
          <w:lang w:val="bg-BG"/>
        </w:rPr>
        <w:t>Конвенцията определя, без изключение, индивидуалните права, по отношение на които техните носители имат правото да се позовават без дискриминация в отношенията си спрямо държавите по договора и институциите по Конвенцията</w:t>
      </w:r>
      <w:r w:rsidR="00DD39EE" w:rsidRPr="00516F1F">
        <w:rPr>
          <w:lang w:val="bg-BG"/>
        </w:rPr>
        <w:t xml:space="preserve">. </w:t>
      </w:r>
      <w:r w:rsidR="0080553C" w:rsidRPr="00516F1F">
        <w:rPr>
          <w:lang w:val="bg-BG"/>
        </w:rPr>
        <w:t>Следователно, без значение</w:t>
      </w:r>
      <w:r w:rsidR="0080553C">
        <w:rPr>
          <w:lang w:val="bg-BG"/>
        </w:rPr>
        <w:t xml:space="preserve"> какви други функции може да изпълнява, чл</w:t>
      </w:r>
      <w:r w:rsidR="00F224BC">
        <w:rPr>
          <w:lang w:val="bg-BG"/>
        </w:rPr>
        <w:t>ен</w:t>
      </w:r>
      <w:r w:rsidR="0080553C">
        <w:rPr>
          <w:lang w:val="bg-BG"/>
        </w:rPr>
        <w:t xml:space="preserve"> 3 </w:t>
      </w:r>
      <w:r w:rsidR="0080553C" w:rsidRPr="00530E30">
        <w:rPr>
          <w:i/>
          <w:lang w:val="bg-BG"/>
        </w:rPr>
        <w:t>предоставя</w:t>
      </w:r>
      <w:r w:rsidR="0080553C">
        <w:rPr>
          <w:lang w:val="bg-BG"/>
        </w:rPr>
        <w:t xml:space="preserve"> конкретно индивидуално право, което не </w:t>
      </w:r>
      <w:r w:rsidR="0080553C">
        <w:rPr>
          <w:lang w:val="bg-BG"/>
        </w:rPr>
        <w:lastRenderedPageBreak/>
        <w:t>се различа</w:t>
      </w:r>
      <w:r w:rsidR="00D116BF">
        <w:rPr>
          <w:lang w:val="bg-BG"/>
        </w:rPr>
        <w:t>ва качествено от всяко</w:t>
      </w:r>
      <w:r w:rsidR="007F7AC2">
        <w:rPr>
          <w:lang w:val="bg-BG"/>
        </w:rPr>
        <w:t xml:space="preserve"> друго право</w:t>
      </w:r>
      <w:r w:rsidR="0080553C">
        <w:rPr>
          <w:lang w:val="bg-BG"/>
        </w:rPr>
        <w:t xml:space="preserve">, </w:t>
      </w:r>
      <w:r w:rsidR="00F224BC">
        <w:rPr>
          <w:lang w:val="bg-BG"/>
        </w:rPr>
        <w:t xml:space="preserve">обезпечено </w:t>
      </w:r>
      <w:r w:rsidR="0080553C">
        <w:rPr>
          <w:lang w:val="bg-BG"/>
        </w:rPr>
        <w:t xml:space="preserve">от Конвенцията. Това заключение е в съгласие с най-често цитирания </w:t>
      </w:r>
      <w:r w:rsidR="00F224BC">
        <w:rPr>
          <w:lang w:val="bg-BG"/>
        </w:rPr>
        <w:t>пример</w:t>
      </w:r>
      <w:r w:rsidR="0080553C">
        <w:rPr>
          <w:lang w:val="bg-BG"/>
        </w:rPr>
        <w:t xml:space="preserve"> в нашата съдебна практика – решението по делото </w:t>
      </w:r>
      <w:r w:rsidR="0080553C" w:rsidRPr="00E17978">
        <w:rPr>
          <w:i/>
        </w:rPr>
        <w:t>Mathieu</w:t>
      </w:r>
      <w:r w:rsidR="0080553C" w:rsidRPr="00945ED6">
        <w:rPr>
          <w:i/>
          <w:lang w:val="bg-BG"/>
        </w:rPr>
        <w:t>-</w:t>
      </w:r>
      <w:r w:rsidR="0080553C" w:rsidRPr="00E17978">
        <w:rPr>
          <w:i/>
        </w:rPr>
        <w:t>Mohin</w:t>
      </w:r>
      <w:r w:rsidR="0080553C" w:rsidRPr="00945ED6">
        <w:rPr>
          <w:i/>
          <w:lang w:val="bg-BG"/>
        </w:rPr>
        <w:t xml:space="preserve"> </w:t>
      </w:r>
      <w:r w:rsidR="0080553C" w:rsidRPr="00E17978">
        <w:rPr>
          <w:i/>
        </w:rPr>
        <w:t>and</w:t>
      </w:r>
      <w:r w:rsidR="0080553C" w:rsidRPr="00945ED6">
        <w:rPr>
          <w:i/>
          <w:lang w:val="bg-BG"/>
        </w:rPr>
        <w:t xml:space="preserve"> </w:t>
      </w:r>
      <w:r w:rsidR="0080553C" w:rsidRPr="00E17978">
        <w:rPr>
          <w:i/>
        </w:rPr>
        <w:t>Clerfayt</w:t>
      </w:r>
      <w:r w:rsidR="0080553C" w:rsidRPr="00945ED6">
        <w:rPr>
          <w:i/>
          <w:lang w:val="bg-BG"/>
        </w:rPr>
        <w:t xml:space="preserve"> </w:t>
      </w:r>
      <w:r w:rsidR="0080553C" w:rsidRPr="00E17978">
        <w:rPr>
          <w:i/>
        </w:rPr>
        <w:t>v</w:t>
      </w:r>
      <w:r w:rsidR="0080553C" w:rsidRPr="00945ED6">
        <w:rPr>
          <w:i/>
          <w:lang w:val="bg-BG"/>
        </w:rPr>
        <w:t xml:space="preserve">. </w:t>
      </w:r>
      <w:r w:rsidR="0080553C" w:rsidRPr="00E17978">
        <w:rPr>
          <w:i/>
        </w:rPr>
        <w:t>Belgium</w:t>
      </w:r>
      <w:r w:rsidR="0080553C" w:rsidRPr="00945ED6">
        <w:rPr>
          <w:lang w:val="bg-BG"/>
        </w:rPr>
        <w:t xml:space="preserve"> (2 март 1987, §§ 49-50, </w:t>
      </w:r>
      <w:r w:rsidR="0080553C">
        <w:rPr>
          <w:lang w:val="bg-BG"/>
        </w:rPr>
        <w:t>Серия</w:t>
      </w:r>
      <w:r w:rsidR="0080553C" w:rsidRPr="00945ED6">
        <w:rPr>
          <w:lang w:val="bg-BG"/>
        </w:rPr>
        <w:t xml:space="preserve"> </w:t>
      </w:r>
      <w:r w:rsidR="0080553C" w:rsidRPr="00E17978">
        <w:t>A</w:t>
      </w:r>
      <w:r w:rsidR="0080553C" w:rsidRPr="00945ED6">
        <w:rPr>
          <w:lang w:val="bg-BG"/>
        </w:rPr>
        <w:t xml:space="preserve"> № 113), в което Съдът заявява,</w:t>
      </w:r>
      <w:r w:rsidR="0080553C" w:rsidRPr="00945ED6">
        <w:rPr>
          <w:i/>
          <w:lang w:val="bg-BG"/>
        </w:rPr>
        <w:t xml:space="preserve"> </w:t>
      </w:r>
      <w:r w:rsidR="0080553C" w:rsidRPr="00530E30">
        <w:rPr>
          <w:lang w:val="bg-BG"/>
        </w:rPr>
        <w:t>наред с всичко друго</w:t>
      </w:r>
      <w:r w:rsidR="0080553C" w:rsidRPr="00945ED6">
        <w:rPr>
          <w:lang w:val="bg-BG"/>
        </w:rPr>
        <w:t>:</w:t>
      </w:r>
      <w:r w:rsidR="0080553C">
        <w:rPr>
          <w:lang w:val="bg-BG"/>
        </w:rPr>
        <w:t xml:space="preserve">  </w:t>
      </w:r>
    </w:p>
    <w:p w:rsidR="00867DFF" w:rsidRPr="00E51E06" w:rsidRDefault="001E64DA" w:rsidP="00867DFF">
      <w:pPr>
        <w:pStyle w:val="OpiQuot"/>
        <w:rPr>
          <w:lang w:val="bg-BG"/>
        </w:rPr>
      </w:pPr>
      <w:r>
        <w:rPr>
          <w:lang w:val="bg-BG"/>
        </w:rPr>
        <w:t>„</w:t>
      </w:r>
      <w:r w:rsidR="00867DFF" w:rsidRPr="00126EB2">
        <w:rPr>
          <w:lang w:val="bg-BG"/>
        </w:rPr>
        <w:t>49.</w:t>
      </w:r>
      <w:r w:rsidR="00867DFF" w:rsidRPr="00E17978">
        <w:t> </w:t>
      </w:r>
      <w:r w:rsidR="00867DFF">
        <w:rPr>
          <w:lang w:val="bg-BG"/>
        </w:rPr>
        <w:t xml:space="preserve">Подобна ограничаваща интерпретация </w:t>
      </w:r>
      <w:r w:rsidR="00867DFF" w:rsidRPr="00126EB2">
        <w:rPr>
          <w:lang w:val="bg-BG"/>
        </w:rPr>
        <w:t>[</w:t>
      </w:r>
      <w:r w:rsidR="00867DFF">
        <w:rPr>
          <w:lang w:val="bg-BG"/>
        </w:rPr>
        <w:t>че чл</w:t>
      </w:r>
      <w:r>
        <w:rPr>
          <w:lang w:val="bg-BG"/>
        </w:rPr>
        <w:t>ен</w:t>
      </w:r>
      <w:r w:rsidR="00867DFF">
        <w:rPr>
          <w:lang w:val="bg-BG"/>
        </w:rPr>
        <w:t xml:space="preserve"> 3 не дава основание за индивидуално право</w:t>
      </w:r>
      <w:r w:rsidR="00867DFF" w:rsidRPr="00126EB2">
        <w:rPr>
          <w:lang w:val="bg-BG"/>
        </w:rPr>
        <w:t>]</w:t>
      </w:r>
      <w:r w:rsidR="00867DFF">
        <w:rPr>
          <w:lang w:val="bg-BG"/>
        </w:rPr>
        <w:t xml:space="preserve"> не е редна. Според неговия преамбюл, Протокол </w:t>
      </w:r>
      <w:r w:rsidR="00867DFF" w:rsidRPr="00945ED6">
        <w:rPr>
          <w:lang w:val="bg-BG"/>
        </w:rPr>
        <w:t>№ 1</w:t>
      </w:r>
      <w:r w:rsidR="00867DFF">
        <w:rPr>
          <w:lang w:val="bg-BG"/>
        </w:rPr>
        <w:t xml:space="preserve"> гарантира „</w:t>
      </w:r>
      <w:r>
        <w:rPr>
          <w:lang w:val="bg-BG"/>
        </w:rPr>
        <w:t>действия за осигуряването на колективни гаранции за</w:t>
      </w:r>
      <w:r w:rsidR="00867DFF">
        <w:rPr>
          <w:lang w:val="bg-BG"/>
        </w:rPr>
        <w:t xml:space="preserve"> </w:t>
      </w:r>
      <w:r>
        <w:rPr>
          <w:lang w:val="bg-BG"/>
        </w:rPr>
        <w:t>някои други</w:t>
      </w:r>
      <w:r w:rsidR="00867DFF">
        <w:rPr>
          <w:lang w:val="bg-BG"/>
        </w:rPr>
        <w:t xml:space="preserve"> права и свободи </w:t>
      </w:r>
      <w:r>
        <w:rPr>
          <w:lang w:val="bg-BG"/>
        </w:rPr>
        <w:t xml:space="preserve">освен включените </w:t>
      </w:r>
      <w:r w:rsidR="00867DFF">
        <w:rPr>
          <w:lang w:val="bg-BG"/>
        </w:rPr>
        <w:t>вече</w:t>
      </w:r>
      <w:r w:rsidR="006C4A32">
        <w:rPr>
          <w:lang w:val="bg-BG"/>
        </w:rPr>
        <w:t xml:space="preserve"> </w:t>
      </w:r>
      <w:r w:rsidR="00867DFF">
        <w:rPr>
          <w:lang w:val="bg-BG"/>
        </w:rPr>
        <w:t xml:space="preserve">в </w:t>
      </w:r>
      <w:r w:rsidR="006C4A32">
        <w:rPr>
          <w:lang w:val="bg-BG"/>
        </w:rPr>
        <w:t>Част</w:t>
      </w:r>
      <w:r w:rsidR="00867DFF">
        <w:rPr>
          <w:lang w:val="bg-BG"/>
        </w:rPr>
        <w:t xml:space="preserve"> </w:t>
      </w:r>
      <w:r w:rsidR="006C4A32">
        <w:rPr>
          <w:lang w:val="en-US"/>
        </w:rPr>
        <w:t>I</w:t>
      </w:r>
      <w:r w:rsidR="00867DFF" w:rsidRPr="00945ED6">
        <w:rPr>
          <w:lang w:val="bg-BG"/>
        </w:rPr>
        <w:t xml:space="preserve"> </w:t>
      </w:r>
      <w:r w:rsidR="006C4A32">
        <w:rPr>
          <w:lang w:val="bg-BG"/>
        </w:rPr>
        <w:t>на</w:t>
      </w:r>
      <w:r w:rsidR="00867DFF">
        <w:rPr>
          <w:lang w:val="bg-BG"/>
        </w:rPr>
        <w:t xml:space="preserve"> Конвенцията“; освен това чл</w:t>
      </w:r>
      <w:r w:rsidR="006C4A32">
        <w:rPr>
          <w:lang w:val="bg-BG"/>
        </w:rPr>
        <w:t>ен</w:t>
      </w:r>
      <w:r w:rsidR="00867DFF">
        <w:rPr>
          <w:lang w:val="bg-BG"/>
        </w:rPr>
        <w:t xml:space="preserve"> 5 от Протокола постановява: „</w:t>
      </w:r>
      <w:r w:rsidR="00867DFF" w:rsidRPr="00E51E06">
        <w:rPr>
          <w:lang w:val="bg-BG"/>
        </w:rPr>
        <w:t xml:space="preserve">между Високодоговарящите </w:t>
      </w:r>
      <w:r w:rsidR="006C4A32">
        <w:rPr>
          <w:lang w:val="bg-BG"/>
        </w:rPr>
        <w:t>страни</w:t>
      </w:r>
      <w:r w:rsidR="006C4A32" w:rsidRPr="00E51E06">
        <w:rPr>
          <w:lang w:val="bg-BG"/>
        </w:rPr>
        <w:t xml:space="preserve"> </w:t>
      </w:r>
      <w:r w:rsidR="006C4A32">
        <w:rPr>
          <w:lang w:val="bg-BG"/>
        </w:rPr>
        <w:t xml:space="preserve">е считат </w:t>
      </w:r>
      <w:r w:rsidR="00867DFF" w:rsidRPr="00E51E06">
        <w:rPr>
          <w:lang w:val="bg-BG"/>
        </w:rPr>
        <w:t>разпоредбите на чл</w:t>
      </w:r>
      <w:r w:rsidR="006C4A32">
        <w:rPr>
          <w:lang w:val="bg-BG"/>
        </w:rPr>
        <w:t>енове</w:t>
      </w:r>
      <w:r w:rsidR="00867DFF" w:rsidRPr="00E51E06">
        <w:rPr>
          <w:lang w:val="bg-BG"/>
        </w:rPr>
        <w:t xml:space="preserve"> 1, 2, 3 и 4 ... </w:t>
      </w:r>
      <w:r w:rsidR="006C4A32">
        <w:rPr>
          <w:lang w:val="bg-BG"/>
        </w:rPr>
        <w:t xml:space="preserve">като </w:t>
      </w:r>
      <w:r w:rsidR="00867DFF" w:rsidRPr="00E51E06">
        <w:rPr>
          <w:lang w:val="bg-BG"/>
        </w:rPr>
        <w:t xml:space="preserve">допълнителни членове </w:t>
      </w:r>
      <w:r w:rsidR="006C4A32">
        <w:rPr>
          <w:lang w:val="bg-BG"/>
        </w:rPr>
        <w:t>на</w:t>
      </w:r>
      <w:r w:rsidR="006C4A32" w:rsidRPr="00E51E06">
        <w:rPr>
          <w:lang w:val="bg-BG"/>
        </w:rPr>
        <w:t xml:space="preserve"> </w:t>
      </w:r>
      <w:r w:rsidR="00867DFF" w:rsidRPr="00E51E06">
        <w:rPr>
          <w:lang w:val="bg-BG"/>
        </w:rPr>
        <w:t>Конвенцията“, като всички нейни разпоредби – включително чл</w:t>
      </w:r>
      <w:r w:rsidR="006C4A32">
        <w:rPr>
          <w:lang w:val="bg-BG"/>
        </w:rPr>
        <w:t>ен</w:t>
      </w:r>
      <w:r w:rsidR="00867DFF" w:rsidRPr="00E51E06">
        <w:rPr>
          <w:lang w:val="bg-BG"/>
        </w:rPr>
        <w:t xml:space="preserve"> 25 – „се прилагат </w:t>
      </w:r>
      <w:r w:rsidR="006C4A32">
        <w:rPr>
          <w:lang w:val="bg-BG"/>
        </w:rPr>
        <w:t>съответно</w:t>
      </w:r>
      <w:r w:rsidR="00867DFF" w:rsidRPr="00E51E06">
        <w:rPr>
          <w:lang w:val="bg-BG"/>
        </w:rPr>
        <w:t>“. Още повече че преамбюлът на Протокол № 4 се отнася, наред с всичко друго, към „правата и свободите“, защитени в „чл</w:t>
      </w:r>
      <w:r w:rsidR="006C4A32">
        <w:rPr>
          <w:lang w:val="bg-BG"/>
        </w:rPr>
        <w:t>енове</w:t>
      </w:r>
      <w:r w:rsidR="00867DFF" w:rsidRPr="00E51E06">
        <w:rPr>
          <w:lang w:val="bg-BG"/>
        </w:rPr>
        <w:t xml:space="preserve"> 1 до 3“ от Протокол № 1. </w:t>
      </w:r>
    </w:p>
    <w:p w:rsidR="00867DFF" w:rsidRPr="00867DFF" w:rsidRDefault="00867DFF" w:rsidP="00867DFF">
      <w:pPr>
        <w:pStyle w:val="OpiQuot"/>
        <w:rPr>
          <w:lang w:val="bg-BG"/>
        </w:rPr>
      </w:pPr>
      <w:r w:rsidRPr="00E51E06">
        <w:rPr>
          <w:lang w:val="bg-BG"/>
        </w:rPr>
        <w:t>Подготвителната работа по Протокол № 1 също не разкрива намерение да се изключи действието на правото на индивидуална жалба по отношение на чл</w:t>
      </w:r>
      <w:r w:rsidR="00897F2A">
        <w:rPr>
          <w:lang w:val="bg-BG"/>
        </w:rPr>
        <w:t>ен</w:t>
      </w:r>
      <w:r w:rsidRPr="00E51E06">
        <w:rPr>
          <w:lang w:val="bg-BG"/>
        </w:rPr>
        <w:t xml:space="preserve"> 3; от друга страна дълго </w:t>
      </w:r>
      <w:r w:rsidR="00897F2A">
        <w:rPr>
          <w:lang w:val="bg-BG"/>
        </w:rPr>
        <w:t>разискваната</w:t>
      </w:r>
      <w:r w:rsidRPr="00E51E06">
        <w:rPr>
          <w:lang w:val="bg-BG"/>
        </w:rPr>
        <w:t xml:space="preserve"> идея тази тема да не се включва в юрисдикцията на Съда, в крайна сметка е изоставена. Подготвителната работа често </w:t>
      </w:r>
      <w:r w:rsidR="00E51E06" w:rsidRPr="00E51E06">
        <w:rPr>
          <w:lang w:val="bg-BG"/>
        </w:rPr>
        <w:t xml:space="preserve">се позовава и на </w:t>
      </w:r>
      <w:r w:rsidRPr="00E51E06">
        <w:rPr>
          <w:lang w:val="bg-BG"/>
        </w:rPr>
        <w:t>„политическа свобода“, „политически права“, „политическите права и свободи на индивида</w:t>
      </w:r>
      <w:r>
        <w:rPr>
          <w:lang w:val="bg-BG"/>
        </w:rPr>
        <w:t xml:space="preserve">“, „правото на свободни избори“ и „правото на избор“. </w:t>
      </w:r>
    </w:p>
    <w:p w:rsidR="00867DFF" w:rsidRPr="00945ED6" w:rsidRDefault="00867DFF" w:rsidP="00867DFF">
      <w:pPr>
        <w:pStyle w:val="OpiQuot"/>
        <w:rPr>
          <w:lang w:val="bg-BG"/>
        </w:rPr>
      </w:pPr>
      <w:r w:rsidRPr="00945ED6">
        <w:rPr>
          <w:lang w:val="bg-BG"/>
        </w:rPr>
        <w:t>50.</w:t>
      </w:r>
      <w:r w:rsidRPr="00E17978">
        <w:t> </w:t>
      </w:r>
      <w:r>
        <w:rPr>
          <w:lang w:val="bg-BG"/>
        </w:rPr>
        <w:t>Съответно – и явилите се пред Съда постигат съгласие по тази точка – вътрешнодържавното преиначаване на текста на чл</w:t>
      </w:r>
      <w:r w:rsidR="008D6D42">
        <w:rPr>
          <w:lang w:val="bg-BG"/>
        </w:rPr>
        <w:t>ен</w:t>
      </w:r>
      <w:r>
        <w:rPr>
          <w:lang w:val="bg-BG"/>
        </w:rPr>
        <w:t xml:space="preserve"> 3 не отразява разлика в същината с останалите съществени клаузи в Конвенцията и протоколите. Изглежда причината за това е по-скоро в желанието да се придаде повече </w:t>
      </w:r>
      <w:r w:rsidR="008D6D42">
        <w:rPr>
          <w:lang w:val="bg-BG"/>
        </w:rPr>
        <w:t xml:space="preserve">тежест </w:t>
      </w:r>
      <w:r>
        <w:rPr>
          <w:lang w:val="bg-BG"/>
        </w:rPr>
        <w:t xml:space="preserve">на поетия ангажимент и във факта, че основното задължение във въпросната сфера не е задължение за въздържане или ненамеса, както при повечето граждански и политически права, а е задължение, според което държавата трябва да въведе позитивни мерки за „провеждането“ на демократични избори.“    </w:t>
      </w:r>
      <w:r w:rsidRPr="00E17978">
        <w:t> </w:t>
      </w:r>
    </w:p>
    <w:p w:rsidR="00867DFF" w:rsidRPr="00AD06A5" w:rsidRDefault="00867DFF" w:rsidP="00867DFF">
      <w:pPr>
        <w:pStyle w:val="OpiPara"/>
        <w:rPr>
          <w:lang w:val="bg-BG"/>
        </w:rPr>
      </w:pPr>
      <w:r>
        <w:rPr>
          <w:lang w:val="bg-BG"/>
        </w:rPr>
        <w:t xml:space="preserve">Що се отнася до становището на мнозинството по конкретния случай, който стои пред нас, основната ми забележка засяга естеството на функциите на един парламентарист в демократичното общество. В параграф 117 от решението Съдът правилно изтъква, че „критерият за политическа лоялност, който може да се прилага по отношение на държавни служители, почти няма връзка с обстоятелствата по настоящото дело. То разглежда съвсем различен въпрос, а именно допустимостта отделни лица да се кандидатират за членове на парламента. Критерият за „политически неутралитет“ не може да се прилага по отношение на парламентарните членове по същия начин, по който се отнася към други държавни служители, тъй като първите по дефиниция не могат да бъдат „политически неутрални“.“  </w:t>
      </w:r>
    </w:p>
    <w:p w:rsidR="00867DFF" w:rsidRPr="00867DFF" w:rsidRDefault="00867DFF" w:rsidP="00DD39EE">
      <w:pPr>
        <w:pStyle w:val="OpiPara"/>
        <w:rPr>
          <w:lang w:val="bg-BG"/>
        </w:rPr>
        <w:sectPr w:rsidR="00867DFF" w:rsidRPr="00867DFF" w:rsidSect="000054E5">
          <w:headerReference w:type="default" r:id="rId25"/>
          <w:footerReference w:type="default" r:id="rId26"/>
          <w:footnotePr>
            <w:numRestart w:val="eachPage"/>
          </w:footnotePr>
          <w:pgSz w:w="11906" w:h="16838" w:code="9"/>
          <w:pgMar w:top="2274" w:right="2274" w:bottom="2274" w:left="2274" w:header="1701" w:footer="720" w:gutter="0"/>
          <w:cols w:space="720"/>
          <w:docGrid w:linePitch="326"/>
        </w:sectPr>
      </w:pPr>
    </w:p>
    <w:p w:rsidR="00DF29FF" w:rsidRPr="00AD06A5" w:rsidRDefault="00AD06A5" w:rsidP="00DD39EE">
      <w:pPr>
        <w:pStyle w:val="OpiPara"/>
        <w:rPr>
          <w:lang w:val="bg-BG"/>
        </w:rPr>
      </w:pPr>
      <w:r>
        <w:rPr>
          <w:lang w:val="bg-BG"/>
        </w:rPr>
        <w:lastRenderedPageBreak/>
        <w:t>Вярно е</w:t>
      </w:r>
      <w:r w:rsidR="00657DF5">
        <w:rPr>
          <w:lang w:val="bg-BG"/>
        </w:rPr>
        <w:t xml:space="preserve">, че ролята на парламентариста е съвсем различна от всички останали роли, свързани с обществените дела, включително </w:t>
      </w:r>
      <w:r w:rsidR="005F5F33">
        <w:rPr>
          <w:lang w:val="bg-BG"/>
        </w:rPr>
        <w:t xml:space="preserve">тази на </w:t>
      </w:r>
      <w:r w:rsidR="00657DF5">
        <w:rPr>
          <w:lang w:val="bg-BG"/>
        </w:rPr>
        <w:t>членовете на изпълнителната власт, когато упражняват административната си функция. В една представителна демокрация парламентаристите</w:t>
      </w:r>
      <w:r w:rsidR="007F7AC2">
        <w:rPr>
          <w:lang w:val="bg-BG"/>
        </w:rPr>
        <w:t xml:space="preserve"> по дефиниция представляват </w:t>
      </w:r>
      <w:r w:rsidR="00657DF5">
        <w:rPr>
          <w:lang w:val="bg-BG"/>
        </w:rPr>
        <w:t>мненията и позициите на своите избиратели – т.е. на онези, които с</w:t>
      </w:r>
      <w:r w:rsidR="007F7AC2">
        <w:rPr>
          <w:lang w:val="bg-BG"/>
        </w:rPr>
        <w:t>а гласували за тях. И</w:t>
      </w:r>
      <w:r w:rsidR="00657DF5">
        <w:rPr>
          <w:lang w:val="bg-BG"/>
        </w:rPr>
        <w:t xml:space="preserve">зразяват мнения и позиции </w:t>
      </w:r>
      <w:r w:rsidR="007F7AC2">
        <w:rPr>
          <w:lang w:val="bg-BG"/>
        </w:rPr>
        <w:t xml:space="preserve">от тяхно име </w:t>
      </w:r>
      <w:r w:rsidR="00657DF5">
        <w:rPr>
          <w:lang w:val="bg-BG"/>
        </w:rPr>
        <w:t xml:space="preserve">както в рамките на Парламента, така и извън него </w:t>
      </w:r>
      <w:r w:rsidR="005F5F33">
        <w:rPr>
          <w:lang w:val="bg-BG"/>
        </w:rPr>
        <w:t>и</w:t>
      </w:r>
      <w:r w:rsidR="00657DF5">
        <w:rPr>
          <w:lang w:val="bg-BG"/>
        </w:rPr>
        <w:t xml:space="preserve"> теоретично </w:t>
      </w:r>
      <w:r w:rsidR="007F7AC2">
        <w:rPr>
          <w:lang w:val="bg-BG"/>
        </w:rPr>
        <w:t>действат от тяхно име</w:t>
      </w:r>
      <w:r w:rsidR="00CA27D3">
        <w:rPr>
          <w:lang w:val="bg-BG"/>
        </w:rPr>
        <w:t xml:space="preserve"> в една система, която по дефиниция не е пряка демокрация.</w:t>
      </w:r>
      <w:r w:rsidR="00657DF5">
        <w:rPr>
          <w:lang w:val="bg-BG"/>
        </w:rPr>
        <w:t xml:space="preserve"> </w:t>
      </w:r>
      <w:r w:rsidR="00DF29FF">
        <w:rPr>
          <w:lang w:val="bg-BG"/>
        </w:rPr>
        <w:t>Очевидно е, че в такава система на представителна демокрация не всеки</w:t>
      </w:r>
      <w:r w:rsidR="0074110D" w:rsidRPr="00945ED6">
        <w:rPr>
          <w:lang w:val="bg-BG"/>
        </w:rPr>
        <w:t xml:space="preserve"> </w:t>
      </w:r>
      <w:r w:rsidR="007752D0">
        <w:rPr>
          <w:lang w:val="bg-BG"/>
        </w:rPr>
        <w:t>мо</w:t>
      </w:r>
      <w:r w:rsidR="003F603F">
        <w:rPr>
          <w:lang w:val="bg-BG"/>
        </w:rPr>
        <w:t>же да претендира</w:t>
      </w:r>
      <w:r w:rsidR="00E54D5F">
        <w:rPr>
          <w:lang w:val="bg-BG"/>
        </w:rPr>
        <w:t>, че</w:t>
      </w:r>
      <w:r w:rsidR="007752D0">
        <w:rPr>
          <w:lang w:val="bg-BG"/>
        </w:rPr>
        <w:t xml:space="preserve"> представлява </w:t>
      </w:r>
      <w:r w:rsidR="00E54D5F">
        <w:rPr>
          <w:lang w:val="bg-BG"/>
        </w:rPr>
        <w:t>останалите</w:t>
      </w:r>
      <w:r w:rsidR="00CF5977">
        <w:rPr>
          <w:lang w:val="bg-BG"/>
        </w:rPr>
        <w:t xml:space="preserve"> по достатъчно правилен начин</w:t>
      </w:r>
      <w:r w:rsidR="007752D0">
        <w:rPr>
          <w:lang w:val="bg-BG"/>
        </w:rPr>
        <w:t>. Съществуват поне две предпазни мерки, които осигуряват пряка отчетност на парламентаристите, за да е сигурно, че изразяват правилно</w:t>
      </w:r>
      <w:r w:rsidR="00E137C0">
        <w:rPr>
          <w:lang w:val="bg-BG"/>
        </w:rPr>
        <w:t xml:space="preserve"> желанията на своите избиратели</w:t>
      </w:r>
      <w:r w:rsidR="007752D0">
        <w:rPr>
          <w:lang w:val="bg-BG"/>
        </w:rPr>
        <w:t xml:space="preserve">: първо, предпазният клапан на демократичния избор (кандидатите се избират въз основа на техните личностни качества, идеи и мнения – такива, каквито са ги представили пред обществото преди изборите) и второ, предпазният клапан на следизборния контрол: ако избраният представител не отговаря </w:t>
      </w:r>
      <w:r w:rsidR="00E137C0">
        <w:rPr>
          <w:lang w:val="bg-BG"/>
        </w:rPr>
        <w:t>на очакванията на своите избиратели</w:t>
      </w:r>
      <w:r w:rsidR="007752D0">
        <w:rPr>
          <w:lang w:val="bg-BG"/>
        </w:rPr>
        <w:t>, вероятно ще загуби доверие</w:t>
      </w:r>
      <w:r w:rsidR="00E137C0">
        <w:rPr>
          <w:lang w:val="bg-BG"/>
        </w:rPr>
        <w:t>то им</w:t>
      </w:r>
      <w:r w:rsidR="007752D0">
        <w:rPr>
          <w:lang w:val="bg-BG"/>
        </w:rPr>
        <w:t xml:space="preserve"> и в крайна сметка ще загуби </w:t>
      </w:r>
      <w:r w:rsidR="00E137C0">
        <w:rPr>
          <w:lang w:val="bg-BG"/>
        </w:rPr>
        <w:t xml:space="preserve">и </w:t>
      </w:r>
      <w:r w:rsidR="007752D0">
        <w:rPr>
          <w:lang w:val="bg-BG"/>
        </w:rPr>
        <w:t>мястото си в</w:t>
      </w:r>
      <w:r w:rsidR="00730013">
        <w:rPr>
          <w:lang w:val="bg-BG"/>
        </w:rPr>
        <w:t xml:space="preserve"> п</w:t>
      </w:r>
      <w:r w:rsidR="007752D0">
        <w:rPr>
          <w:lang w:val="bg-BG"/>
        </w:rPr>
        <w:t>арламента.</w:t>
      </w:r>
      <w:r w:rsidR="00DF29FF">
        <w:rPr>
          <w:lang w:val="bg-BG"/>
        </w:rPr>
        <w:t xml:space="preserve"> </w:t>
      </w:r>
    </w:p>
    <w:p w:rsidR="007752D0" w:rsidRDefault="007752D0" w:rsidP="00DD39EE">
      <w:pPr>
        <w:pStyle w:val="OpiPara"/>
        <w:rPr>
          <w:lang w:val="bg-BG"/>
        </w:rPr>
      </w:pPr>
      <w:r>
        <w:rPr>
          <w:lang w:val="bg-BG"/>
        </w:rPr>
        <w:t xml:space="preserve">Избирането на парламентаристи, които да изразяват </w:t>
      </w:r>
      <w:r w:rsidR="00E137C0">
        <w:rPr>
          <w:lang w:val="bg-BG"/>
        </w:rPr>
        <w:t xml:space="preserve">очакванията на своите избиратели, стои в основата на представителната демокрация, без значение какви са конкретните мнения и колко неприятни са те за други слоеве на обществото. В една система на разумно демократично управление критерият за </w:t>
      </w:r>
      <w:r w:rsidR="002A783E">
        <w:rPr>
          <w:lang w:val="bg-BG"/>
        </w:rPr>
        <w:t>допустимост</w:t>
      </w:r>
      <w:r w:rsidR="00E137C0">
        <w:rPr>
          <w:lang w:val="bg-BG"/>
        </w:rPr>
        <w:t xml:space="preserve"> не може да се определя от това дали политикът изразява идеи, които изглеждат приемливи за преобладав</w:t>
      </w:r>
      <w:r w:rsidR="00730013">
        <w:rPr>
          <w:lang w:val="bg-BG"/>
        </w:rPr>
        <w:t>а</w:t>
      </w:r>
      <w:r w:rsidR="00E137C0">
        <w:rPr>
          <w:lang w:val="bg-BG"/>
        </w:rPr>
        <w:t xml:space="preserve">щата част от политическия спектър или лоялни по отношение на установените от </w:t>
      </w:r>
      <w:r w:rsidR="00E137C0" w:rsidRPr="00245C70">
        <w:rPr>
          <w:lang w:val="bg-BG"/>
        </w:rPr>
        <w:t>държавата и обществото идеологии, а трябва да се определя от реалната представителност н</w:t>
      </w:r>
      <w:r w:rsidR="00943B44" w:rsidRPr="00245C70">
        <w:rPr>
          <w:lang w:val="bg-BG"/>
        </w:rPr>
        <w:t>а идеите, дори да е по отношение на много малък сег</w:t>
      </w:r>
      <w:r w:rsidR="00E137C0" w:rsidRPr="00245C70">
        <w:rPr>
          <w:lang w:val="bg-BG"/>
        </w:rPr>
        <w:t>мент от обществото.</w:t>
      </w:r>
      <w:r w:rsidR="002A783E" w:rsidRPr="00245C70">
        <w:rPr>
          <w:lang w:val="bg-BG"/>
        </w:rPr>
        <w:t xml:space="preserve"> Съответно</w:t>
      </w:r>
      <w:r w:rsidR="002A783E">
        <w:rPr>
          <w:lang w:val="bg-BG"/>
        </w:rPr>
        <w:t>, ако на един политик не се позволява да представлява идеите на част от обществото, не страда само той; страда и електоратът, страда и демокрацията.</w:t>
      </w:r>
      <w:r w:rsidR="00E137C0">
        <w:rPr>
          <w:lang w:val="bg-BG"/>
        </w:rPr>
        <w:t xml:space="preserve">  </w:t>
      </w:r>
    </w:p>
    <w:p w:rsidR="002A783E" w:rsidRPr="007752D0" w:rsidRDefault="002A783E" w:rsidP="00DD39EE">
      <w:pPr>
        <w:pStyle w:val="OpiPara"/>
        <w:rPr>
          <w:lang w:val="bg-BG"/>
        </w:rPr>
      </w:pPr>
      <w:r>
        <w:rPr>
          <w:lang w:val="bg-BG"/>
        </w:rPr>
        <w:t xml:space="preserve">Поради тези причини, забрана за кандидатиране на избори трябва да се въвежда само в много крайни случаи и трябва да бъде много внимателно дефинирана. Разбира се разбираемо е държавата да въведе условия за допустимост от техническо естество, като например тези, посочени в съдебната практика на Конвенцията и </w:t>
      </w:r>
      <w:r w:rsidR="001B2394">
        <w:rPr>
          <w:lang w:val="bg-BG"/>
        </w:rPr>
        <w:t>взети предвид в някои</w:t>
      </w:r>
      <w:r>
        <w:rPr>
          <w:lang w:val="bg-BG"/>
        </w:rPr>
        <w:t xml:space="preserve"> дела, които вече са били разглеждани от институциите в Страсбург (вж</w:t>
      </w:r>
      <w:r w:rsidR="00E34ACD">
        <w:rPr>
          <w:lang w:val="bg-BG"/>
        </w:rPr>
        <w:t>.</w:t>
      </w:r>
      <w:r>
        <w:rPr>
          <w:lang w:val="bg-BG"/>
        </w:rPr>
        <w:t xml:space="preserve"> параграфи 103 и сл. от решението).</w:t>
      </w:r>
      <w:r w:rsidR="001B2394">
        <w:rPr>
          <w:lang w:val="bg-BG"/>
        </w:rPr>
        <w:t xml:space="preserve"> Разбираемо е също така, че в определени, много изключителни обстоятелства самата защита на основните ценности на демокрацията може да налага забрана за упражняване на правата, съдържащи се в </w:t>
      </w:r>
      <w:r w:rsidR="001B2394" w:rsidRPr="00945ED6">
        <w:rPr>
          <w:lang w:val="bg-BG"/>
        </w:rPr>
        <w:t>чл</w:t>
      </w:r>
      <w:r w:rsidR="00E34ACD">
        <w:rPr>
          <w:lang w:val="bg-BG"/>
        </w:rPr>
        <w:t>ен</w:t>
      </w:r>
      <w:r w:rsidR="001B2394" w:rsidRPr="00945ED6">
        <w:rPr>
          <w:lang w:val="bg-BG"/>
        </w:rPr>
        <w:t xml:space="preserve"> 3 от Протокол № 1. </w:t>
      </w:r>
      <w:r w:rsidR="001B2394">
        <w:rPr>
          <w:lang w:val="bg-BG"/>
        </w:rPr>
        <w:t xml:space="preserve">Но при такива обстоятелства държавата, разбира се, не може да избяга от </w:t>
      </w:r>
      <w:r w:rsidR="001B2394">
        <w:rPr>
          <w:lang w:val="bg-BG"/>
        </w:rPr>
        <w:lastRenderedPageBreak/>
        <w:t xml:space="preserve">контрола на органите на Конвенцията </w:t>
      </w:r>
      <w:r w:rsidR="00E34ACD">
        <w:rPr>
          <w:lang w:val="bg-BG"/>
        </w:rPr>
        <w:t>–</w:t>
      </w:r>
      <w:r w:rsidR="001B2394">
        <w:rPr>
          <w:lang w:val="bg-BG"/>
        </w:rPr>
        <w:t xml:space="preserve"> те трябва внимателно да очертаят границите, в които държавата е свободна да ограничи пасивното право на политици или политически партии да бъдат изб</w:t>
      </w:r>
      <w:r w:rsidR="00943B44">
        <w:rPr>
          <w:lang w:val="bg-BG"/>
        </w:rPr>
        <w:t>и</w:t>
      </w:r>
      <w:r w:rsidR="001B2394">
        <w:rPr>
          <w:lang w:val="bg-BG"/>
        </w:rPr>
        <w:t xml:space="preserve">рани.   </w:t>
      </w:r>
      <w:r>
        <w:rPr>
          <w:lang w:val="bg-BG"/>
        </w:rPr>
        <w:t xml:space="preserve">  </w:t>
      </w:r>
    </w:p>
    <w:p w:rsidR="001347F5" w:rsidRDefault="001B2394" w:rsidP="00DD39EE">
      <w:pPr>
        <w:pStyle w:val="OpiPara"/>
        <w:rPr>
          <w:lang w:val="bg-BG"/>
        </w:rPr>
      </w:pPr>
      <w:r>
        <w:rPr>
          <w:lang w:val="bg-BG"/>
        </w:rPr>
        <w:t xml:space="preserve">Във връзка с това решението на Съда по делото </w:t>
      </w:r>
      <w:r w:rsidRPr="00E17978">
        <w:rPr>
          <w:i/>
        </w:rPr>
        <w:t>Refah</w:t>
      </w:r>
      <w:r w:rsidRPr="00945ED6">
        <w:rPr>
          <w:i/>
          <w:lang w:val="bg-BG"/>
        </w:rPr>
        <w:t xml:space="preserve"> </w:t>
      </w:r>
      <w:r w:rsidRPr="00E17978">
        <w:rPr>
          <w:i/>
        </w:rPr>
        <w:t>Partisi</w:t>
      </w:r>
      <w:r w:rsidRPr="00945ED6">
        <w:rPr>
          <w:i/>
          <w:lang w:val="bg-BG"/>
        </w:rPr>
        <w:t xml:space="preserve"> (</w:t>
      </w:r>
      <w:r>
        <w:rPr>
          <w:i/>
        </w:rPr>
        <w:t>the</w:t>
      </w:r>
      <w:r w:rsidRPr="00945ED6">
        <w:rPr>
          <w:i/>
          <w:lang w:val="bg-BG"/>
        </w:rPr>
        <w:t xml:space="preserve"> </w:t>
      </w:r>
      <w:r>
        <w:rPr>
          <w:i/>
        </w:rPr>
        <w:t>Welfare</w:t>
      </w:r>
      <w:r w:rsidRPr="00945ED6">
        <w:rPr>
          <w:i/>
          <w:lang w:val="bg-BG"/>
        </w:rPr>
        <w:t xml:space="preserve"> </w:t>
      </w:r>
      <w:r>
        <w:rPr>
          <w:i/>
        </w:rPr>
        <w:t>Party</w:t>
      </w:r>
      <w:r w:rsidRPr="00945ED6">
        <w:rPr>
          <w:i/>
          <w:lang w:val="bg-BG"/>
        </w:rPr>
        <w:t xml:space="preserve">) </w:t>
      </w:r>
      <w:r w:rsidRPr="00E17978">
        <w:rPr>
          <w:i/>
        </w:rPr>
        <w:t>and</w:t>
      </w:r>
      <w:r w:rsidRPr="00945ED6">
        <w:rPr>
          <w:i/>
          <w:lang w:val="bg-BG"/>
        </w:rPr>
        <w:t xml:space="preserve"> </w:t>
      </w:r>
      <w:r w:rsidRPr="00E17978">
        <w:rPr>
          <w:i/>
        </w:rPr>
        <w:t>Others</w:t>
      </w:r>
      <w:r w:rsidRPr="00945ED6">
        <w:rPr>
          <w:i/>
          <w:lang w:val="bg-BG"/>
        </w:rPr>
        <w:t xml:space="preserve"> </w:t>
      </w:r>
      <w:r w:rsidRPr="00E17978">
        <w:rPr>
          <w:i/>
        </w:rPr>
        <w:t>v</w:t>
      </w:r>
      <w:r w:rsidRPr="00945ED6">
        <w:rPr>
          <w:i/>
          <w:lang w:val="bg-BG"/>
        </w:rPr>
        <w:t xml:space="preserve">. </w:t>
      </w:r>
      <w:r w:rsidRPr="00E17978">
        <w:rPr>
          <w:i/>
        </w:rPr>
        <w:t>Turkey</w:t>
      </w:r>
      <w:r w:rsidRPr="00945ED6">
        <w:rPr>
          <w:lang w:val="bg-BG"/>
        </w:rPr>
        <w:t xml:space="preserve"> ([</w:t>
      </w:r>
      <w:r w:rsidR="003F2F48">
        <w:rPr>
          <w:lang w:val="bg-BG"/>
        </w:rPr>
        <w:t>ГО</w:t>
      </w:r>
      <w:r w:rsidRPr="00945ED6">
        <w:rPr>
          <w:lang w:val="bg-BG"/>
        </w:rPr>
        <w:t>], № 41340/98, 41342/98, 41343/98 и 41344/98, ЕСПЧ 2003-</w:t>
      </w:r>
      <w:r w:rsidRPr="00E17978">
        <w:t>II</w:t>
      </w:r>
      <w:r w:rsidRPr="00945ED6">
        <w:rPr>
          <w:lang w:val="bg-BG"/>
        </w:rPr>
        <w:t>)</w:t>
      </w:r>
      <w:r>
        <w:rPr>
          <w:lang w:val="bg-BG"/>
        </w:rPr>
        <w:t xml:space="preserve"> е изключително показателно за начина, по който институциите в Страсбург са се справяли с</w:t>
      </w:r>
      <w:r w:rsidR="00CB7F64">
        <w:rPr>
          <w:lang w:val="bg-BG"/>
        </w:rPr>
        <w:t xml:space="preserve"> особено тр</w:t>
      </w:r>
      <w:r w:rsidR="00943B44">
        <w:rPr>
          <w:lang w:val="bg-BG"/>
        </w:rPr>
        <w:t>удния и деликатен въпрос за</w:t>
      </w:r>
      <w:r w:rsidR="00CB7F64">
        <w:rPr>
          <w:lang w:val="bg-BG"/>
        </w:rPr>
        <w:t xml:space="preserve"> забраната на определена политическа партия да участва в националните избори.</w:t>
      </w:r>
      <w:r w:rsidR="001347F5">
        <w:rPr>
          <w:lang w:val="bg-BG"/>
        </w:rPr>
        <w:t xml:space="preserve"> Вярно е, че по</w:t>
      </w:r>
      <w:r w:rsidR="00CB7F64">
        <w:rPr>
          <w:lang w:val="bg-BG"/>
        </w:rPr>
        <w:t xml:space="preserve"> делото </w:t>
      </w:r>
      <w:r w:rsidR="00CB7F64" w:rsidRPr="00E17978">
        <w:rPr>
          <w:i/>
        </w:rPr>
        <w:t>Refah</w:t>
      </w:r>
      <w:r w:rsidR="00CB7F64" w:rsidRPr="00945ED6">
        <w:rPr>
          <w:i/>
          <w:lang w:val="bg-BG"/>
        </w:rPr>
        <w:t xml:space="preserve"> </w:t>
      </w:r>
      <w:r w:rsidR="00CB7F64" w:rsidRPr="00E17978">
        <w:rPr>
          <w:i/>
        </w:rPr>
        <w:t>Partisi</w:t>
      </w:r>
      <w:r w:rsidR="00730013">
        <w:rPr>
          <w:lang w:val="bg-BG"/>
        </w:rPr>
        <w:t xml:space="preserve"> попаднахме на</w:t>
      </w:r>
      <w:r w:rsidR="00CB7F64">
        <w:rPr>
          <w:lang w:val="bg-BG"/>
        </w:rPr>
        <w:t xml:space="preserve"> ситуация, в която имаше голяма вероятност политическа партия, пропагандираща недемократични и застрашаващи пряко крехката политическа инфраструктура на Турция идеи, да завземе властта, като </w:t>
      </w:r>
      <w:r w:rsidR="003F2F48">
        <w:rPr>
          <w:lang w:val="bg-BG"/>
        </w:rPr>
        <w:t xml:space="preserve">за целта </w:t>
      </w:r>
      <w:r w:rsidR="00CB7F64">
        <w:rPr>
          <w:lang w:val="bg-BG"/>
        </w:rPr>
        <w:t>използва демократичните избирателни процедури, осигурени от системата. Опасността беше „реална и</w:t>
      </w:r>
      <w:r w:rsidR="001347F5">
        <w:rPr>
          <w:lang w:val="bg-BG"/>
        </w:rPr>
        <w:t xml:space="preserve"> непосредствена</w:t>
      </w:r>
      <w:r w:rsidR="00CB7F64">
        <w:rPr>
          <w:lang w:val="bg-BG"/>
        </w:rPr>
        <w:t>“, ако използваме известн</w:t>
      </w:r>
      <w:r w:rsidR="00360F55">
        <w:rPr>
          <w:lang w:val="bg-BG"/>
        </w:rPr>
        <w:t>ата формулировка</w:t>
      </w:r>
      <w:r w:rsidR="00CB7F64">
        <w:rPr>
          <w:lang w:val="bg-BG"/>
        </w:rPr>
        <w:t xml:space="preserve"> на В</w:t>
      </w:r>
      <w:r w:rsidR="001347F5">
        <w:rPr>
          <w:lang w:val="bg-BG"/>
        </w:rPr>
        <w:t>ърховния съд на САЩ</w:t>
      </w:r>
      <w:r w:rsidR="00CB7F64">
        <w:rPr>
          <w:lang w:val="bg-BG"/>
        </w:rPr>
        <w:t>.</w:t>
      </w:r>
      <w:r w:rsidR="00943B44">
        <w:rPr>
          <w:lang w:val="bg-BG"/>
        </w:rPr>
        <w:t xml:space="preserve"> Н</w:t>
      </w:r>
      <w:r w:rsidR="001347F5">
        <w:rPr>
          <w:lang w:val="bg-BG"/>
        </w:rPr>
        <w:t>ашият Съд правилно счете, че при подобни извънредни обстоятелства „</w:t>
      </w:r>
      <w:r w:rsidR="00943B44">
        <w:rPr>
          <w:lang w:val="bg-BG"/>
        </w:rPr>
        <w:t>от държавата не може да се изисква да чака и да не се намесва, докато дадена политическа партия не изземе властта и не започне да предприема конкретни стъпки по провеждането на политика, несъвместима със стандартите на Конвенцията и демокрацията, при положение че опасността от тази политика за демокрацията е достатъчно добре установена и се намира в непосредствена близост</w:t>
      </w:r>
      <w:r w:rsidR="001347F5">
        <w:rPr>
          <w:lang w:val="bg-BG"/>
        </w:rPr>
        <w:t xml:space="preserve">“ (пак там, </w:t>
      </w:r>
      <w:r w:rsidR="001347F5" w:rsidRPr="00945ED6">
        <w:rPr>
          <w:lang w:val="bg-BG"/>
        </w:rPr>
        <w:t>§</w:t>
      </w:r>
      <w:r w:rsidR="001347F5">
        <w:t> </w:t>
      </w:r>
      <w:r w:rsidR="001347F5" w:rsidRPr="00945ED6">
        <w:rPr>
          <w:lang w:val="bg-BG"/>
        </w:rPr>
        <w:t>102)</w:t>
      </w:r>
      <w:r w:rsidR="001347F5">
        <w:rPr>
          <w:lang w:val="bg-BG"/>
        </w:rPr>
        <w:t xml:space="preserve">. </w:t>
      </w:r>
      <w:r w:rsidR="003F2F48">
        <w:rPr>
          <w:lang w:val="bg-BG"/>
        </w:rPr>
        <w:t xml:space="preserve"> </w:t>
      </w:r>
    </w:p>
    <w:p w:rsidR="001347F5" w:rsidRDefault="001347F5" w:rsidP="00DD39EE">
      <w:pPr>
        <w:pStyle w:val="OpiPara"/>
        <w:rPr>
          <w:lang w:val="bg-BG"/>
        </w:rPr>
      </w:pPr>
      <w:r>
        <w:rPr>
          <w:lang w:val="bg-BG"/>
        </w:rPr>
        <w:t xml:space="preserve">Въпросът е дали в настоящия случай сме изправени пред ситуация, която има (дори далечни) прилики със ситуацията по делото </w:t>
      </w:r>
      <w:r w:rsidRPr="00E17978">
        <w:rPr>
          <w:i/>
        </w:rPr>
        <w:t>Refah</w:t>
      </w:r>
      <w:r w:rsidRPr="00945ED6">
        <w:rPr>
          <w:i/>
          <w:lang w:val="bg-BG"/>
        </w:rPr>
        <w:t xml:space="preserve"> </w:t>
      </w:r>
      <w:r w:rsidRPr="00E17978">
        <w:rPr>
          <w:i/>
        </w:rPr>
        <w:t>Partisi</w:t>
      </w:r>
      <w:r>
        <w:rPr>
          <w:lang w:val="bg-BG"/>
        </w:rPr>
        <w:t xml:space="preserve">, за да се оправдае отнасянето към настоящото дело по същия модел. Моят отговор е категорично отрицателен по следните причини: </w:t>
      </w:r>
    </w:p>
    <w:p w:rsidR="001347F5" w:rsidRDefault="001347F5" w:rsidP="00DD39EE">
      <w:pPr>
        <w:pStyle w:val="OpiPara"/>
        <w:rPr>
          <w:lang w:val="bg-BG"/>
        </w:rPr>
      </w:pPr>
      <w:r>
        <w:rPr>
          <w:lang w:val="bg-BG"/>
        </w:rPr>
        <w:t xml:space="preserve">Първо, на </w:t>
      </w:r>
      <w:r w:rsidR="00354C6E">
        <w:rPr>
          <w:lang w:val="bg-BG"/>
        </w:rPr>
        <w:t>жалбоподателката</w:t>
      </w:r>
      <w:r>
        <w:rPr>
          <w:lang w:val="bg-BG"/>
        </w:rPr>
        <w:t xml:space="preserve"> не се позволява да участва в изборите не защото представлява непосредствена заплаха за демократичното управление на Латвия по времето,</w:t>
      </w:r>
      <w:r w:rsidR="00943B44">
        <w:rPr>
          <w:lang w:val="bg-BG"/>
        </w:rPr>
        <w:t xml:space="preserve"> когато се приема Законът</w:t>
      </w:r>
      <w:r>
        <w:rPr>
          <w:lang w:val="bg-BG"/>
        </w:rPr>
        <w:t xml:space="preserve"> от 1995 г., а заради </w:t>
      </w:r>
      <w:r w:rsidR="00170709">
        <w:rPr>
          <w:lang w:val="bg-BG"/>
        </w:rPr>
        <w:t>поведението ѝ в миналото</w:t>
      </w:r>
      <w:r>
        <w:rPr>
          <w:lang w:val="bg-BG"/>
        </w:rPr>
        <w:t xml:space="preserve">, основно заради участие в събитията от 1991 г. </w:t>
      </w:r>
      <w:r w:rsidR="00170709">
        <w:rPr>
          <w:lang w:val="bg-BG"/>
        </w:rPr>
        <w:t>Като оставим</w:t>
      </w:r>
      <w:r>
        <w:rPr>
          <w:lang w:val="bg-BG"/>
        </w:rPr>
        <w:t xml:space="preserve"> настрана аргумента за</w:t>
      </w:r>
      <w:r w:rsidR="00943B44">
        <w:rPr>
          <w:lang w:val="bg-BG"/>
        </w:rPr>
        <w:t xml:space="preserve"> закъснялото приемане</w:t>
      </w:r>
      <w:r w:rsidR="00B570FF">
        <w:rPr>
          <w:lang w:val="bg-BG"/>
        </w:rPr>
        <w:t xml:space="preserve"> на Закона </w:t>
      </w:r>
      <w:r w:rsidR="00943B44">
        <w:rPr>
          <w:lang w:val="bg-BG"/>
        </w:rPr>
        <w:t>от 1995 г., както и изминалото време</w:t>
      </w:r>
      <w:r w:rsidR="00B570FF">
        <w:rPr>
          <w:lang w:val="bg-BG"/>
        </w:rPr>
        <w:t xml:space="preserve"> между приемането му и въпросните събития, през 1995 г. няма индикации, че склонността към подривна дейност в политическото обкръжение на </w:t>
      </w:r>
      <w:r w:rsidR="00354C6E">
        <w:rPr>
          <w:lang w:val="bg-BG"/>
        </w:rPr>
        <w:t>жалбоподателката</w:t>
      </w:r>
      <w:r w:rsidR="00B570FF">
        <w:rPr>
          <w:lang w:val="bg-BG"/>
        </w:rPr>
        <w:t xml:space="preserve"> все още е налице, както и през 1</w:t>
      </w:r>
      <w:r w:rsidR="00943B44">
        <w:rPr>
          <w:lang w:val="bg-BG"/>
        </w:rPr>
        <w:t>995 г. няма индикации, че самата</w:t>
      </w:r>
      <w:r w:rsidR="00B570FF">
        <w:rPr>
          <w:lang w:val="bg-BG"/>
        </w:rPr>
        <w:t xml:space="preserve"> жалбоподател</w:t>
      </w:r>
      <w:r w:rsidR="00943B44">
        <w:rPr>
          <w:lang w:val="bg-BG"/>
        </w:rPr>
        <w:t>ка</w:t>
      </w:r>
      <w:r w:rsidR="00B570FF">
        <w:rPr>
          <w:lang w:val="bg-BG"/>
        </w:rPr>
        <w:t xml:space="preserve"> би пропагандирал</w:t>
      </w:r>
      <w:r w:rsidR="00943B44">
        <w:rPr>
          <w:lang w:val="bg-BG"/>
        </w:rPr>
        <w:t>а</w:t>
      </w:r>
      <w:r w:rsidR="00B570FF">
        <w:rPr>
          <w:lang w:val="bg-BG"/>
        </w:rPr>
        <w:t xml:space="preserve"> идеи, подобни на онези, които </w:t>
      </w:r>
      <w:r w:rsidR="00943B44">
        <w:rPr>
          <w:lang w:val="bg-BG"/>
        </w:rPr>
        <w:t xml:space="preserve">са </w:t>
      </w:r>
      <w:r w:rsidR="00B570FF">
        <w:rPr>
          <w:lang w:val="bg-BG"/>
        </w:rPr>
        <w:t>били в основата на събитията от 1991 г.</w:t>
      </w:r>
      <w:r>
        <w:rPr>
          <w:lang w:val="bg-BG"/>
        </w:rPr>
        <w:t xml:space="preserve">  </w:t>
      </w:r>
    </w:p>
    <w:p w:rsidR="00DD39EE" w:rsidRDefault="007A08F6" w:rsidP="00DD39EE">
      <w:pPr>
        <w:pStyle w:val="OpiPara"/>
        <w:rPr>
          <w:lang w:val="bg-BG"/>
        </w:rPr>
      </w:pPr>
      <w:r>
        <w:rPr>
          <w:lang w:val="bg-BG"/>
        </w:rPr>
        <w:t>Но дори да приемем – и това е втората ми забележка – че в обстоятелствата по прехода на Латвия към демокрация и усилията на страната да с</w:t>
      </w:r>
      <w:r w:rsidR="00943B44">
        <w:rPr>
          <w:lang w:val="bg-BG"/>
        </w:rPr>
        <w:t>е откъсне от близкото си минало</w:t>
      </w:r>
      <w:r>
        <w:rPr>
          <w:lang w:val="bg-BG"/>
        </w:rPr>
        <w:t xml:space="preserve"> подобна сурова мярка може да е била оправдана през първите трудни години от приспособяването към новия режим в името на демократичната </w:t>
      </w:r>
      <w:r>
        <w:rPr>
          <w:lang w:val="bg-BG"/>
        </w:rPr>
        <w:lastRenderedPageBreak/>
        <w:t xml:space="preserve">консолидация, ограниченията все пак не са премахнати до момента, въпреки че междувременно Латвия е станала член на НАТО и, което е по-важното, </w:t>
      </w:r>
      <w:r w:rsidR="00943B44">
        <w:rPr>
          <w:lang w:val="bg-BG"/>
        </w:rPr>
        <w:t>на Европейския съюз. До момента</w:t>
      </w:r>
      <w:r>
        <w:rPr>
          <w:lang w:val="bg-BG"/>
        </w:rPr>
        <w:t xml:space="preserve"> са минали единадесет години от датата на приемане на Закона, забраняващ на </w:t>
      </w:r>
      <w:r w:rsidR="00354C6E">
        <w:rPr>
          <w:lang w:val="bg-BG"/>
        </w:rPr>
        <w:t>жалбоподателката</w:t>
      </w:r>
      <w:r>
        <w:rPr>
          <w:lang w:val="bg-BG"/>
        </w:rPr>
        <w:t xml:space="preserve"> да се кандидатира на избори, петнадесет години от събитията, довели до закъснялото обнародване на Закона, пет години от решението на Конституционния съд и почти две години от избирането на </w:t>
      </w:r>
      <w:r w:rsidR="00354C6E">
        <w:rPr>
          <w:lang w:val="bg-BG"/>
        </w:rPr>
        <w:t>жалбоподателката</w:t>
      </w:r>
      <w:r>
        <w:rPr>
          <w:lang w:val="bg-BG"/>
        </w:rPr>
        <w:t xml:space="preserve"> за член на Европейския парламент. </w:t>
      </w:r>
    </w:p>
    <w:p w:rsidR="00385426" w:rsidRDefault="007A08F6" w:rsidP="00DD39EE">
      <w:pPr>
        <w:pStyle w:val="OpiPara"/>
        <w:rPr>
          <w:lang w:val="bg-BG"/>
        </w:rPr>
      </w:pPr>
      <w:r>
        <w:rPr>
          <w:lang w:val="bg-BG"/>
        </w:rPr>
        <w:t>И не на последно място</w:t>
      </w:r>
      <w:r w:rsidR="00A20C51">
        <w:rPr>
          <w:lang w:val="bg-BG"/>
        </w:rPr>
        <w:t>, ситуацията с един-единствен кандидат за място в Парламента драстично се различава от ситуацията с цяла пар</w:t>
      </w:r>
      <w:r w:rsidR="00943B44">
        <w:rPr>
          <w:lang w:val="bg-BG"/>
        </w:rPr>
        <w:t>тия, която се опитва да вземе властта</w:t>
      </w:r>
      <w:r w:rsidR="00A20C51">
        <w:rPr>
          <w:lang w:val="bg-BG"/>
        </w:rPr>
        <w:t xml:space="preserve"> в определена държава. Безспорно от фактите по делото става ясно не просто, че </w:t>
      </w:r>
      <w:r w:rsidR="00354C6E">
        <w:rPr>
          <w:lang w:val="bg-BG"/>
        </w:rPr>
        <w:t>жалбоподателката</w:t>
      </w:r>
      <w:r w:rsidR="00A20C51">
        <w:rPr>
          <w:lang w:val="bg-BG"/>
        </w:rPr>
        <w:t xml:space="preserve"> е отделен кандидат, представляващ идеите на само част от проруски настроените избиратели, но и че принадлежи към идеологическо течение, което в</w:t>
      </w:r>
      <w:r w:rsidR="00943B44">
        <w:rPr>
          <w:lang w:val="bg-BG"/>
        </w:rPr>
        <w:t xml:space="preserve">ъв всички случаи е малцинство </w:t>
      </w:r>
      <w:r w:rsidR="009F0634">
        <w:rPr>
          <w:lang w:val="bg-BG"/>
        </w:rPr>
        <w:t xml:space="preserve">в </w:t>
      </w:r>
      <w:r w:rsidR="00A20C51">
        <w:rPr>
          <w:lang w:val="bg-BG"/>
        </w:rPr>
        <w:t xml:space="preserve">политическия спектър на Латвия. При тези обстоятелства трудно може да се </w:t>
      </w:r>
      <w:r w:rsidR="003A1F26">
        <w:rPr>
          <w:lang w:val="bg-BG"/>
        </w:rPr>
        <w:t xml:space="preserve">твърди, че избирането на </w:t>
      </w:r>
      <w:r w:rsidR="00354C6E">
        <w:rPr>
          <w:lang w:val="bg-BG"/>
        </w:rPr>
        <w:t>жалбоподателката</w:t>
      </w:r>
      <w:r w:rsidR="003A1F26">
        <w:rPr>
          <w:lang w:val="bg-BG"/>
        </w:rPr>
        <w:t xml:space="preserve"> за член на латвийския парламент би имало неблагоприятни последици за демократичната стабилност на </w:t>
      </w:r>
      <w:r w:rsidR="00385426">
        <w:rPr>
          <w:lang w:val="bg-BG"/>
        </w:rPr>
        <w:t>държавата.</w:t>
      </w:r>
      <w:r w:rsidR="00A20C51">
        <w:rPr>
          <w:lang w:val="bg-BG"/>
        </w:rPr>
        <w:t xml:space="preserve">   </w:t>
      </w:r>
    </w:p>
    <w:p w:rsidR="007A08F6" w:rsidRPr="007A08F6" w:rsidRDefault="00385426" w:rsidP="00DD39EE">
      <w:pPr>
        <w:pStyle w:val="OpiPara"/>
        <w:rPr>
          <w:lang w:val="bg-BG"/>
        </w:rPr>
      </w:pPr>
      <w:r>
        <w:rPr>
          <w:lang w:val="bg-BG"/>
        </w:rPr>
        <w:t xml:space="preserve">Поради всички тези причини смятам, че </w:t>
      </w:r>
      <w:r w:rsidR="00354C6E">
        <w:rPr>
          <w:lang w:val="bg-BG"/>
        </w:rPr>
        <w:t>жалбоподателката</w:t>
      </w:r>
      <w:r w:rsidR="00943B44">
        <w:rPr>
          <w:lang w:val="bg-BG"/>
        </w:rPr>
        <w:t xml:space="preserve"> – заедно с нейните</w:t>
      </w:r>
      <w:r>
        <w:rPr>
          <w:lang w:val="bg-BG"/>
        </w:rPr>
        <w:t xml:space="preserve"> последователи – е бил</w:t>
      </w:r>
      <w:r w:rsidR="00943B44">
        <w:rPr>
          <w:lang w:val="bg-BG"/>
        </w:rPr>
        <w:t>а</w:t>
      </w:r>
      <w:r>
        <w:rPr>
          <w:lang w:val="bg-BG"/>
        </w:rPr>
        <w:t xml:space="preserve"> неправомерно лишен</w:t>
      </w:r>
      <w:r w:rsidR="00943B44">
        <w:rPr>
          <w:lang w:val="bg-BG"/>
        </w:rPr>
        <w:t>а</w:t>
      </w:r>
      <w:r>
        <w:rPr>
          <w:lang w:val="bg-BG"/>
        </w:rPr>
        <w:t xml:space="preserve"> от правата си по </w:t>
      </w:r>
      <w:r w:rsidRPr="00945ED6">
        <w:rPr>
          <w:lang w:val="bg-BG"/>
        </w:rPr>
        <w:t>чл</w:t>
      </w:r>
      <w:r w:rsidR="009F0634">
        <w:rPr>
          <w:lang w:val="bg-BG"/>
        </w:rPr>
        <w:t>ен</w:t>
      </w:r>
      <w:r w:rsidRPr="00945ED6">
        <w:rPr>
          <w:lang w:val="bg-BG"/>
        </w:rPr>
        <w:t xml:space="preserve"> 3 от Протокол № 1</w:t>
      </w:r>
      <w:r>
        <w:rPr>
          <w:lang w:val="bg-BG"/>
        </w:rPr>
        <w:t xml:space="preserve"> и следователно, че има нарушение на този член.  </w:t>
      </w:r>
      <w:r w:rsidR="00A20C51">
        <w:rPr>
          <w:lang w:val="bg-BG"/>
        </w:rPr>
        <w:t xml:space="preserve">  </w:t>
      </w:r>
    </w:p>
    <w:p w:rsidR="000C7D4D" w:rsidRPr="00945ED6" w:rsidRDefault="000C7D4D" w:rsidP="00E17978">
      <w:pPr>
        <w:pStyle w:val="OpiHHead"/>
        <w:rPr>
          <w:lang w:val="bg-BG"/>
        </w:rPr>
        <w:sectPr w:rsidR="000C7D4D" w:rsidRPr="00945ED6" w:rsidSect="000C7D4D">
          <w:headerReference w:type="even" r:id="rId27"/>
          <w:headerReference w:type="default" r:id="rId28"/>
          <w:footerReference w:type="even" r:id="rId29"/>
          <w:footerReference w:type="default" r:id="rId30"/>
          <w:footnotePr>
            <w:numRestart w:val="eachPage"/>
          </w:footnotePr>
          <w:pgSz w:w="11906" w:h="16838" w:code="9"/>
          <w:pgMar w:top="2274" w:right="2274" w:bottom="2274" w:left="2274" w:header="1701" w:footer="720" w:gutter="0"/>
          <w:cols w:space="720"/>
          <w:docGrid w:linePitch="326"/>
        </w:sectPr>
      </w:pPr>
    </w:p>
    <w:p w:rsidR="00E17978" w:rsidRPr="00945ED6" w:rsidRDefault="00385426" w:rsidP="00E17978">
      <w:pPr>
        <w:pStyle w:val="OpiHHead"/>
        <w:rPr>
          <w:lang w:val="bg-BG"/>
        </w:rPr>
      </w:pPr>
      <w:r w:rsidRPr="00FA6733">
        <w:rPr>
          <w:lang w:val="bg-BG"/>
        </w:rPr>
        <w:lastRenderedPageBreak/>
        <w:t>ОСОБЕНО МНЕНИЕ НА СЪДИЯ ЗУПАНЧИЧ</w:t>
      </w:r>
    </w:p>
    <w:p w:rsidR="00385426" w:rsidRPr="00385426" w:rsidRDefault="00385426" w:rsidP="00E17978">
      <w:pPr>
        <w:pStyle w:val="OpiPara"/>
        <w:rPr>
          <w:lang w:val="bg-BG"/>
        </w:rPr>
      </w:pPr>
      <w:r>
        <w:rPr>
          <w:lang w:val="bg-BG"/>
        </w:rPr>
        <w:t xml:space="preserve">За съжаление не мога да се присъединя към </w:t>
      </w:r>
      <w:r w:rsidR="009F0634">
        <w:rPr>
          <w:lang w:val="bg-BG"/>
        </w:rPr>
        <w:t xml:space="preserve">становището </w:t>
      </w:r>
      <w:r>
        <w:rPr>
          <w:lang w:val="bg-BG"/>
        </w:rPr>
        <w:t xml:space="preserve">на мнозинството по това дело. Очевидно решението на мнозинството </w:t>
      </w:r>
      <w:r w:rsidR="006007D7">
        <w:rPr>
          <w:lang w:val="bg-BG"/>
        </w:rPr>
        <w:t xml:space="preserve">се крепи на точна оценка на реалната заплаха, произтичаща от политическите действия на </w:t>
      </w:r>
      <w:r w:rsidR="00354C6E">
        <w:rPr>
          <w:lang w:val="bg-BG"/>
        </w:rPr>
        <w:t>жалбоподателката</w:t>
      </w:r>
      <w:r w:rsidR="006007D7">
        <w:rPr>
          <w:lang w:val="bg-BG"/>
        </w:rPr>
        <w:t xml:space="preserve"> към </w:t>
      </w:r>
      <w:r w:rsidR="00DC5538">
        <w:rPr>
          <w:lang w:val="bg-BG"/>
        </w:rPr>
        <w:t>момента на настъпване на фактите</w:t>
      </w:r>
      <w:r w:rsidR="006007D7">
        <w:rPr>
          <w:lang w:val="bg-BG"/>
        </w:rPr>
        <w:t xml:space="preserve">. И все пак тези действия, дори в критичния за латвийската независимост период, не са били подривни, нито </w:t>
      </w:r>
      <w:r w:rsidR="00DC5538">
        <w:rPr>
          <w:lang w:val="bg-BG"/>
        </w:rPr>
        <w:t xml:space="preserve">пък </w:t>
      </w:r>
      <w:r w:rsidR="006007D7">
        <w:rPr>
          <w:lang w:val="bg-BG"/>
        </w:rPr>
        <w:t>потайни. Ако в няк</w:t>
      </w:r>
      <w:r w:rsidR="00DC5538">
        <w:rPr>
          <w:lang w:val="bg-BG"/>
        </w:rPr>
        <w:t>акъв</w:t>
      </w:r>
      <w:r w:rsidR="006007D7">
        <w:rPr>
          <w:lang w:val="bg-BG"/>
        </w:rPr>
        <w:t xml:space="preserve"> момент г-жа </w:t>
      </w:r>
      <w:r w:rsidR="00DC5538" w:rsidRPr="00530E30">
        <w:rPr>
          <w:lang w:val="bg-BG"/>
        </w:rPr>
        <w:t>Ž</w:t>
      </w:r>
      <w:r w:rsidR="00DC5538" w:rsidRPr="00E17978">
        <w:t>danoka</w:t>
      </w:r>
      <w:r w:rsidR="006007D7">
        <w:rPr>
          <w:lang w:val="bg-BG"/>
        </w:rPr>
        <w:t xml:space="preserve"> действително е представлявала опасност</w:t>
      </w:r>
      <w:r w:rsidR="00CF4440" w:rsidRPr="00CF4440">
        <w:rPr>
          <w:rStyle w:val="FootnoteReference"/>
        </w:rPr>
        <w:footnoteReference w:id="1"/>
      </w:r>
      <w:r w:rsidR="006007D7">
        <w:rPr>
          <w:lang w:val="bg-BG"/>
        </w:rPr>
        <w:t xml:space="preserve"> за зараждащия се суверенитет на Латвия, това е било следствие от реалните ѝ шансове да бъде избрана.</w:t>
      </w:r>
    </w:p>
    <w:p w:rsidR="006007D7" w:rsidRDefault="006007D7" w:rsidP="00E17978">
      <w:pPr>
        <w:pStyle w:val="OpiPara"/>
        <w:rPr>
          <w:lang w:val="bg-BG"/>
        </w:rPr>
      </w:pPr>
      <w:r>
        <w:rPr>
          <w:lang w:val="bg-BG"/>
        </w:rPr>
        <w:t>Следователно въпросът в това</w:t>
      </w:r>
      <w:r w:rsidR="000D1330">
        <w:rPr>
          <w:lang w:val="bg-BG"/>
        </w:rPr>
        <w:t xml:space="preserve"> дело</w:t>
      </w:r>
      <w:r>
        <w:rPr>
          <w:lang w:val="bg-BG"/>
        </w:rPr>
        <w:t>, както и във всички подобни дела, засяга връзката между демокрация</w:t>
      </w:r>
      <w:r w:rsidR="000D1330">
        <w:rPr>
          <w:lang w:val="bg-BG"/>
        </w:rPr>
        <w:t>та</w:t>
      </w:r>
      <w:r>
        <w:rPr>
          <w:lang w:val="bg-BG"/>
        </w:rPr>
        <w:t xml:space="preserve"> и върховенство</w:t>
      </w:r>
      <w:r w:rsidR="000D1330">
        <w:rPr>
          <w:lang w:val="bg-BG"/>
        </w:rPr>
        <w:t>то</w:t>
      </w:r>
      <w:r>
        <w:rPr>
          <w:lang w:val="bg-BG"/>
        </w:rPr>
        <w:t xml:space="preserve"> на закона.</w:t>
      </w:r>
    </w:p>
    <w:p w:rsidR="006007D7" w:rsidRPr="006007D7" w:rsidRDefault="006007D7" w:rsidP="00E17978">
      <w:pPr>
        <w:pStyle w:val="OpiPara"/>
        <w:rPr>
          <w:lang w:val="bg-BG"/>
        </w:rPr>
      </w:pPr>
      <w:r>
        <w:rPr>
          <w:lang w:val="bg-BG"/>
        </w:rPr>
        <w:t>Въпреки това, от историческа гледна точка,</w:t>
      </w:r>
      <w:r w:rsidR="0067056E">
        <w:rPr>
          <w:lang w:val="bg-BG"/>
        </w:rPr>
        <w:t xml:space="preserve"> докато латвийският конституционен ред</w:t>
      </w:r>
      <w:r w:rsidR="00B90908">
        <w:rPr>
          <w:lang w:val="bg-BG"/>
        </w:rPr>
        <w:t xml:space="preserve"> все още е бил в зараждащ се </w:t>
      </w:r>
      <w:r w:rsidR="00B90908" w:rsidRPr="00B90908">
        <w:rPr>
          <w:lang w:val="bg-BG"/>
        </w:rPr>
        <w:t>стадий</w:t>
      </w:r>
      <w:r w:rsidR="0067056E" w:rsidRPr="00B90908">
        <w:rPr>
          <w:lang w:val="bg-BG"/>
        </w:rPr>
        <w:t xml:space="preserve"> </w:t>
      </w:r>
      <w:r w:rsidR="00B90908" w:rsidRPr="00B90908">
        <w:rPr>
          <w:lang w:val="bg-BG"/>
        </w:rPr>
        <w:t>(</w:t>
      </w:r>
      <w:r w:rsidR="0067056E" w:rsidRPr="00B90908">
        <w:rPr>
          <w:i/>
        </w:rPr>
        <w:t>in</w:t>
      </w:r>
      <w:r w:rsidR="0067056E" w:rsidRPr="00B90908">
        <w:rPr>
          <w:i/>
          <w:lang w:val="bg-BG"/>
        </w:rPr>
        <w:t xml:space="preserve"> </w:t>
      </w:r>
      <w:r w:rsidR="0067056E" w:rsidRPr="00B90908">
        <w:rPr>
          <w:i/>
        </w:rPr>
        <w:t>statu</w:t>
      </w:r>
      <w:r w:rsidR="0067056E" w:rsidRPr="00B90908">
        <w:rPr>
          <w:i/>
          <w:lang w:val="bg-BG"/>
        </w:rPr>
        <w:t xml:space="preserve"> </w:t>
      </w:r>
      <w:r w:rsidR="0067056E" w:rsidRPr="00B90908">
        <w:rPr>
          <w:i/>
        </w:rPr>
        <w:t>nascendi</w:t>
      </w:r>
      <w:r w:rsidR="00B90908" w:rsidRPr="00B90908">
        <w:rPr>
          <w:i/>
          <w:lang w:val="bg-BG"/>
        </w:rPr>
        <w:t>)</w:t>
      </w:r>
      <w:r w:rsidR="0067056E" w:rsidRPr="00B90908">
        <w:rPr>
          <w:lang w:val="bg-BG"/>
        </w:rPr>
        <w:t>, не е можело просто да се каже – дори от гледна</w:t>
      </w:r>
      <w:r w:rsidR="0067056E">
        <w:rPr>
          <w:lang w:val="bg-BG"/>
        </w:rPr>
        <w:t xml:space="preserve"> точка на пакта Молотов-Рибентроп и международното право! – че </w:t>
      </w:r>
      <w:r w:rsidR="00473DA3">
        <w:rPr>
          <w:lang w:val="bg-BG"/>
        </w:rPr>
        <w:t>политически</w:t>
      </w:r>
      <w:r w:rsidR="00943B44">
        <w:rPr>
          <w:lang w:val="bg-BG"/>
        </w:rPr>
        <w:t>те</w:t>
      </w:r>
      <w:r w:rsidR="0067056E">
        <w:rPr>
          <w:lang w:val="bg-BG"/>
        </w:rPr>
        <w:t xml:space="preserve"> действия на г-жа Жданока и други</w:t>
      </w:r>
      <w:r w:rsidR="00473DA3">
        <w:rPr>
          <w:lang w:val="bg-BG"/>
        </w:rPr>
        <w:t xml:space="preserve"> лица, които </w:t>
      </w:r>
      <w:r w:rsidR="00943B44">
        <w:rPr>
          <w:lang w:val="bg-BG"/>
        </w:rPr>
        <w:t>са се противопоставяли</w:t>
      </w:r>
      <w:r w:rsidR="00473DA3">
        <w:rPr>
          <w:lang w:val="bg-BG"/>
        </w:rPr>
        <w:t xml:space="preserve"> на латвийската независимост, разпадането на Съветския съюз и т.н., сами по себе си са </w:t>
      </w:r>
      <w:r w:rsidR="00943B44">
        <w:rPr>
          <w:lang w:val="bg-BG"/>
        </w:rPr>
        <w:t xml:space="preserve">били </w:t>
      </w:r>
      <w:r w:rsidR="00473DA3">
        <w:rPr>
          <w:lang w:val="bg-BG"/>
        </w:rPr>
        <w:t>п</w:t>
      </w:r>
      <w:r w:rsidR="001015CE">
        <w:rPr>
          <w:lang w:val="bg-BG"/>
        </w:rPr>
        <w:t xml:space="preserve">олитически нелегитимни или </w:t>
      </w:r>
      <w:r w:rsidR="000D1330">
        <w:rPr>
          <w:lang w:val="bg-BG"/>
        </w:rPr>
        <w:t xml:space="preserve">дори </w:t>
      </w:r>
      <w:r w:rsidR="00473DA3">
        <w:rPr>
          <w:lang w:val="bg-BG"/>
        </w:rPr>
        <w:t xml:space="preserve">незаконни. Дори международното право няма силата да изтрие исторически период от около петдесет години. Следователно, ако дейността на </w:t>
      </w:r>
      <w:r w:rsidR="00354C6E">
        <w:rPr>
          <w:lang w:val="bg-BG"/>
        </w:rPr>
        <w:t>жалбоподателката</w:t>
      </w:r>
      <w:r w:rsidR="00815958" w:rsidRPr="00945ED6">
        <w:rPr>
          <w:lang w:val="bg-BG"/>
        </w:rPr>
        <w:t xml:space="preserve"> </w:t>
      </w:r>
      <w:r w:rsidR="00815958">
        <w:rPr>
          <w:lang w:val="en-US"/>
        </w:rPr>
        <w:t>e</w:t>
      </w:r>
      <w:r w:rsidR="00815958" w:rsidRPr="00945ED6">
        <w:rPr>
          <w:lang w:val="bg-BG"/>
        </w:rPr>
        <w:t xml:space="preserve"> </w:t>
      </w:r>
      <w:r w:rsidR="00F5568F">
        <w:rPr>
          <w:lang w:val="bg-BG"/>
        </w:rPr>
        <w:t xml:space="preserve">трябвало </w:t>
      </w:r>
      <w:r w:rsidR="00F5568F" w:rsidRPr="00F5568F">
        <w:rPr>
          <w:i/>
          <w:lang w:val="en-US"/>
        </w:rPr>
        <w:t>a</w:t>
      </w:r>
      <w:r w:rsidR="00F5568F" w:rsidRPr="00F5568F">
        <w:rPr>
          <w:i/>
          <w:lang w:val="bg-BG"/>
        </w:rPr>
        <w:t xml:space="preserve"> </w:t>
      </w:r>
      <w:r w:rsidR="00F5568F" w:rsidRPr="00F5568F">
        <w:rPr>
          <w:i/>
          <w:lang w:val="en-US"/>
        </w:rPr>
        <w:t>priori</w:t>
      </w:r>
      <w:r w:rsidR="00815958">
        <w:rPr>
          <w:lang w:val="bg-BG"/>
        </w:rPr>
        <w:t xml:space="preserve"> да се обяви за нелегитимна или незаконна, то голяма част от случвалото се в Съветския съюз е трябвало </w:t>
      </w:r>
      <w:r w:rsidR="00F5568F" w:rsidRPr="00F5568F">
        <w:rPr>
          <w:i/>
          <w:lang w:val="en-US"/>
        </w:rPr>
        <w:t>a</w:t>
      </w:r>
      <w:r w:rsidR="00F5568F" w:rsidRPr="00F5568F">
        <w:rPr>
          <w:i/>
          <w:lang w:val="bg-BG"/>
        </w:rPr>
        <w:t xml:space="preserve"> </w:t>
      </w:r>
      <w:r w:rsidR="00F5568F" w:rsidRPr="00F5568F">
        <w:rPr>
          <w:i/>
          <w:lang w:val="en-US"/>
        </w:rPr>
        <w:t>posteriori</w:t>
      </w:r>
      <w:r w:rsidR="00F5568F" w:rsidRPr="00F5568F">
        <w:rPr>
          <w:lang w:val="bg-BG"/>
        </w:rPr>
        <w:t xml:space="preserve">, </w:t>
      </w:r>
      <w:r w:rsidR="00F5568F">
        <w:rPr>
          <w:lang w:val="bg-BG"/>
        </w:rPr>
        <w:t xml:space="preserve">изхождайки от опита, </w:t>
      </w:r>
      <w:r w:rsidR="00815958">
        <w:rPr>
          <w:lang w:val="bg-BG"/>
        </w:rPr>
        <w:t>да се обяви за нелегитимно или незаконно.</w:t>
      </w:r>
      <w:r w:rsidR="007F309E">
        <w:rPr>
          <w:lang w:val="bg-BG"/>
        </w:rPr>
        <w:t xml:space="preserve"> </w:t>
      </w:r>
      <w:r w:rsidR="007F309E" w:rsidRPr="001C3EA8">
        <w:rPr>
          <w:i/>
        </w:rPr>
        <w:t>Ex</w:t>
      </w:r>
      <w:r w:rsidR="007F309E" w:rsidRPr="001C3EA8">
        <w:rPr>
          <w:i/>
          <w:lang w:val="bg-BG"/>
        </w:rPr>
        <w:t xml:space="preserve"> </w:t>
      </w:r>
      <w:r w:rsidR="007F309E" w:rsidRPr="001C3EA8">
        <w:rPr>
          <w:i/>
        </w:rPr>
        <w:t>factis</w:t>
      </w:r>
      <w:r w:rsidR="007F309E" w:rsidRPr="001C3EA8">
        <w:rPr>
          <w:i/>
          <w:lang w:val="bg-BG"/>
        </w:rPr>
        <w:t xml:space="preserve"> </w:t>
      </w:r>
      <w:r w:rsidR="007F309E" w:rsidRPr="001C3EA8">
        <w:rPr>
          <w:i/>
        </w:rPr>
        <w:t>ius</w:t>
      </w:r>
      <w:r w:rsidR="007F309E" w:rsidRPr="001C3EA8">
        <w:rPr>
          <w:i/>
          <w:lang w:val="bg-BG"/>
        </w:rPr>
        <w:t xml:space="preserve"> </w:t>
      </w:r>
      <w:r w:rsidR="007F309E" w:rsidRPr="001C3EA8">
        <w:rPr>
          <w:i/>
        </w:rPr>
        <w:t>oritur</w:t>
      </w:r>
      <w:r w:rsidR="007F309E" w:rsidRPr="001C3EA8">
        <w:rPr>
          <w:lang w:val="bg-BG"/>
        </w:rPr>
        <w:t>; историята може и да има силата да вземе такова р</w:t>
      </w:r>
      <w:r w:rsidR="007F309E">
        <w:rPr>
          <w:lang w:val="bg-BG"/>
        </w:rPr>
        <w:t>ешение, но не и законът</w:t>
      </w:r>
      <w:r w:rsidR="00FA6733">
        <w:rPr>
          <w:lang w:val="bg-BG"/>
        </w:rPr>
        <w:t xml:space="preserve">. </w:t>
      </w:r>
      <w:r w:rsidR="007F309E" w:rsidRPr="00FA6733">
        <w:rPr>
          <w:lang w:val="bg-BG"/>
        </w:rPr>
        <w:t>Законът взима под внимание период от време, ограничен</w:t>
      </w:r>
      <w:r w:rsidR="008C46A2" w:rsidRPr="00FA6733">
        <w:rPr>
          <w:lang w:val="bg-BG"/>
        </w:rPr>
        <w:t xml:space="preserve"> от установената държавна власт</w:t>
      </w:r>
      <w:r w:rsidR="007F309E" w:rsidRPr="00FA6733">
        <w:rPr>
          <w:lang w:val="bg-BG"/>
        </w:rPr>
        <w:t>.</w:t>
      </w:r>
      <w:r w:rsidR="007F309E">
        <w:rPr>
          <w:lang w:val="bg-BG"/>
        </w:rPr>
        <w:t xml:space="preserve"> Историята, от друга страна, се пише от победителя; г-жа </w:t>
      </w:r>
      <w:r w:rsidR="00C42F85" w:rsidRPr="00530E30">
        <w:rPr>
          <w:lang w:val="bg-BG"/>
        </w:rPr>
        <w:t>Ž</w:t>
      </w:r>
      <w:r w:rsidR="00C42F85" w:rsidRPr="00E17978">
        <w:t>danoka</w:t>
      </w:r>
      <w:r w:rsidR="007F309E">
        <w:rPr>
          <w:lang w:val="bg-BG"/>
        </w:rPr>
        <w:t xml:space="preserve"> се е озовала от грешната страна на тази история.</w:t>
      </w:r>
      <w:r w:rsidR="00473DA3">
        <w:rPr>
          <w:lang w:val="bg-BG"/>
        </w:rPr>
        <w:t xml:space="preserve"> </w:t>
      </w:r>
      <w:r w:rsidR="0067056E">
        <w:rPr>
          <w:lang w:val="bg-BG"/>
        </w:rPr>
        <w:t xml:space="preserve">    </w:t>
      </w:r>
      <w:r w:rsidR="0067056E" w:rsidRPr="00945ED6">
        <w:rPr>
          <w:lang w:val="bg-BG"/>
        </w:rPr>
        <w:t xml:space="preserve"> </w:t>
      </w:r>
      <w:r>
        <w:rPr>
          <w:lang w:val="bg-BG"/>
        </w:rPr>
        <w:t xml:space="preserve"> </w:t>
      </w:r>
    </w:p>
    <w:p w:rsidR="00E17978" w:rsidRPr="00EE6BFB" w:rsidRDefault="00EE6BFB" w:rsidP="00E17978">
      <w:pPr>
        <w:pStyle w:val="OpiPara"/>
        <w:rPr>
          <w:lang w:val="bg-BG"/>
        </w:rPr>
      </w:pPr>
      <w:r>
        <w:rPr>
          <w:lang w:val="bg-BG"/>
        </w:rPr>
        <w:t xml:space="preserve">Следователно мнението на мнозинството произтича от доста тясна времева перспектива. Тъй като времето е в основата на това решение, ще трябва да се разгранича.  </w:t>
      </w:r>
    </w:p>
    <w:p w:rsidR="00EE6BFB" w:rsidRPr="00945ED6" w:rsidRDefault="00C42F85" w:rsidP="00EE6BFB">
      <w:pPr>
        <w:pStyle w:val="OpiPara"/>
        <w:rPr>
          <w:lang w:val="bg-BG"/>
        </w:rPr>
      </w:pPr>
      <w:r w:rsidRPr="00530E30">
        <w:rPr>
          <w:i/>
          <w:lang w:val="bg-BG"/>
        </w:rPr>
        <w:t>Ž</w:t>
      </w:r>
      <w:r w:rsidRPr="00E17978">
        <w:rPr>
          <w:i/>
        </w:rPr>
        <w:t>danoka</w:t>
      </w:r>
      <w:r w:rsidR="001015CE">
        <w:rPr>
          <w:i/>
          <w:lang w:val="bg-BG"/>
        </w:rPr>
        <w:t xml:space="preserve"> срещу Латвия</w:t>
      </w:r>
      <w:r w:rsidR="00EE6BFB">
        <w:rPr>
          <w:lang w:val="bg-BG"/>
        </w:rPr>
        <w:t xml:space="preserve"> е дело, в което основният въпрос неизбежно е историческото и идеологическо значение на прехода от съветски комунизъм като провалил се социополитически експеримент обратно към капитализъм, демокрация и върховенство на закона. Казвам „неизбежно“, защото </w:t>
      </w:r>
      <w:r w:rsidR="00F5568F">
        <w:rPr>
          <w:lang w:val="bg-BG"/>
        </w:rPr>
        <w:t xml:space="preserve">случаят </w:t>
      </w:r>
      <w:r w:rsidR="00EE6BFB">
        <w:rPr>
          <w:lang w:val="bg-BG"/>
        </w:rPr>
        <w:t xml:space="preserve">засяга политическите права на значителното рускоговорящо малцинство.  </w:t>
      </w:r>
      <w:r w:rsidR="00E17978" w:rsidRPr="00945ED6">
        <w:rPr>
          <w:lang w:val="bg-BG"/>
        </w:rPr>
        <w:t xml:space="preserve"> </w:t>
      </w:r>
    </w:p>
    <w:p w:rsidR="00E17978" w:rsidRPr="00EE6BFB" w:rsidRDefault="00EE6BFB" w:rsidP="00EE6BFB">
      <w:pPr>
        <w:pStyle w:val="OpiPara"/>
        <w:rPr>
          <w:lang w:val="bg-BG"/>
        </w:rPr>
      </w:pPr>
      <w:r>
        <w:rPr>
          <w:lang w:val="bg-BG"/>
        </w:rPr>
        <w:t>За латвийците</w:t>
      </w:r>
      <w:r w:rsidR="00391CCA">
        <w:rPr>
          <w:lang w:val="bg-BG"/>
        </w:rPr>
        <w:t xml:space="preserve"> да се продължи управлението на комунизма е равностойно на това д</w:t>
      </w:r>
      <w:r w:rsidR="001015CE">
        <w:rPr>
          <w:lang w:val="bg-BG"/>
        </w:rPr>
        <w:t xml:space="preserve">а се продължи руската окупация. </w:t>
      </w:r>
      <w:r w:rsidR="00391CCA" w:rsidRPr="001015CE">
        <w:rPr>
          <w:lang w:val="bg-BG"/>
        </w:rPr>
        <w:t xml:space="preserve">За </w:t>
      </w:r>
      <w:r w:rsidR="00391CCA" w:rsidRPr="001015CE">
        <w:rPr>
          <w:lang w:val="bg-BG"/>
        </w:rPr>
        <w:lastRenderedPageBreak/>
        <w:t xml:space="preserve">рускоговорящото малцинство, </w:t>
      </w:r>
      <w:r w:rsidR="00F5568F">
        <w:rPr>
          <w:lang w:val="bg-BG"/>
        </w:rPr>
        <w:t xml:space="preserve">което представлява </w:t>
      </w:r>
      <w:r w:rsidR="00391CCA" w:rsidRPr="001015CE">
        <w:rPr>
          <w:lang w:val="bg-BG"/>
        </w:rPr>
        <w:t xml:space="preserve">около </w:t>
      </w:r>
      <w:r w:rsidR="00E61D8D" w:rsidRPr="00E61D8D">
        <w:rPr>
          <w:lang w:val="bg-BG"/>
        </w:rPr>
        <w:t>30%</w:t>
      </w:r>
      <w:r w:rsidR="00E61D8D" w:rsidRPr="00E17978">
        <w:rPr>
          <w:rStyle w:val="FootnoteReference"/>
        </w:rPr>
        <w:footnoteReference w:id="2"/>
      </w:r>
      <w:r w:rsidR="00E61D8D" w:rsidRPr="00E61D8D">
        <w:rPr>
          <w:lang w:val="bg-BG"/>
        </w:rPr>
        <w:t xml:space="preserve"> </w:t>
      </w:r>
      <w:r w:rsidR="001015CE" w:rsidRPr="001015CE">
        <w:rPr>
          <w:lang w:val="bg-BG"/>
        </w:rPr>
        <w:t>от населението, самоопределението</w:t>
      </w:r>
      <w:r w:rsidR="00391CCA" w:rsidRPr="001015CE">
        <w:rPr>
          <w:lang w:val="bg-BG"/>
        </w:rPr>
        <w:t xml:space="preserve"> на латвийците предвещава известна загуба на привилегирован статут и възможност за дискриминация. </w:t>
      </w:r>
      <w:r w:rsidR="00391CCA">
        <w:rPr>
          <w:lang w:val="bg-BG"/>
        </w:rPr>
        <w:t xml:space="preserve">Както става ясно по делото </w:t>
      </w:r>
      <w:r w:rsidR="00391CCA" w:rsidRPr="00E17978">
        <w:rPr>
          <w:i/>
        </w:rPr>
        <w:t>Slivenko</w:t>
      </w:r>
      <w:r w:rsidR="00391CCA" w:rsidRPr="00945ED6">
        <w:rPr>
          <w:i/>
          <w:lang w:val="bg-BG"/>
        </w:rPr>
        <w:t xml:space="preserve"> </w:t>
      </w:r>
      <w:r w:rsidR="00391CCA" w:rsidRPr="00E17978">
        <w:rPr>
          <w:i/>
        </w:rPr>
        <w:t>v</w:t>
      </w:r>
      <w:r w:rsidR="00391CCA" w:rsidRPr="00945ED6">
        <w:rPr>
          <w:i/>
          <w:lang w:val="bg-BG"/>
        </w:rPr>
        <w:t xml:space="preserve">. </w:t>
      </w:r>
      <w:r w:rsidR="00391CCA" w:rsidRPr="00E17978">
        <w:rPr>
          <w:i/>
        </w:rPr>
        <w:t>Latvia</w:t>
      </w:r>
      <w:r w:rsidR="00391CCA" w:rsidRPr="00945ED6">
        <w:rPr>
          <w:lang w:val="bg-BG"/>
        </w:rPr>
        <w:t xml:space="preserve"> ([</w:t>
      </w:r>
      <w:r w:rsidR="00365BA8">
        <w:rPr>
          <w:lang w:val="bg-BG"/>
        </w:rPr>
        <w:t>ГО</w:t>
      </w:r>
      <w:r w:rsidR="00391CCA" w:rsidRPr="00945ED6">
        <w:rPr>
          <w:lang w:val="bg-BG"/>
        </w:rPr>
        <w:t>], № 48321/99, ЕСПЧ 2003-</w:t>
      </w:r>
      <w:r w:rsidR="00391CCA">
        <w:t>X</w:t>
      </w:r>
      <w:r w:rsidR="00391CCA" w:rsidRPr="00945ED6">
        <w:rPr>
          <w:lang w:val="bg-BG"/>
        </w:rPr>
        <w:t>)</w:t>
      </w:r>
      <w:r w:rsidR="001015CE">
        <w:rPr>
          <w:lang w:val="bg-BG"/>
        </w:rPr>
        <w:t>, според</w:t>
      </w:r>
      <w:r w:rsidR="00391CCA">
        <w:rPr>
          <w:lang w:val="bg-BG"/>
        </w:rPr>
        <w:t xml:space="preserve"> латвийското мнозинство да се дават определени човешки права на голямото рускоговорящо малцинство, </w:t>
      </w:r>
      <w:r w:rsidR="008B2BBA">
        <w:rPr>
          <w:lang w:val="bg-BG"/>
        </w:rPr>
        <w:t>формирано в резултат на</w:t>
      </w:r>
      <w:r w:rsidR="00391CCA">
        <w:rPr>
          <w:lang w:val="bg-BG"/>
        </w:rPr>
        <w:t xml:space="preserve"> петдесетте годин</w:t>
      </w:r>
      <w:r w:rsidR="008B2BBA">
        <w:rPr>
          <w:lang w:val="bg-BG"/>
        </w:rPr>
        <w:t xml:space="preserve">и </w:t>
      </w:r>
      <w:r w:rsidR="001015CE">
        <w:rPr>
          <w:lang w:val="bg-BG"/>
        </w:rPr>
        <w:t>руска окупация, е било и прод</w:t>
      </w:r>
      <w:r w:rsidR="00391CCA">
        <w:rPr>
          <w:lang w:val="bg-BG"/>
        </w:rPr>
        <w:t xml:space="preserve">ължава да бъде </w:t>
      </w:r>
      <w:r w:rsidR="00E61D8D">
        <w:rPr>
          <w:lang w:val="bg-BG"/>
        </w:rPr>
        <w:t>абсурдно</w:t>
      </w:r>
      <w:r w:rsidR="00E61D8D" w:rsidRPr="00E17978">
        <w:rPr>
          <w:rStyle w:val="FootnoteReference"/>
        </w:rPr>
        <w:footnoteReference w:id="3"/>
      </w:r>
      <w:r w:rsidR="00391CCA">
        <w:rPr>
          <w:lang w:val="bg-BG"/>
        </w:rPr>
        <w:t>.</w:t>
      </w:r>
      <w:r w:rsidR="005F6B88" w:rsidRPr="00945ED6">
        <w:rPr>
          <w:lang w:val="bg-BG"/>
        </w:rPr>
        <w:t xml:space="preserve"> </w:t>
      </w:r>
      <w:r w:rsidR="00833A84">
        <w:rPr>
          <w:lang w:val="bg-BG"/>
        </w:rPr>
        <w:t>Това е един вид</w:t>
      </w:r>
      <w:r w:rsidR="005F6B88">
        <w:rPr>
          <w:lang w:val="bg-BG"/>
        </w:rPr>
        <w:t xml:space="preserve"> обратна логика на чл</w:t>
      </w:r>
      <w:r w:rsidR="00365BA8">
        <w:rPr>
          <w:lang w:val="bg-BG"/>
        </w:rPr>
        <w:t>ен</w:t>
      </w:r>
      <w:r w:rsidR="005F6B88">
        <w:rPr>
          <w:lang w:val="bg-BG"/>
        </w:rPr>
        <w:t xml:space="preserve"> 17 от Конвенцията</w:t>
      </w:r>
      <w:r w:rsidR="00E61D8D" w:rsidRPr="00E17978">
        <w:rPr>
          <w:rStyle w:val="FootnoteReference"/>
        </w:rPr>
        <w:footnoteReference w:id="4"/>
      </w:r>
      <w:r w:rsidR="00E61D8D" w:rsidRPr="00E61D8D">
        <w:rPr>
          <w:lang w:val="bg-BG"/>
        </w:rPr>
        <w:t>.</w:t>
      </w:r>
      <w:r w:rsidR="005F6B88">
        <w:rPr>
          <w:lang w:val="bg-BG"/>
        </w:rPr>
        <w:t xml:space="preserve"> Изведнъж някогашните окупатори, при положение че самото им съществуване на латвийска територи</w:t>
      </w:r>
      <w:r w:rsidR="00F5568F">
        <w:rPr>
          <w:lang w:val="bg-BG"/>
        </w:rPr>
        <w:t>я започва</w:t>
      </w:r>
      <w:r w:rsidR="005F6B88">
        <w:rPr>
          <w:lang w:val="bg-BG"/>
        </w:rPr>
        <w:t xml:space="preserve"> като незаконна окупация, се представят за жертви на посегателства над човешките права. Получава ли се така, че върховенство</w:t>
      </w:r>
      <w:r w:rsidR="00365BA8">
        <w:rPr>
          <w:lang w:val="bg-BG"/>
        </w:rPr>
        <w:t>то</w:t>
      </w:r>
      <w:r w:rsidR="005F6B88">
        <w:rPr>
          <w:lang w:val="bg-BG"/>
        </w:rPr>
        <w:t xml:space="preserve"> на закона и демокрацията, за ко</w:t>
      </w:r>
      <w:r w:rsidR="00365BA8">
        <w:rPr>
          <w:lang w:val="bg-BG"/>
        </w:rPr>
        <w:t>и</w:t>
      </w:r>
      <w:r w:rsidR="005F6B88">
        <w:rPr>
          <w:lang w:val="bg-BG"/>
        </w:rPr>
        <w:t>то латвийците са се борили и която в продължение на десетилетия им е била отказвана от комунистическите управници на Съветския съюз, сега се прев</w:t>
      </w:r>
      <w:r w:rsidR="00AC10A4">
        <w:rPr>
          <w:lang w:val="bg-BG"/>
        </w:rPr>
        <w:t>ръщат</w:t>
      </w:r>
      <w:r w:rsidR="005F6B88">
        <w:rPr>
          <w:lang w:val="bg-BG"/>
        </w:rPr>
        <w:t xml:space="preserve"> в оръжието, което се обръща срещу самите латвийци? Историческият парадокс, пред който са изправени, е екзистенциа</w:t>
      </w:r>
      <w:r w:rsidR="00D116BF">
        <w:rPr>
          <w:lang w:val="bg-BG"/>
        </w:rPr>
        <w:t>лно абсурден и отразява национално</w:t>
      </w:r>
      <w:r w:rsidR="005F6B88">
        <w:rPr>
          <w:lang w:val="bg-BG"/>
        </w:rPr>
        <w:t xml:space="preserve"> </w:t>
      </w:r>
      <w:r w:rsidR="005F6B88" w:rsidRPr="00530E30">
        <w:rPr>
          <w:lang w:val="bg-BG"/>
        </w:rPr>
        <w:t>разцепление</w:t>
      </w:r>
      <w:r w:rsidR="005F6B88">
        <w:rPr>
          <w:lang w:val="bg-BG"/>
        </w:rPr>
        <w:t>, за което не може да има незабавно решение.</w:t>
      </w:r>
      <w:r w:rsidR="00391CCA">
        <w:rPr>
          <w:lang w:val="bg-BG"/>
        </w:rPr>
        <w:t xml:space="preserve"> </w:t>
      </w:r>
      <w:r w:rsidR="00391CCA" w:rsidRPr="00945ED6">
        <w:rPr>
          <w:lang w:val="bg-BG"/>
        </w:rPr>
        <w:t xml:space="preserve"> </w:t>
      </w:r>
      <w:r>
        <w:rPr>
          <w:lang w:val="bg-BG"/>
        </w:rPr>
        <w:t xml:space="preserve"> </w:t>
      </w:r>
    </w:p>
    <w:p w:rsidR="00E17978" w:rsidRDefault="005F6B88" w:rsidP="00E17978">
      <w:pPr>
        <w:pStyle w:val="OpiPara"/>
        <w:rPr>
          <w:lang w:val="bg-BG"/>
        </w:rPr>
      </w:pPr>
      <w:r>
        <w:rPr>
          <w:lang w:val="bg-BG"/>
        </w:rPr>
        <w:t xml:space="preserve">Все пак </w:t>
      </w:r>
      <w:r w:rsidR="00833A84">
        <w:rPr>
          <w:lang w:val="bg-BG"/>
        </w:rPr>
        <w:t>такова изопачаване</w:t>
      </w:r>
      <w:r>
        <w:rPr>
          <w:lang w:val="bg-BG"/>
        </w:rPr>
        <w:t xml:space="preserve">, при което някогашните потисници впоследствие </w:t>
      </w:r>
      <w:r w:rsidR="00833A84">
        <w:rPr>
          <w:lang w:val="bg-BG"/>
        </w:rPr>
        <w:t>се възползват от д</w:t>
      </w:r>
      <w:r w:rsidR="007C2F13">
        <w:rPr>
          <w:lang w:val="bg-BG"/>
        </w:rPr>
        <w:t>емокраци</w:t>
      </w:r>
      <w:r w:rsidR="00833A84">
        <w:rPr>
          <w:lang w:val="bg-BG"/>
        </w:rPr>
        <w:t>ята и върховенството на закона</w:t>
      </w:r>
      <w:r w:rsidR="007C2F13">
        <w:rPr>
          <w:lang w:val="bg-BG"/>
        </w:rPr>
        <w:t xml:space="preserve">, не е </w:t>
      </w:r>
      <w:r w:rsidR="005801E2">
        <w:rPr>
          <w:lang w:val="bg-BG"/>
        </w:rPr>
        <w:t>особеност единствено</w:t>
      </w:r>
      <w:r w:rsidR="008B2BBA">
        <w:rPr>
          <w:lang w:val="bg-BG"/>
        </w:rPr>
        <w:t xml:space="preserve"> </w:t>
      </w:r>
      <w:r w:rsidR="005801E2">
        <w:rPr>
          <w:lang w:val="bg-BG"/>
        </w:rPr>
        <w:t>н</w:t>
      </w:r>
      <w:r w:rsidR="008B2BBA">
        <w:rPr>
          <w:lang w:val="bg-BG"/>
        </w:rPr>
        <w:t xml:space="preserve">а Латвия или </w:t>
      </w:r>
      <w:r w:rsidR="005801E2">
        <w:rPr>
          <w:lang w:val="bg-BG"/>
        </w:rPr>
        <w:t>на</w:t>
      </w:r>
      <w:r w:rsidR="007C2F13">
        <w:rPr>
          <w:lang w:val="bg-BG"/>
        </w:rPr>
        <w:t xml:space="preserve"> прибалтийските държави. Определени дела, които достигат д</w:t>
      </w:r>
      <w:r w:rsidR="00692879">
        <w:rPr>
          <w:lang w:val="bg-BG"/>
        </w:rPr>
        <w:t xml:space="preserve">о този Съд, правят това </w:t>
      </w:r>
      <w:r w:rsidR="006945B2">
        <w:rPr>
          <w:lang w:val="bg-BG"/>
        </w:rPr>
        <w:t>очевидно</w:t>
      </w:r>
      <w:r w:rsidR="00692879" w:rsidRPr="00E17978">
        <w:rPr>
          <w:rStyle w:val="FootnoteReference"/>
        </w:rPr>
        <w:footnoteReference w:id="5"/>
      </w:r>
      <w:r w:rsidR="00692879" w:rsidRPr="00692879">
        <w:rPr>
          <w:lang w:val="bg-BG"/>
        </w:rPr>
        <w:t>.</w:t>
      </w:r>
      <w:r w:rsidR="007C2F13">
        <w:rPr>
          <w:lang w:val="bg-BG"/>
        </w:rPr>
        <w:t xml:space="preserve"> В момента в Централна и Източна </w:t>
      </w:r>
      <w:r w:rsidR="008B2BBA">
        <w:rPr>
          <w:lang w:val="bg-BG"/>
        </w:rPr>
        <w:t>Европа има много лица над определена възраст</w:t>
      </w:r>
      <w:r w:rsidR="007C2F13">
        <w:rPr>
          <w:lang w:val="bg-BG"/>
        </w:rPr>
        <w:t xml:space="preserve">, които са цапали ръцете си с кръв. Някои от тях са се превърнали в гласовити </w:t>
      </w:r>
      <w:r w:rsidR="005801E2">
        <w:rPr>
          <w:lang w:val="bg-BG"/>
        </w:rPr>
        <w:t xml:space="preserve">защитници </w:t>
      </w:r>
      <w:r w:rsidR="007C2F13">
        <w:rPr>
          <w:lang w:val="bg-BG"/>
        </w:rPr>
        <w:t>на правата на човека.</w:t>
      </w:r>
      <w:r w:rsidR="006F483E">
        <w:rPr>
          <w:lang w:val="bg-BG"/>
        </w:rPr>
        <w:t xml:space="preserve"> Ако някой предложи да се накажат, например, всички, които в не толкова дале</w:t>
      </w:r>
      <w:r w:rsidR="008B2BBA">
        <w:rPr>
          <w:lang w:val="bg-BG"/>
        </w:rPr>
        <w:t xml:space="preserve">чното минало </w:t>
      </w:r>
      <w:r w:rsidR="009A5983">
        <w:rPr>
          <w:lang w:val="bg-BG"/>
        </w:rPr>
        <w:t xml:space="preserve">охотно </w:t>
      </w:r>
      <w:r w:rsidR="008B2BBA">
        <w:rPr>
          <w:lang w:val="bg-BG"/>
        </w:rPr>
        <w:t>са сътрудничи</w:t>
      </w:r>
      <w:r w:rsidR="006F483E">
        <w:rPr>
          <w:lang w:val="bg-BG"/>
        </w:rPr>
        <w:t>ли на тайната полиция, въпросните лица надигат глас с при</w:t>
      </w:r>
      <w:r w:rsidR="00833A84">
        <w:rPr>
          <w:lang w:val="bg-BG"/>
        </w:rPr>
        <w:t xml:space="preserve">вичната им арогантност, дължаща се на </w:t>
      </w:r>
      <w:r w:rsidR="006F483E">
        <w:rPr>
          <w:lang w:val="bg-BG"/>
        </w:rPr>
        <w:t>тяхното минало и установенат</w:t>
      </w:r>
      <w:r w:rsidR="008B2BBA">
        <w:rPr>
          <w:lang w:val="bg-BG"/>
        </w:rPr>
        <w:t xml:space="preserve">а авторитарна позиция. </w:t>
      </w:r>
      <w:r w:rsidR="009A5983">
        <w:rPr>
          <w:lang w:val="bg-BG"/>
        </w:rPr>
        <w:t>Т</w:t>
      </w:r>
      <w:r w:rsidR="006F483E">
        <w:rPr>
          <w:lang w:val="bg-BG"/>
        </w:rPr>
        <w:t xml:space="preserve">е </w:t>
      </w:r>
      <w:r w:rsidR="009A5983">
        <w:rPr>
          <w:lang w:val="bg-BG"/>
        </w:rPr>
        <w:t xml:space="preserve">безочливо </w:t>
      </w:r>
      <w:r w:rsidR="006F483E">
        <w:rPr>
          <w:lang w:val="bg-BG"/>
        </w:rPr>
        <w:t>претендират за същите човешки права, които цял живот са отказвали на другите, и дори често хладнокръвно са нарушавали по най-брутален начин.</w:t>
      </w:r>
    </w:p>
    <w:p w:rsidR="006F483E" w:rsidRDefault="006F483E" w:rsidP="00E17978">
      <w:pPr>
        <w:pStyle w:val="OpiPara"/>
        <w:rPr>
          <w:lang w:val="bg-BG"/>
        </w:rPr>
      </w:pPr>
      <w:r>
        <w:rPr>
          <w:lang w:val="bg-BG"/>
        </w:rPr>
        <w:t xml:space="preserve">Съдът трябва да </w:t>
      </w:r>
      <w:r w:rsidR="008C46A2">
        <w:rPr>
          <w:lang w:val="bg-BG"/>
        </w:rPr>
        <w:t>в</w:t>
      </w:r>
      <w:r>
        <w:rPr>
          <w:lang w:val="bg-BG"/>
        </w:rPr>
        <w:t>земе ясна позиция по този въпрос.</w:t>
      </w:r>
    </w:p>
    <w:p w:rsidR="006F483E" w:rsidRDefault="006F483E" w:rsidP="00E17978">
      <w:pPr>
        <w:pStyle w:val="OpiPara"/>
        <w:rPr>
          <w:lang w:val="bg-BG"/>
        </w:rPr>
      </w:pPr>
      <w:r>
        <w:rPr>
          <w:lang w:val="bg-BG"/>
        </w:rPr>
        <w:lastRenderedPageBreak/>
        <w:t>Логиката, залегнала в чл</w:t>
      </w:r>
      <w:r w:rsidR="00285A48">
        <w:rPr>
          <w:lang w:val="bg-BG"/>
        </w:rPr>
        <w:t>ен</w:t>
      </w:r>
      <w:r>
        <w:rPr>
          <w:lang w:val="bg-BG"/>
        </w:rPr>
        <w:t xml:space="preserve"> 17, е ясна. Не</w:t>
      </w:r>
      <w:r w:rsidR="008B2BBA">
        <w:rPr>
          <w:lang w:val="bg-BG"/>
        </w:rPr>
        <w:t xml:space="preserve"> трябва да се допуска </w:t>
      </w:r>
      <w:r>
        <w:rPr>
          <w:lang w:val="bg-BG"/>
        </w:rPr>
        <w:t>оръжие</w:t>
      </w:r>
      <w:r w:rsidR="008B2BBA">
        <w:rPr>
          <w:lang w:val="bg-BG"/>
        </w:rPr>
        <w:t>то на закона, чрез</w:t>
      </w:r>
      <w:r>
        <w:rPr>
          <w:lang w:val="bg-BG"/>
        </w:rPr>
        <w:t xml:space="preserve"> което се претендира за човешки права, да се извращава. Не трябва да се позволява то да служи на онези, които на свой ред ще нару</w:t>
      </w:r>
      <w:r w:rsidR="00833A84">
        <w:rPr>
          <w:lang w:val="bg-BG"/>
        </w:rPr>
        <w:t>шават човешките права. Гениалният</w:t>
      </w:r>
      <w:r>
        <w:rPr>
          <w:lang w:val="bg-BG"/>
        </w:rPr>
        <w:t xml:space="preserve"> Карл Попър ясно е формулирал този въпрос. Той казва, че демокрацията е за всички, освен за онези, </w:t>
      </w:r>
      <w:r w:rsidR="00FA79EA">
        <w:rPr>
          <w:lang w:val="bg-BG"/>
        </w:rPr>
        <w:t>които биха я унищожили. Трябва да бъдем толерантни към всичко, освен към проявите на нетолерантност.</w:t>
      </w:r>
    </w:p>
    <w:p w:rsidR="00E87E40" w:rsidRDefault="00833A84" w:rsidP="00E17978">
      <w:pPr>
        <w:pStyle w:val="OpiPara"/>
        <w:rPr>
          <w:lang w:val="bg-BG"/>
        </w:rPr>
      </w:pPr>
      <w:r>
        <w:rPr>
          <w:lang w:val="bg-BG"/>
        </w:rPr>
        <w:t>От този общ принцип произтичат д</w:t>
      </w:r>
      <w:r w:rsidR="00E87E40">
        <w:rPr>
          <w:lang w:val="bg-BG"/>
        </w:rPr>
        <w:t xml:space="preserve">ва въпроса. Първо, имат ли онези, които в миналото са </w:t>
      </w:r>
      <w:r w:rsidR="008B2BBA">
        <w:rPr>
          <w:lang w:val="bg-BG"/>
        </w:rPr>
        <w:t xml:space="preserve">били нетолерантни, </w:t>
      </w:r>
      <w:r w:rsidR="00E87E40">
        <w:rPr>
          <w:lang w:val="bg-BG"/>
        </w:rPr>
        <w:t>право на толерантност</w:t>
      </w:r>
      <w:r w:rsidR="008B2BBA">
        <w:rPr>
          <w:lang w:val="bg-BG"/>
        </w:rPr>
        <w:t xml:space="preserve"> в настоящето</w:t>
      </w:r>
      <w:r w:rsidR="00E87E40">
        <w:rPr>
          <w:lang w:val="bg-BG"/>
        </w:rPr>
        <w:t xml:space="preserve">? Това е въпрос с библейски </w:t>
      </w:r>
      <w:r w:rsidR="00590467">
        <w:rPr>
          <w:lang w:val="bg-BG"/>
        </w:rPr>
        <w:t>измерения</w:t>
      </w:r>
      <w:r w:rsidR="00E87E40">
        <w:rPr>
          <w:lang w:val="bg-BG"/>
        </w:rPr>
        <w:t>.</w:t>
      </w:r>
      <w:r w:rsidR="009D2097" w:rsidRPr="00945ED6">
        <w:rPr>
          <w:lang w:val="bg-BG"/>
        </w:rPr>
        <w:t xml:space="preserve"> </w:t>
      </w:r>
      <w:r w:rsidR="001E1912">
        <w:rPr>
          <w:lang w:val="bg-BG"/>
        </w:rPr>
        <w:t>Трябва ли</w:t>
      </w:r>
      <w:r w:rsidR="00C77D7C">
        <w:rPr>
          <w:lang w:val="bg-BG"/>
        </w:rPr>
        <w:t xml:space="preserve"> да се приложи логиката за възмездие на талиона</w:t>
      </w:r>
      <w:r w:rsidR="00C77D7C" w:rsidRPr="00E17978">
        <w:rPr>
          <w:rStyle w:val="FootnoteReference"/>
        </w:rPr>
        <w:footnoteReference w:id="6"/>
      </w:r>
      <w:r w:rsidR="00C77D7C">
        <w:rPr>
          <w:lang w:val="bg-BG"/>
        </w:rPr>
        <w:t xml:space="preserve"> от Стария завет </w:t>
      </w:r>
      <w:r w:rsidR="00590467">
        <w:rPr>
          <w:lang w:val="bg-BG"/>
        </w:rPr>
        <w:t>–</w:t>
      </w:r>
      <w:r w:rsidR="00C77D7C">
        <w:rPr>
          <w:lang w:val="bg-BG"/>
        </w:rPr>
        <w:t xml:space="preserve"> </w:t>
      </w:r>
      <w:r w:rsidR="00590467">
        <w:rPr>
          <w:lang w:val="bg-BG"/>
        </w:rPr>
        <w:t>„</w:t>
      </w:r>
      <w:r w:rsidR="00C77D7C">
        <w:rPr>
          <w:lang w:val="bg-BG"/>
        </w:rPr>
        <w:t>зъб за зъб“ –</w:t>
      </w:r>
      <w:r w:rsidR="001E1912">
        <w:rPr>
          <w:lang w:val="bg-BG"/>
        </w:rPr>
        <w:t xml:space="preserve"> </w:t>
      </w:r>
      <w:r w:rsidR="00C77D7C">
        <w:rPr>
          <w:lang w:val="bg-BG"/>
        </w:rPr>
        <w:t>или човешките права трябва да са универсални не само в пространството, но и във времето? Съответно означава ли това да обръщаме другата буза към онези, които са ни ударили?</w:t>
      </w:r>
      <w:r w:rsidR="00E87E40">
        <w:rPr>
          <w:lang w:val="bg-BG"/>
        </w:rPr>
        <w:t xml:space="preserve">  </w:t>
      </w:r>
    </w:p>
    <w:p w:rsidR="004A2653" w:rsidRDefault="00C77D7C" w:rsidP="00E17978">
      <w:pPr>
        <w:pStyle w:val="OpiPara"/>
        <w:rPr>
          <w:lang w:val="bg-BG"/>
        </w:rPr>
      </w:pPr>
      <w:r w:rsidRPr="00C77D7C">
        <w:rPr>
          <w:i/>
          <w:lang w:val="bg-BG"/>
        </w:rPr>
        <w:t>Второ</w:t>
      </w:r>
      <w:r>
        <w:rPr>
          <w:lang w:val="bg-BG"/>
        </w:rPr>
        <w:t>,</w:t>
      </w:r>
      <w:r w:rsidR="00676C8F" w:rsidRPr="00945ED6">
        <w:rPr>
          <w:lang w:val="bg-BG"/>
        </w:rPr>
        <w:t xml:space="preserve"> </w:t>
      </w:r>
      <w:r w:rsidR="008B2BBA">
        <w:rPr>
          <w:lang w:val="bg-BG"/>
        </w:rPr>
        <w:t xml:space="preserve">какъв вид </w:t>
      </w:r>
      <w:r w:rsidR="00590467">
        <w:rPr>
          <w:lang w:val="bg-BG"/>
        </w:rPr>
        <w:t xml:space="preserve">(синхронна) </w:t>
      </w:r>
      <w:r w:rsidR="00676C8F">
        <w:rPr>
          <w:lang w:val="bg-BG"/>
        </w:rPr>
        <w:t xml:space="preserve">нетолерантност трябва да се насочва срещу онези, които са нетолерантни? Има ли Конституционният съд на Австрия </w:t>
      </w:r>
      <w:r w:rsidR="00676C8F" w:rsidRPr="00FD0099">
        <w:rPr>
          <w:lang w:val="bg-BG"/>
        </w:rPr>
        <w:t>например право и задължение да отрича дейността на прото</w:t>
      </w:r>
      <w:r w:rsidR="008B2BBA" w:rsidRPr="00FD0099">
        <w:rPr>
          <w:lang w:val="bg-BG"/>
        </w:rPr>
        <w:t>нацистката партия</w:t>
      </w:r>
      <w:r w:rsidR="008B2BBA">
        <w:rPr>
          <w:lang w:val="bg-BG"/>
        </w:rPr>
        <w:t xml:space="preserve"> на г-н Хайдер</w:t>
      </w:r>
      <w:r w:rsidR="00676C8F">
        <w:rPr>
          <w:lang w:val="bg-BG"/>
        </w:rPr>
        <w:t>, която се захранва с</w:t>
      </w:r>
      <w:r w:rsidR="00676C8F" w:rsidRPr="00945ED6">
        <w:rPr>
          <w:lang w:val="bg-BG"/>
        </w:rPr>
        <w:t xml:space="preserve"> “</w:t>
      </w:r>
      <w:r w:rsidR="00676C8F" w:rsidRPr="00E17978">
        <w:rPr>
          <w:i/>
        </w:rPr>
        <w:t>Urangst</w:t>
      </w:r>
      <w:r w:rsidR="00676C8F" w:rsidRPr="00945ED6">
        <w:rPr>
          <w:lang w:val="bg-BG"/>
        </w:rPr>
        <w:t xml:space="preserve">” </w:t>
      </w:r>
      <w:r w:rsidR="008B2BBA">
        <w:rPr>
          <w:lang w:val="bg-BG"/>
        </w:rPr>
        <w:t>и етническа нетърпимост</w:t>
      </w:r>
      <w:r w:rsidR="00676C8F">
        <w:rPr>
          <w:lang w:val="bg-BG"/>
        </w:rPr>
        <w:t xml:space="preserve"> спрямо словенците в Каринтия? Колко ясна и непосредствена т</w:t>
      </w:r>
      <w:r w:rsidR="004A2653">
        <w:rPr>
          <w:lang w:val="bg-BG"/>
        </w:rPr>
        <w:t>рябва да бъде опасността, установена чрез известн</w:t>
      </w:r>
      <w:r w:rsidR="007D2A1F">
        <w:rPr>
          <w:lang w:val="bg-BG"/>
        </w:rPr>
        <w:t>ата</w:t>
      </w:r>
      <w:r w:rsidR="004A2653">
        <w:rPr>
          <w:lang w:val="bg-BG"/>
        </w:rPr>
        <w:t xml:space="preserve"> </w:t>
      </w:r>
      <w:r w:rsidR="007D2A1F">
        <w:rPr>
          <w:lang w:val="bg-BG"/>
        </w:rPr>
        <w:t>проверка</w:t>
      </w:r>
      <w:r w:rsidR="004A2653">
        <w:rPr>
          <w:lang w:val="bg-BG"/>
        </w:rPr>
        <w:t xml:space="preserve"> </w:t>
      </w:r>
      <w:r w:rsidR="007D2A1F">
        <w:rPr>
          <w:lang w:val="bg-BG"/>
        </w:rPr>
        <w:t>по</w:t>
      </w:r>
      <w:r w:rsidR="004A2653">
        <w:rPr>
          <w:lang w:val="bg-BG"/>
        </w:rPr>
        <w:t xml:space="preserve"> делото </w:t>
      </w:r>
      <w:r w:rsidR="004A2653" w:rsidRPr="00E17978">
        <w:rPr>
          <w:i/>
        </w:rPr>
        <w:t>Brandenburg</w:t>
      </w:r>
      <w:r w:rsidR="004A2653" w:rsidRPr="00945ED6">
        <w:rPr>
          <w:i/>
          <w:lang w:val="bg-BG"/>
        </w:rPr>
        <w:t xml:space="preserve"> </w:t>
      </w:r>
      <w:r w:rsidR="004A2653" w:rsidRPr="00E17978">
        <w:rPr>
          <w:i/>
        </w:rPr>
        <w:t>v</w:t>
      </w:r>
      <w:r w:rsidR="004A2653" w:rsidRPr="00945ED6">
        <w:rPr>
          <w:i/>
          <w:lang w:val="bg-BG"/>
        </w:rPr>
        <w:t xml:space="preserve">. </w:t>
      </w:r>
      <w:r w:rsidR="004A2653" w:rsidRPr="00E17978">
        <w:rPr>
          <w:i/>
        </w:rPr>
        <w:t>Ohio</w:t>
      </w:r>
      <w:r w:rsidR="004A2653">
        <w:rPr>
          <w:lang w:val="bg-BG"/>
        </w:rPr>
        <w:t>, ко</w:t>
      </w:r>
      <w:r w:rsidR="007D2A1F">
        <w:rPr>
          <w:lang w:val="bg-BG"/>
        </w:rPr>
        <w:t>я</w:t>
      </w:r>
      <w:r w:rsidR="004A2653">
        <w:rPr>
          <w:lang w:val="bg-BG"/>
        </w:rPr>
        <w:t>то наскоро бе приет</w:t>
      </w:r>
      <w:r w:rsidR="007D2A1F">
        <w:rPr>
          <w:lang w:val="bg-BG"/>
        </w:rPr>
        <w:t>а</w:t>
      </w:r>
      <w:r w:rsidR="004A2653">
        <w:rPr>
          <w:lang w:val="bg-BG"/>
        </w:rPr>
        <w:t xml:space="preserve"> от турското национално законодателство?</w:t>
      </w:r>
      <w:r w:rsidR="004A2653" w:rsidRPr="00945ED6">
        <w:rPr>
          <w:rStyle w:val="FootnoteReference"/>
          <w:lang w:val="bg-BG"/>
        </w:rPr>
        <w:t xml:space="preserve"> </w:t>
      </w:r>
      <w:r w:rsidR="004A2653" w:rsidRPr="00E17978">
        <w:rPr>
          <w:rStyle w:val="FootnoteReference"/>
        </w:rPr>
        <w:footnoteReference w:id="7"/>
      </w:r>
      <w:r w:rsidR="004A2653">
        <w:rPr>
          <w:lang w:val="bg-BG"/>
        </w:rPr>
        <w:t xml:space="preserve"> </w:t>
      </w:r>
      <w:r w:rsidR="00676C8F">
        <w:rPr>
          <w:lang w:val="bg-BG"/>
        </w:rPr>
        <w:t xml:space="preserve">    </w:t>
      </w:r>
    </w:p>
    <w:p w:rsidR="00C77D7C" w:rsidRDefault="005F4F7B" w:rsidP="00E17978">
      <w:pPr>
        <w:pStyle w:val="OpiPara"/>
        <w:rPr>
          <w:lang w:val="bg-BG"/>
        </w:rPr>
      </w:pPr>
      <w:r>
        <w:rPr>
          <w:lang w:val="bg-BG"/>
        </w:rPr>
        <w:t xml:space="preserve">Преди </w:t>
      </w:r>
      <w:r w:rsidR="007D2A1F">
        <w:rPr>
          <w:lang w:val="bg-BG"/>
        </w:rPr>
        <w:t>това</w:t>
      </w:r>
      <w:r>
        <w:rPr>
          <w:lang w:val="bg-BG"/>
        </w:rPr>
        <w:t xml:space="preserve"> бяха „политически</w:t>
      </w:r>
      <w:r w:rsidR="007D2A1F">
        <w:rPr>
          <w:lang w:val="bg-BG"/>
        </w:rPr>
        <w:t xml:space="preserve"> въпроси</w:t>
      </w:r>
      <w:r>
        <w:rPr>
          <w:lang w:val="bg-BG"/>
        </w:rPr>
        <w:t>“</w:t>
      </w:r>
      <w:r w:rsidR="004A2653">
        <w:rPr>
          <w:lang w:val="bg-BG"/>
        </w:rPr>
        <w:t xml:space="preserve">. Благодарение на </w:t>
      </w:r>
      <w:r w:rsidR="00337B81">
        <w:rPr>
          <w:lang w:val="bg-BG"/>
        </w:rPr>
        <w:t xml:space="preserve">забележителния напредък </w:t>
      </w:r>
      <w:r w:rsidR="004A2653">
        <w:rPr>
          <w:lang w:val="bg-BG"/>
        </w:rPr>
        <w:t xml:space="preserve">на конституционното право през втората половина на </w:t>
      </w:r>
      <w:r w:rsidR="004A2653">
        <w:rPr>
          <w:lang w:val="en-US"/>
        </w:rPr>
        <w:t>XX</w:t>
      </w:r>
      <w:r w:rsidR="004A2653" w:rsidRPr="00945ED6">
        <w:rPr>
          <w:lang w:val="bg-BG"/>
        </w:rPr>
        <w:t xml:space="preserve"> </w:t>
      </w:r>
      <w:r w:rsidR="004A2653">
        <w:rPr>
          <w:lang w:val="bg-BG"/>
        </w:rPr>
        <w:t>век, сега е ясно, че се отнасят до същността на върховенството на закона.</w:t>
      </w:r>
      <w:r w:rsidR="00676C8F">
        <w:rPr>
          <w:lang w:val="bg-BG"/>
        </w:rPr>
        <w:t xml:space="preserve"> </w:t>
      </w:r>
    </w:p>
    <w:p w:rsidR="005773A2" w:rsidRDefault="005F4F7B" w:rsidP="00E17978">
      <w:pPr>
        <w:pStyle w:val="OpiPara"/>
        <w:rPr>
          <w:lang w:val="bg-BG"/>
        </w:rPr>
      </w:pPr>
      <w:r>
        <w:rPr>
          <w:lang w:val="bg-BG"/>
        </w:rPr>
        <w:t xml:space="preserve">За международното право Нюрнбергският процес е исторически пример за това как върховенството на закона отвръща на варварството, за това как силата на правната логика </w:t>
      </w:r>
      <w:r w:rsidR="00A54240">
        <w:rPr>
          <w:lang w:val="bg-BG"/>
        </w:rPr>
        <w:t xml:space="preserve">постфактум надделява над Хобсовата логика на силата. По делото </w:t>
      </w:r>
      <w:r w:rsidR="00A54240" w:rsidRPr="00E17978">
        <w:rPr>
          <w:i/>
        </w:rPr>
        <w:t>Streletz</w:t>
      </w:r>
      <w:r w:rsidR="00A54240" w:rsidRPr="00945ED6">
        <w:rPr>
          <w:i/>
          <w:lang w:val="bg-BG"/>
        </w:rPr>
        <w:t xml:space="preserve">, </w:t>
      </w:r>
      <w:r w:rsidR="00A54240" w:rsidRPr="00E17978">
        <w:rPr>
          <w:i/>
        </w:rPr>
        <w:t>Kessler</w:t>
      </w:r>
      <w:r w:rsidR="00A54240" w:rsidRPr="00945ED6">
        <w:rPr>
          <w:i/>
          <w:lang w:val="bg-BG"/>
        </w:rPr>
        <w:t xml:space="preserve"> </w:t>
      </w:r>
      <w:r w:rsidR="00A54240" w:rsidRPr="00E17978">
        <w:rPr>
          <w:i/>
        </w:rPr>
        <w:t>and</w:t>
      </w:r>
      <w:r w:rsidR="00A54240" w:rsidRPr="00945ED6">
        <w:rPr>
          <w:i/>
          <w:lang w:val="bg-BG"/>
        </w:rPr>
        <w:t xml:space="preserve"> </w:t>
      </w:r>
      <w:r w:rsidR="00A54240" w:rsidRPr="00E17978">
        <w:rPr>
          <w:i/>
        </w:rPr>
        <w:t>Krenz</w:t>
      </w:r>
      <w:r w:rsidR="00A54240">
        <w:rPr>
          <w:i/>
          <w:lang w:val="bg-BG"/>
        </w:rPr>
        <w:t xml:space="preserve"> </w:t>
      </w:r>
      <w:r w:rsidR="008B2BBA">
        <w:rPr>
          <w:lang w:val="bg-BG"/>
        </w:rPr>
        <w:t>(цитирано по-горе) став</w:t>
      </w:r>
      <w:r w:rsidR="00A54240">
        <w:rPr>
          <w:lang w:val="bg-BG"/>
        </w:rPr>
        <w:t xml:space="preserve">а ясно, </w:t>
      </w:r>
      <w:r w:rsidR="005E208E">
        <w:rPr>
          <w:lang w:val="bg-BG"/>
        </w:rPr>
        <w:t xml:space="preserve">на по-ограничени основания, </w:t>
      </w:r>
      <w:r w:rsidR="00A54240">
        <w:rPr>
          <w:lang w:val="bg-BG"/>
        </w:rPr>
        <w:t>че системната практика на безнаказаност, въпреки чисто формалното наличие на точни наказателни норми за обратното, не може впоследствие да бъде основание за защита</w:t>
      </w:r>
      <w:r w:rsidR="005773A2">
        <w:rPr>
          <w:lang w:val="bg-BG"/>
        </w:rPr>
        <w:t>, базирана върху простима</w:t>
      </w:r>
      <w:r w:rsidR="00A54240">
        <w:rPr>
          <w:lang w:val="bg-BG"/>
        </w:rPr>
        <w:t xml:space="preserve"> грешка на закона.</w:t>
      </w:r>
      <w:r w:rsidR="00A54240" w:rsidRPr="00945ED6">
        <w:rPr>
          <w:lang w:val="bg-BG"/>
        </w:rPr>
        <w:t xml:space="preserve"> </w:t>
      </w:r>
      <w:r w:rsidR="00A54240">
        <w:rPr>
          <w:lang w:val="bg-BG"/>
        </w:rPr>
        <w:t>След като се възстанови върховенството на закона</w:t>
      </w:r>
      <w:r w:rsidR="00833A84">
        <w:rPr>
          <w:lang w:val="bg-BG"/>
        </w:rPr>
        <w:t>,</w:t>
      </w:r>
      <w:r w:rsidR="00A54240">
        <w:rPr>
          <w:lang w:val="bg-BG"/>
        </w:rPr>
        <w:t xml:space="preserve"> позитивната норма ще бъде приложена, дори и преди това да се е намирала в латентно състояние.</w:t>
      </w:r>
      <w:r w:rsidR="00D07A1C">
        <w:rPr>
          <w:lang w:val="bg-BG"/>
        </w:rPr>
        <w:t xml:space="preserve"> Откакто през 1764 г. Чезаре Бекария пише </w:t>
      </w:r>
      <w:r w:rsidR="0080171F">
        <w:rPr>
          <w:lang w:val="bg-BG"/>
        </w:rPr>
        <w:t>основополагащия</w:t>
      </w:r>
      <w:r w:rsidR="00D07A1C">
        <w:rPr>
          <w:lang w:val="bg-BG"/>
        </w:rPr>
        <w:t xml:space="preserve"> си труд „За престъпленията и наказанията“, ретроспективната валидност на наказанието според върховенството на </w:t>
      </w:r>
      <w:r w:rsidR="00D07A1C">
        <w:rPr>
          <w:lang w:val="bg-BG"/>
        </w:rPr>
        <w:lastRenderedPageBreak/>
        <w:t>закона е</w:t>
      </w:r>
      <w:r w:rsidR="00FE639F">
        <w:rPr>
          <w:lang w:val="bg-BG"/>
        </w:rPr>
        <w:t xml:space="preserve"> неразделна част от принципа за законност.</w:t>
      </w:r>
      <w:r w:rsidR="0080171F">
        <w:rPr>
          <w:lang w:val="bg-BG"/>
        </w:rPr>
        <w:t xml:space="preserve"> По-късно това е преформулирано от Анселм Фойербах в правилото </w:t>
      </w:r>
      <w:r w:rsidR="0080171F" w:rsidRPr="00945ED6">
        <w:rPr>
          <w:lang w:val="bg-BG"/>
        </w:rPr>
        <w:t>“</w:t>
      </w:r>
      <w:r w:rsidR="0080171F" w:rsidRPr="00E17978">
        <w:rPr>
          <w:i/>
        </w:rPr>
        <w:t>nullum</w:t>
      </w:r>
      <w:r w:rsidR="0080171F" w:rsidRPr="00945ED6">
        <w:rPr>
          <w:i/>
          <w:lang w:val="bg-BG"/>
        </w:rPr>
        <w:t xml:space="preserve"> </w:t>
      </w:r>
      <w:r w:rsidR="0080171F" w:rsidRPr="00E17978">
        <w:rPr>
          <w:i/>
        </w:rPr>
        <w:t>crimen</w:t>
      </w:r>
      <w:r w:rsidR="0080171F" w:rsidRPr="00945ED6">
        <w:rPr>
          <w:i/>
          <w:lang w:val="bg-BG"/>
        </w:rPr>
        <w:t xml:space="preserve">, </w:t>
      </w:r>
      <w:r w:rsidR="0080171F" w:rsidRPr="00E17978">
        <w:rPr>
          <w:i/>
        </w:rPr>
        <w:t>nulla</w:t>
      </w:r>
      <w:r w:rsidR="0080171F" w:rsidRPr="00945ED6">
        <w:rPr>
          <w:i/>
          <w:lang w:val="bg-BG"/>
        </w:rPr>
        <w:t xml:space="preserve"> </w:t>
      </w:r>
      <w:r w:rsidR="0080171F" w:rsidRPr="00E17978">
        <w:rPr>
          <w:i/>
        </w:rPr>
        <w:t>poena</w:t>
      </w:r>
      <w:r w:rsidR="0080171F" w:rsidRPr="00945ED6">
        <w:rPr>
          <w:i/>
          <w:lang w:val="bg-BG"/>
        </w:rPr>
        <w:t xml:space="preserve"> </w:t>
      </w:r>
      <w:r w:rsidR="0080171F" w:rsidRPr="00E17978">
        <w:rPr>
          <w:i/>
        </w:rPr>
        <w:t>sine</w:t>
      </w:r>
      <w:r w:rsidR="0080171F" w:rsidRPr="00945ED6">
        <w:rPr>
          <w:i/>
          <w:lang w:val="bg-BG"/>
        </w:rPr>
        <w:t xml:space="preserve"> </w:t>
      </w:r>
      <w:r w:rsidR="0080171F" w:rsidRPr="00E17978">
        <w:rPr>
          <w:i/>
        </w:rPr>
        <w:t>lege</w:t>
      </w:r>
      <w:r w:rsidR="0080171F" w:rsidRPr="00945ED6">
        <w:rPr>
          <w:i/>
          <w:lang w:val="bg-BG"/>
        </w:rPr>
        <w:t xml:space="preserve"> </w:t>
      </w:r>
      <w:r w:rsidR="0080171F" w:rsidRPr="00E17978">
        <w:rPr>
          <w:i/>
        </w:rPr>
        <w:t>praevia</w:t>
      </w:r>
      <w:r w:rsidR="0080171F" w:rsidRPr="00945ED6">
        <w:rPr>
          <w:lang w:val="bg-BG"/>
        </w:rPr>
        <w:t>”</w:t>
      </w:r>
      <w:r w:rsidR="0080171F">
        <w:rPr>
          <w:lang w:val="bg-BG"/>
        </w:rPr>
        <w:t xml:space="preserve"> („няма престъпление и наказание без предшестващ закон“). В наши дни доктрината заляга и в първата алинея на чл</w:t>
      </w:r>
      <w:r w:rsidR="00600E1A">
        <w:rPr>
          <w:lang w:val="bg-BG"/>
        </w:rPr>
        <w:t>ен</w:t>
      </w:r>
      <w:r w:rsidR="0080171F">
        <w:rPr>
          <w:lang w:val="bg-BG"/>
        </w:rPr>
        <w:t xml:space="preserve"> 7 от Европейската конвенция за правата на човека</w:t>
      </w:r>
      <w:r w:rsidR="0080171F" w:rsidRPr="00E17978">
        <w:rPr>
          <w:rStyle w:val="FootnoteReference"/>
        </w:rPr>
        <w:footnoteReference w:id="8"/>
      </w:r>
      <w:r w:rsidR="0080171F">
        <w:rPr>
          <w:lang w:val="bg-BG"/>
        </w:rPr>
        <w:t>.</w:t>
      </w:r>
      <w:r w:rsidR="008E5A9B">
        <w:rPr>
          <w:lang w:val="bg-BG"/>
        </w:rPr>
        <w:t xml:space="preserve"> Така че времевият обхват на върховенството на закона – поне на неговия</w:t>
      </w:r>
      <w:r w:rsidR="0080171F">
        <w:rPr>
          <w:lang w:val="bg-BG"/>
        </w:rPr>
        <w:t xml:space="preserve"> </w:t>
      </w:r>
      <w:r w:rsidR="008E5A9B" w:rsidRPr="008E5A9B">
        <w:rPr>
          <w:i/>
          <w:lang w:val="bg-BG"/>
        </w:rPr>
        <w:t>негативен</w:t>
      </w:r>
      <w:r w:rsidR="008E5A9B">
        <w:rPr>
          <w:lang w:val="bg-BG"/>
        </w:rPr>
        <w:t xml:space="preserve">, наказателен аспект – е обект на строги ограничения. Въпреки това делото </w:t>
      </w:r>
      <w:r w:rsidR="008E5A9B" w:rsidRPr="00E17978">
        <w:rPr>
          <w:i/>
        </w:rPr>
        <w:t>Streletz</w:t>
      </w:r>
      <w:r w:rsidR="008E5A9B" w:rsidRPr="00945ED6">
        <w:rPr>
          <w:i/>
          <w:lang w:val="bg-BG"/>
        </w:rPr>
        <w:t>,</w:t>
      </w:r>
      <w:r w:rsidR="008E5A9B" w:rsidRPr="00945ED6">
        <w:rPr>
          <w:lang w:val="bg-BG"/>
        </w:rPr>
        <w:t xml:space="preserve"> </w:t>
      </w:r>
      <w:r w:rsidR="008E5A9B" w:rsidRPr="00002A65">
        <w:rPr>
          <w:i/>
        </w:rPr>
        <w:t>Kessler</w:t>
      </w:r>
      <w:r w:rsidR="008E5A9B" w:rsidRPr="00945ED6">
        <w:rPr>
          <w:i/>
          <w:lang w:val="bg-BG"/>
        </w:rPr>
        <w:t xml:space="preserve"> </w:t>
      </w:r>
      <w:r w:rsidR="008E5A9B" w:rsidRPr="00002A65">
        <w:rPr>
          <w:i/>
        </w:rPr>
        <w:t>and</w:t>
      </w:r>
      <w:r w:rsidR="008E5A9B" w:rsidRPr="00945ED6">
        <w:rPr>
          <w:i/>
          <w:lang w:val="bg-BG"/>
        </w:rPr>
        <w:t xml:space="preserve"> </w:t>
      </w:r>
      <w:r w:rsidR="008E5A9B" w:rsidRPr="00002A65">
        <w:rPr>
          <w:i/>
        </w:rPr>
        <w:t>Krenz</w:t>
      </w:r>
      <w:r w:rsidR="008E5A9B">
        <w:rPr>
          <w:i/>
          <w:lang w:val="bg-BG"/>
        </w:rPr>
        <w:t xml:space="preserve"> </w:t>
      </w:r>
      <w:r w:rsidR="008E5A9B">
        <w:rPr>
          <w:lang w:val="bg-BG"/>
        </w:rPr>
        <w:t xml:space="preserve">доказва и че тази доктрина не може да се сведе до простата идея за предварително уведомление, както обикновено се случва в съдебната ни практика. Доказва, че </w:t>
      </w:r>
      <w:r w:rsidR="007F07B3">
        <w:rPr>
          <w:lang w:val="bg-BG"/>
        </w:rPr>
        <w:t xml:space="preserve">и </w:t>
      </w:r>
      <w:r w:rsidR="008E5A9B">
        <w:rPr>
          <w:lang w:val="bg-BG"/>
        </w:rPr>
        <w:t xml:space="preserve">след години </w:t>
      </w:r>
      <w:r w:rsidR="007F07B3" w:rsidRPr="007F07B3">
        <w:rPr>
          <w:i/>
          <w:lang w:val="bg-BG"/>
        </w:rPr>
        <w:t>позитивното</w:t>
      </w:r>
      <w:r w:rsidR="007F07B3">
        <w:rPr>
          <w:lang w:val="bg-BG"/>
        </w:rPr>
        <w:t xml:space="preserve"> съществуване на </w:t>
      </w:r>
      <w:r w:rsidR="008E5A9B">
        <w:rPr>
          <w:lang w:val="bg-BG"/>
        </w:rPr>
        <w:t>наказателната норма</w:t>
      </w:r>
      <w:r w:rsidR="007F07B3">
        <w:rPr>
          <w:lang w:val="bg-BG"/>
        </w:rPr>
        <w:t xml:space="preserve"> продължава</w:t>
      </w:r>
      <w:r w:rsidR="008E5A9B">
        <w:rPr>
          <w:lang w:val="bg-BG"/>
        </w:rPr>
        <w:t xml:space="preserve">, дори да се </w:t>
      </w:r>
      <w:r w:rsidR="007F07B3">
        <w:rPr>
          <w:lang w:val="bg-BG"/>
        </w:rPr>
        <w:t xml:space="preserve">е </w:t>
      </w:r>
      <w:r w:rsidR="008E5A9B">
        <w:rPr>
          <w:lang w:val="bg-BG"/>
        </w:rPr>
        <w:t>намира</w:t>
      </w:r>
      <w:r w:rsidR="007F07B3">
        <w:rPr>
          <w:lang w:val="bg-BG"/>
        </w:rPr>
        <w:t>ла</w:t>
      </w:r>
      <w:r w:rsidR="008E5A9B">
        <w:rPr>
          <w:lang w:val="bg-BG"/>
        </w:rPr>
        <w:t xml:space="preserve"> в латентно състояние и да е </w:t>
      </w:r>
      <w:r w:rsidR="007F07B3">
        <w:rPr>
          <w:lang w:val="bg-BG"/>
        </w:rPr>
        <w:t xml:space="preserve">била </w:t>
      </w:r>
      <w:r w:rsidR="008E5A9B">
        <w:rPr>
          <w:lang w:val="bg-BG"/>
        </w:rPr>
        <w:t>обект на избирателно, но систематично отрицание,</w:t>
      </w:r>
      <w:r w:rsidR="007F07B3">
        <w:rPr>
          <w:lang w:val="bg-BG"/>
        </w:rPr>
        <w:t xml:space="preserve"> т.е. водеща да е била общата практик</w:t>
      </w:r>
      <w:r w:rsidR="003C5803">
        <w:rPr>
          <w:lang w:val="bg-BG"/>
        </w:rPr>
        <w:t>а на безнаказаност и това да е б</w:t>
      </w:r>
      <w:r w:rsidR="007F07B3">
        <w:rPr>
          <w:lang w:val="bg-BG"/>
        </w:rPr>
        <w:t>ила причината действащите лица логично да приемат, че наказателната норма няма да се приложи.</w:t>
      </w:r>
      <w:r w:rsidR="00925F04">
        <w:rPr>
          <w:lang w:val="bg-BG"/>
        </w:rPr>
        <w:t xml:space="preserve"> С други думи, п</w:t>
      </w:r>
      <w:r w:rsidR="007F07B3">
        <w:rPr>
          <w:lang w:val="bg-BG"/>
        </w:rPr>
        <w:t>оне доколкото сферите на закона и морала се припокриват</w:t>
      </w:r>
      <w:r w:rsidR="005773A2">
        <w:rPr>
          <w:lang w:val="bg-BG"/>
        </w:rPr>
        <w:t>, избирате</w:t>
      </w:r>
      <w:r w:rsidR="00D116BF">
        <w:rPr>
          <w:lang w:val="bg-BG"/>
        </w:rPr>
        <w:t>лният отказ от приложение</w:t>
      </w:r>
      <w:r w:rsidR="005773A2">
        <w:rPr>
          <w:lang w:val="bg-BG"/>
        </w:rPr>
        <w:t xml:space="preserve"> на наказателна норма (системната практика на избирателна безнаказаност) не е пречка за</w:t>
      </w:r>
      <w:r w:rsidR="005773A2" w:rsidRPr="00945ED6">
        <w:rPr>
          <w:lang w:val="bg-BG"/>
        </w:rPr>
        <w:t xml:space="preserve"> </w:t>
      </w:r>
      <w:r w:rsidR="005773A2">
        <w:rPr>
          <w:lang w:val="bg-BG"/>
        </w:rPr>
        <w:t xml:space="preserve">съдебно преследване впоследствие. И тук поддържам тезата, която изложих в съвпадащото си мнение по делото </w:t>
      </w:r>
      <w:r w:rsidR="005773A2" w:rsidRPr="00E17978">
        <w:rPr>
          <w:i/>
        </w:rPr>
        <w:t>Streletz</w:t>
      </w:r>
      <w:r w:rsidR="005773A2" w:rsidRPr="00945ED6">
        <w:rPr>
          <w:i/>
          <w:lang w:val="bg-BG"/>
        </w:rPr>
        <w:t xml:space="preserve">, </w:t>
      </w:r>
      <w:r w:rsidR="005773A2">
        <w:rPr>
          <w:i/>
        </w:rPr>
        <w:t>Kessler</w:t>
      </w:r>
      <w:r w:rsidR="005773A2" w:rsidRPr="00945ED6">
        <w:rPr>
          <w:i/>
          <w:lang w:val="bg-BG"/>
        </w:rPr>
        <w:t xml:space="preserve"> </w:t>
      </w:r>
      <w:r w:rsidR="005773A2">
        <w:rPr>
          <w:i/>
        </w:rPr>
        <w:t>and</w:t>
      </w:r>
      <w:r w:rsidR="005773A2" w:rsidRPr="00945ED6">
        <w:rPr>
          <w:i/>
          <w:lang w:val="bg-BG"/>
        </w:rPr>
        <w:t xml:space="preserve"> </w:t>
      </w:r>
      <w:r w:rsidR="005773A2">
        <w:rPr>
          <w:i/>
        </w:rPr>
        <w:t>Krenz</w:t>
      </w:r>
      <w:r w:rsidR="005773A2">
        <w:rPr>
          <w:i/>
          <w:lang w:val="bg-BG"/>
        </w:rPr>
        <w:t xml:space="preserve"> </w:t>
      </w:r>
      <w:r w:rsidR="005773A2">
        <w:rPr>
          <w:lang w:val="bg-BG"/>
        </w:rPr>
        <w:t>– че не става въп</w:t>
      </w:r>
      <w:r w:rsidR="00D116BF">
        <w:rPr>
          <w:lang w:val="bg-BG"/>
        </w:rPr>
        <w:t>рос за приложение</w:t>
      </w:r>
      <w:r w:rsidR="005773A2">
        <w:rPr>
          <w:lang w:val="bg-BG"/>
        </w:rPr>
        <w:t xml:space="preserve"> с обратна сила на </w:t>
      </w:r>
      <w:r w:rsidR="00407EAA">
        <w:rPr>
          <w:lang w:val="bg-BG"/>
        </w:rPr>
        <w:t>наказателно право</w:t>
      </w:r>
      <w:r w:rsidR="005773A2">
        <w:rPr>
          <w:lang w:val="bg-BG"/>
        </w:rPr>
        <w:t>, а за непростима грешка на закона.</w:t>
      </w:r>
    </w:p>
    <w:p w:rsidR="005F4F7B" w:rsidRPr="005F4F7B" w:rsidRDefault="00A75F2C" w:rsidP="00E17978">
      <w:pPr>
        <w:pStyle w:val="OpiPara"/>
        <w:rPr>
          <w:lang w:val="bg-BG"/>
        </w:rPr>
      </w:pPr>
      <w:r>
        <w:rPr>
          <w:lang w:val="bg-BG"/>
        </w:rPr>
        <w:t>Н</w:t>
      </w:r>
      <w:r w:rsidR="005773A2">
        <w:rPr>
          <w:lang w:val="bg-BG"/>
        </w:rPr>
        <w:t>астоящото дело</w:t>
      </w:r>
      <w:r>
        <w:rPr>
          <w:lang w:val="bg-BG"/>
        </w:rPr>
        <w:t xml:space="preserve"> обаче</w:t>
      </w:r>
      <w:r w:rsidR="005773A2">
        <w:rPr>
          <w:lang w:val="bg-BG"/>
        </w:rPr>
        <w:t xml:space="preserve"> </w:t>
      </w:r>
      <w:r w:rsidR="0040042A">
        <w:rPr>
          <w:lang w:val="bg-BG"/>
        </w:rPr>
        <w:t xml:space="preserve">засяга </w:t>
      </w:r>
      <w:r w:rsidR="0040042A" w:rsidRPr="0040042A">
        <w:rPr>
          <w:i/>
          <w:lang w:val="bg-BG"/>
        </w:rPr>
        <w:t>позитивния</w:t>
      </w:r>
      <w:r w:rsidR="0040042A">
        <w:rPr>
          <w:lang w:val="bg-BG"/>
        </w:rPr>
        <w:t xml:space="preserve"> елемент на ретроспективността. В случая се занимаваме с п</w:t>
      </w:r>
      <w:r w:rsidR="003C5803">
        <w:rPr>
          <w:lang w:val="bg-BG"/>
        </w:rPr>
        <w:t>озитивни права (правото на лицата да бъд</w:t>
      </w:r>
      <w:r w:rsidR="00B500AB">
        <w:rPr>
          <w:lang w:val="bg-BG"/>
        </w:rPr>
        <w:t>ат</w:t>
      </w:r>
      <w:r w:rsidR="003C5803">
        <w:rPr>
          <w:lang w:val="bg-BG"/>
        </w:rPr>
        <w:t xml:space="preserve"> изби</w:t>
      </w:r>
      <w:r w:rsidR="00B500AB">
        <w:rPr>
          <w:lang w:val="bg-BG"/>
        </w:rPr>
        <w:t>р</w:t>
      </w:r>
      <w:r w:rsidR="003C5803">
        <w:rPr>
          <w:lang w:val="bg-BG"/>
        </w:rPr>
        <w:t>ани</w:t>
      </w:r>
      <w:r w:rsidR="0040042A">
        <w:rPr>
          <w:lang w:val="bg-BG"/>
        </w:rPr>
        <w:t>), а не с негативни наказателни норми. Ограничения по отношение</w:t>
      </w:r>
      <w:r w:rsidR="00D116BF">
        <w:rPr>
          <w:lang w:val="bg-BG"/>
        </w:rPr>
        <w:t xml:space="preserve"> на времевия обхват на приложение</w:t>
      </w:r>
      <w:r w:rsidR="0040042A">
        <w:rPr>
          <w:lang w:val="bg-BG"/>
        </w:rPr>
        <w:t xml:space="preserve"> на нормата, каквито произтичат от принципа на законност, са неприложими. Например разширеното тълкуване на презумпцията за невинност не допуска дискриминация спрямо бивши сътрудници (</w:t>
      </w:r>
      <w:r w:rsidR="009E12BE">
        <w:rPr>
          <w:lang w:val="bg-BG"/>
        </w:rPr>
        <w:t xml:space="preserve">лустрация), освен ако разбира се наказателната им отговорност не е била окончателно </w:t>
      </w:r>
      <w:r w:rsidR="00407EAA">
        <w:rPr>
          <w:lang w:val="bg-BG"/>
        </w:rPr>
        <w:t>доказана</w:t>
      </w:r>
      <w:r w:rsidR="009E12BE">
        <w:rPr>
          <w:lang w:val="bg-BG"/>
        </w:rPr>
        <w:t xml:space="preserve">. От значение е, че г-жа </w:t>
      </w:r>
      <w:r w:rsidR="00407EAA" w:rsidRPr="00530E30">
        <w:rPr>
          <w:lang w:val="bg-BG"/>
        </w:rPr>
        <w:t>Ž</w:t>
      </w:r>
      <w:r w:rsidR="00407EAA" w:rsidRPr="00E17978">
        <w:t>danoka</w:t>
      </w:r>
      <w:r w:rsidR="009E12BE">
        <w:rPr>
          <w:lang w:val="bg-BG"/>
        </w:rPr>
        <w:t xml:space="preserve"> </w:t>
      </w:r>
      <w:r w:rsidR="00D116BF">
        <w:rPr>
          <w:lang w:val="bg-BG"/>
        </w:rPr>
        <w:t xml:space="preserve">никога </w:t>
      </w:r>
      <w:r w:rsidR="009E12BE">
        <w:rPr>
          <w:lang w:val="bg-BG"/>
        </w:rPr>
        <w:t>не</w:t>
      </w:r>
      <w:r w:rsidR="00D116BF">
        <w:rPr>
          <w:lang w:val="bg-BG"/>
        </w:rPr>
        <w:t xml:space="preserve"> е осъждана</w:t>
      </w:r>
      <w:r w:rsidR="009E12BE">
        <w:rPr>
          <w:lang w:val="bg-BG"/>
        </w:rPr>
        <w:t>.</w:t>
      </w:r>
      <w:r w:rsidR="0040042A">
        <w:rPr>
          <w:lang w:val="bg-BG"/>
        </w:rPr>
        <w:t xml:space="preserve">  </w:t>
      </w:r>
      <w:r w:rsidR="005773A2">
        <w:rPr>
          <w:lang w:val="bg-BG"/>
        </w:rPr>
        <w:t xml:space="preserve">  </w:t>
      </w:r>
      <w:r w:rsidR="008E5A9B">
        <w:rPr>
          <w:lang w:val="bg-BG"/>
        </w:rPr>
        <w:t xml:space="preserve">     </w:t>
      </w:r>
      <w:r w:rsidR="00D07A1C">
        <w:rPr>
          <w:lang w:val="bg-BG"/>
        </w:rPr>
        <w:t xml:space="preserve">   </w:t>
      </w:r>
      <w:r w:rsidR="00A54240">
        <w:rPr>
          <w:lang w:val="bg-BG"/>
        </w:rPr>
        <w:t xml:space="preserve"> </w:t>
      </w:r>
      <w:r w:rsidR="005F4F7B">
        <w:rPr>
          <w:lang w:val="bg-BG"/>
        </w:rPr>
        <w:t xml:space="preserve"> </w:t>
      </w:r>
    </w:p>
    <w:p w:rsidR="00E17978" w:rsidRPr="00945ED6" w:rsidRDefault="00A75F2C" w:rsidP="008C46A2">
      <w:pPr>
        <w:pStyle w:val="OpiPara"/>
        <w:rPr>
          <w:lang w:val="bg-BG"/>
        </w:rPr>
      </w:pPr>
      <w:r>
        <w:rPr>
          <w:lang w:val="bg-BG"/>
        </w:rPr>
        <w:t xml:space="preserve">Освен това не може </w:t>
      </w:r>
      <w:r w:rsidR="008C46A2">
        <w:rPr>
          <w:lang w:val="bg-BG"/>
        </w:rPr>
        <w:t>да се възпрепятства активното у</w:t>
      </w:r>
      <w:r>
        <w:rPr>
          <w:lang w:val="bg-BG"/>
        </w:rPr>
        <w:t>частие на хората в демократичния процес, само защото има вероятност д</w:t>
      </w:r>
      <w:r w:rsidR="00267C0D">
        <w:rPr>
          <w:lang w:val="bg-BG"/>
        </w:rPr>
        <w:t>а бъдат избрани. Твърдяната</w:t>
      </w:r>
      <w:r>
        <w:rPr>
          <w:lang w:val="bg-BG"/>
        </w:rPr>
        <w:t xml:space="preserve"> политическа подривност на г-жа </w:t>
      </w:r>
      <w:r w:rsidR="00854EC0" w:rsidRPr="00DC786A">
        <w:rPr>
          <w:lang w:val="bg-BG"/>
        </w:rPr>
        <w:t>Ž</w:t>
      </w:r>
      <w:r w:rsidR="00854EC0" w:rsidRPr="00E17978">
        <w:t>danoka</w:t>
      </w:r>
      <w:r>
        <w:rPr>
          <w:lang w:val="bg-BG"/>
        </w:rPr>
        <w:t xml:space="preserve"> не</w:t>
      </w:r>
      <w:r w:rsidR="00D116BF">
        <w:rPr>
          <w:lang w:val="bg-BG"/>
        </w:rPr>
        <w:t xml:space="preserve"> произтича от </w:t>
      </w:r>
      <w:r>
        <w:rPr>
          <w:lang w:val="bg-BG"/>
        </w:rPr>
        <w:t xml:space="preserve">незаконна </w:t>
      </w:r>
      <w:r w:rsidRPr="00833A84">
        <w:rPr>
          <w:lang w:val="bg-BG"/>
        </w:rPr>
        <w:t>дейност от нейна страна, която да е установена от латвийски</w:t>
      </w:r>
      <w:r w:rsidR="008C46A2" w:rsidRPr="00833A84">
        <w:rPr>
          <w:lang w:val="bg-BG"/>
        </w:rPr>
        <w:t xml:space="preserve"> съд по наказателно производство. Освен това нейната политическа ориентация би била неопределена, ако не бяха </w:t>
      </w:r>
      <w:r w:rsidR="008C46A2" w:rsidRPr="00833A84">
        <w:rPr>
          <w:i/>
          <w:lang w:val="bg-BG"/>
        </w:rPr>
        <w:t>реалните шансове</w:t>
      </w:r>
      <w:r w:rsidR="008C46A2" w:rsidRPr="00833A84">
        <w:rPr>
          <w:lang w:val="bg-BG"/>
        </w:rPr>
        <w:t xml:space="preserve">, минали, настоящи или бъдещи, </w:t>
      </w:r>
      <w:r w:rsidR="008C46A2" w:rsidRPr="00833A84">
        <w:rPr>
          <w:i/>
          <w:lang w:val="bg-BG"/>
        </w:rPr>
        <w:t>да бъде</w:t>
      </w:r>
      <w:r w:rsidR="008C46A2" w:rsidRPr="00833A84">
        <w:rPr>
          <w:lang w:val="bg-BG"/>
        </w:rPr>
        <w:t xml:space="preserve"> избрана. От кого</w:t>
      </w:r>
      <w:r w:rsidR="00837D12" w:rsidRPr="00833A84">
        <w:rPr>
          <w:lang w:val="bg-BG"/>
        </w:rPr>
        <w:t>? От</w:t>
      </w:r>
      <w:r w:rsidR="00837D12">
        <w:rPr>
          <w:lang w:val="bg-BG"/>
        </w:rPr>
        <w:t xml:space="preserve"> представители на рускоговорящото малцинство</w:t>
      </w:r>
      <w:r w:rsidR="00E17978" w:rsidRPr="00945ED6">
        <w:rPr>
          <w:lang w:val="bg-BG"/>
        </w:rPr>
        <w:t>?</w:t>
      </w:r>
      <w:r w:rsidR="00E17978" w:rsidRPr="00E17978">
        <w:rPr>
          <w:rStyle w:val="FootnoteReference"/>
        </w:rPr>
        <w:footnoteReference w:id="9"/>
      </w:r>
      <w:r w:rsidR="00837D12">
        <w:rPr>
          <w:lang w:val="bg-BG"/>
        </w:rPr>
        <w:t xml:space="preserve"> Когато ѝ </w:t>
      </w:r>
      <w:r w:rsidR="00837D12" w:rsidRPr="00837D12">
        <w:rPr>
          <w:i/>
          <w:lang w:val="bg-BG"/>
        </w:rPr>
        <w:t>е било</w:t>
      </w:r>
      <w:r w:rsidR="00837D12">
        <w:rPr>
          <w:lang w:val="bg-BG"/>
        </w:rPr>
        <w:t xml:space="preserve"> </w:t>
      </w:r>
      <w:r w:rsidR="00837D12">
        <w:rPr>
          <w:lang w:val="bg-BG"/>
        </w:rPr>
        <w:lastRenderedPageBreak/>
        <w:t xml:space="preserve">позволено да се кандидатира (успешно) за член на Европейския парламент, това </w:t>
      </w:r>
      <w:r w:rsidR="00837D12" w:rsidRPr="00837D12">
        <w:rPr>
          <w:i/>
          <w:lang w:val="bg-BG"/>
        </w:rPr>
        <w:t>е било</w:t>
      </w:r>
      <w:r w:rsidR="00837D12">
        <w:rPr>
          <w:i/>
          <w:lang w:val="bg-BG"/>
        </w:rPr>
        <w:t xml:space="preserve"> </w:t>
      </w:r>
      <w:r w:rsidR="00837D12">
        <w:rPr>
          <w:lang w:val="bg-BG"/>
        </w:rPr>
        <w:t>толерирано, тъй като политическото ѝ влияние в Европейския парламент е</w:t>
      </w:r>
      <w:r w:rsidR="00837D12" w:rsidRPr="00945ED6">
        <w:rPr>
          <w:lang w:val="bg-BG"/>
        </w:rPr>
        <w:t xml:space="preserve"> </w:t>
      </w:r>
      <w:r w:rsidR="00837D12">
        <w:rPr>
          <w:lang w:val="bg-BG"/>
        </w:rPr>
        <w:t xml:space="preserve">разводнено и не представлява заплаха за </w:t>
      </w:r>
      <w:r w:rsidR="00AD3E65">
        <w:rPr>
          <w:lang w:val="bg-BG"/>
        </w:rPr>
        <w:t>автономното управление на Латвия. Между другото фактът, че е била избрана, доказва реалните шансове, споменати по-горе.</w:t>
      </w:r>
      <w:r w:rsidR="00837D12">
        <w:rPr>
          <w:lang w:val="bg-BG"/>
        </w:rPr>
        <w:t xml:space="preserve"> </w:t>
      </w:r>
      <w:r w:rsidR="00E17978" w:rsidRPr="00945ED6">
        <w:rPr>
          <w:lang w:val="bg-BG"/>
        </w:rPr>
        <w:t xml:space="preserve"> </w:t>
      </w:r>
    </w:p>
    <w:p w:rsidR="00AD3E65" w:rsidRPr="00945ED6" w:rsidRDefault="00AD3E65" w:rsidP="00E17978">
      <w:pPr>
        <w:pStyle w:val="OpiPara"/>
        <w:rPr>
          <w:lang w:val="bg-BG"/>
        </w:rPr>
      </w:pPr>
      <w:r>
        <w:rPr>
          <w:lang w:val="bg-BG"/>
        </w:rPr>
        <w:t xml:space="preserve">С други </w:t>
      </w:r>
      <w:r w:rsidR="008343F4">
        <w:rPr>
          <w:lang w:val="bg-BG"/>
        </w:rPr>
        <w:t xml:space="preserve">думи дори за миг не вярвам, че латвийските власти щяха да попречат на г-жа </w:t>
      </w:r>
      <w:r w:rsidR="00854EC0" w:rsidRPr="00DC786A">
        <w:rPr>
          <w:lang w:val="bg-BG"/>
        </w:rPr>
        <w:t>Ž</w:t>
      </w:r>
      <w:r w:rsidR="00854EC0" w:rsidRPr="00E17978">
        <w:t>danoka</w:t>
      </w:r>
      <w:r w:rsidR="008343F4">
        <w:rPr>
          <w:lang w:val="bg-BG"/>
        </w:rPr>
        <w:t xml:space="preserve"> да се кандидатира на национални избори в Латвия, ако само комунистическото ѝ </w:t>
      </w:r>
      <w:r w:rsidR="008343F4" w:rsidRPr="008343F4">
        <w:rPr>
          <w:i/>
          <w:lang w:val="bg-BG"/>
        </w:rPr>
        <w:t>минало</w:t>
      </w:r>
      <w:r w:rsidR="008343F4">
        <w:rPr>
          <w:lang w:val="bg-BG"/>
        </w:rPr>
        <w:t xml:space="preserve"> беше проблемът. Истинската причина не е и </w:t>
      </w:r>
      <w:r w:rsidR="008343F4" w:rsidRPr="008343F4">
        <w:rPr>
          <w:i/>
          <w:lang w:val="bg-BG"/>
        </w:rPr>
        <w:t>настоящото</w:t>
      </w:r>
      <w:r w:rsidR="008343F4">
        <w:rPr>
          <w:lang w:val="bg-BG"/>
        </w:rPr>
        <w:t xml:space="preserve"> ѝ нежелание да се отрече от комунистическите си възгледи. Латвийската гледна точка не засяга нищо повече (нито по-малко) от </w:t>
      </w:r>
      <w:r w:rsidR="008343F4" w:rsidRPr="008343F4">
        <w:rPr>
          <w:i/>
          <w:lang w:val="bg-BG"/>
        </w:rPr>
        <w:t>бъдещата</w:t>
      </w:r>
      <w:r w:rsidR="008343F4">
        <w:rPr>
          <w:lang w:val="bg-BG"/>
        </w:rPr>
        <w:t xml:space="preserve"> полити</w:t>
      </w:r>
      <w:r w:rsidR="003C5803">
        <w:rPr>
          <w:lang w:val="bg-BG"/>
        </w:rPr>
        <w:t>ческа опасност, която ще представлява</w:t>
      </w:r>
      <w:r w:rsidR="008343F4">
        <w:rPr>
          <w:lang w:val="bg-BG"/>
        </w:rPr>
        <w:t xml:space="preserve"> г-жа </w:t>
      </w:r>
      <w:r w:rsidR="00F77E0E" w:rsidRPr="00DC786A">
        <w:rPr>
          <w:lang w:val="bg-BG"/>
        </w:rPr>
        <w:t>Ž</w:t>
      </w:r>
      <w:r w:rsidR="00F77E0E" w:rsidRPr="00E17978">
        <w:t>danoka</w:t>
      </w:r>
      <w:r w:rsidR="008343F4">
        <w:rPr>
          <w:lang w:val="bg-BG"/>
        </w:rPr>
        <w:t xml:space="preserve">. Това се дължи на демографския </w:t>
      </w:r>
      <w:r w:rsidR="008343F4" w:rsidRPr="00530E30">
        <w:rPr>
          <w:i/>
          <w:lang w:val="bg-BG"/>
        </w:rPr>
        <w:t>факт</w:t>
      </w:r>
      <w:r w:rsidR="008343F4">
        <w:rPr>
          <w:lang w:val="bg-BG"/>
        </w:rPr>
        <w:t xml:space="preserve">, че тридесет процента </w:t>
      </w:r>
      <w:r w:rsidR="008964FB">
        <w:rPr>
          <w:lang w:val="bg-BG"/>
        </w:rPr>
        <w:t>от съществуващото латвийско население говор</w:t>
      </w:r>
      <w:r w:rsidR="00F77E0E">
        <w:rPr>
          <w:lang w:val="bg-BG"/>
        </w:rPr>
        <w:t>и</w:t>
      </w:r>
      <w:r w:rsidR="008964FB">
        <w:rPr>
          <w:lang w:val="bg-BG"/>
        </w:rPr>
        <w:t xml:space="preserve"> руски. Така се поставя в предполагаема опасност автономното управление на автох</w:t>
      </w:r>
      <w:r w:rsidR="004E365D">
        <w:rPr>
          <w:lang w:val="bg-BG"/>
        </w:rPr>
        <w:t>т</w:t>
      </w:r>
      <w:r w:rsidR="008964FB">
        <w:rPr>
          <w:lang w:val="bg-BG"/>
        </w:rPr>
        <w:t xml:space="preserve">онното мнозинство, в чието име поначало е извършено разделението на Латвия (и на другите две прибалтийски държави) от Съветския съюз. </w:t>
      </w:r>
    </w:p>
    <w:p w:rsidR="008F5FCA" w:rsidRDefault="008964FB" w:rsidP="00E17978">
      <w:pPr>
        <w:pStyle w:val="OpiPara"/>
        <w:rPr>
          <w:lang w:val="bg-BG"/>
        </w:rPr>
      </w:pPr>
      <w:r>
        <w:rPr>
          <w:lang w:val="bg-BG"/>
        </w:rPr>
        <w:t>Сега, когато сме достигнали етап, в който без легалистичните димни завеси можем да наричаме нещата с истинските им имена, най-сетне имаме възможност да се занимаем с истинския въпрос. Голямото рускоговорящо малцинство в Латвия е демографски вторичен продукт от дългосрочната</w:t>
      </w:r>
      <w:r w:rsidR="00EC58B2">
        <w:rPr>
          <w:lang w:val="bg-BG"/>
        </w:rPr>
        <w:t xml:space="preserve"> незаконна</w:t>
      </w:r>
      <w:r>
        <w:rPr>
          <w:lang w:val="bg-BG"/>
        </w:rPr>
        <w:t xml:space="preserve"> окупаци</w:t>
      </w:r>
      <w:r w:rsidR="00EC58B2">
        <w:rPr>
          <w:lang w:val="bg-BG"/>
        </w:rPr>
        <w:t>я от страна на Съветския съюз. Означава ли и</w:t>
      </w:r>
      <w:r>
        <w:rPr>
          <w:lang w:val="bg-BG"/>
        </w:rPr>
        <w:t xml:space="preserve">сторическият факт, че окупацията </w:t>
      </w:r>
      <w:r w:rsidRPr="008964FB">
        <w:rPr>
          <w:i/>
          <w:lang w:val="bg-BG"/>
        </w:rPr>
        <w:t>е била</w:t>
      </w:r>
      <w:r w:rsidR="00EC58B2">
        <w:rPr>
          <w:lang w:val="bg-BG"/>
        </w:rPr>
        <w:t xml:space="preserve"> незаконна – вероятно неслучайно в мнението на мнозинството се подчертава и някогашната незаконност на пакта Молотов-Рибентроп – че самото гражданство на рускоговорящото население на Латвия е незаконно?</w:t>
      </w:r>
      <w:r w:rsidR="00EC58B2" w:rsidRPr="00945ED6">
        <w:rPr>
          <w:rStyle w:val="FootnoteReference"/>
          <w:lang w:val="bg-BG"/>
        </w:rPr>
        <w:t xml:space="preserve"> </w:t>
      </w:r>
      <w:r w:rsidR="00EC58B2" w:rsidRPr="00E17978">
        <w:rPr>
          <w:rStyle w:val="FootnoteReference"/>
        </w:rPr>
        <w:footnoteReference w:id="10"/>
      </w:r>
      <w:r w:rsidR="00EC58B2">
        <w:rPr>
          <w:lang w:val="bg-BG"/>
        </w:rPr>
        <w:t xml:space="preserve"> </w:t>
      </w:r>
      <w:r>
        <w:rPr>
          <w:i/>
          <w:lang w:val="bg-BG"/>
        </w:rPr>
        <w:t xml:space="preserve"> </w:t>
      </w:r>
      <w:r>
        <w:rPr>
          <w:lang w:val="bg-BG"/>
        </w:rPr>
        <w:t xml:space="preserve"> </w:t>
      </w:r>
    </w:p>
    <w:p w:rsidR="00E17978" w:rsidRPr="008964FB" w:rsidRDefault="00685F43" w:rsidP="00E17978">
      <w:pPr>
        <w:pStyle w:val="OpiPara"/>
        <w:rPr>
          <w:lang w:val="bg-BG"/>
        </w:rPr>
      </w:pPr>
      <w:r>
        <w:rPr>
          <w:lang w:val="bg-BG"/>
        </w:rPr>
        <w:t>С по-различна фо</w:t>
      </w:r>
      <w:r w:rsidR="003C5803">
        <w:rPr>
          <w:lang w:val="bg-BG"/>
        </w:rPr>
        <w:t>рмулировка, същият въпрос изникв</w:t>
      </w:r>
      <w:r>
        <w:rPr>
          <w:lang w:val="bg-BG"/>
        </w:rPr>
        <w:t xml:space="preserve">а и по делото </w:t>
      </w:r>
      <w:r w:rsidRPr="00E17978">
        <w:rPr>
          <w:i/>
        </w:rPr>
        <w:t>Slivenko</w:t>
      </w:r>
      <w:r>
        <w:rPr>
          <w:i/>
          <w:lang w:val="bg-BG"/>
        </w:rPr>
        <w:t xml:space="preserve"> </w:t>
      </w:r>
      <w:r>
        <w:rPr>
          <w:lang w:val="bg-BG"/>
        </w:rPr>
        <w:t xml:space="preserve">(цитирано по-горе). Критичното разграничение, когато човешкото право на индивида е поставено на карта, е именно между </w:t>
      </w:r>
      <w:r>
        <w:rPr>
          <w:i/>
          <w:lang w:val="bg-BG"/>
        </w:rPr>
        <w:t xml:space="preserve">личната </w:t>
      </w:r>
      <w:r>
        <w:rPr>
          <w:lang w:val="bg-BG"/>
        </w:rPr>
        <w:t xml:space="preserve">ситуация на индивида от една страна и от друга страна </w:t>
      </w:r>
      <w:r w:rsidR="00354C6E">
        <w:rPr>
          <w:lang w:val="bg-BG"/>
        </w:rPr>
        <w:t>по-широката</w:t>
      </w:r>
      <w:r>
        <w:rPr>
          <w:lang w:val="bg-BG"/>
        </w:rPr>
        <w:t xml:space="preserve"> историческа или </w:t>
      </w:r>
      <w:r w:rsidRPr="00685F43">
        <w:rPr>
          <w:i/>
          <w:lang w:val="bg-BG"/>
        </w:rPr>
        <w:t>колективна</w:t>
      </w:r>
      <w:r>
        <w:rPr>
          <w:lang w:val="bg-BG"/>
        </w:rPr>
        <w:t xml:space="preserve"> ситуация на групата, към която </w:t>
      </w:r>
      <w:r>
        <w:rPr>
          <w:lang w:val="bg-BG"/>
        </w:rPr>
        <w:lastRenderedPageBreak/>
        <w:t>принадлежи</w:t>
      </w:r>
      <w:r w:rsidRPr="00E17978">
        <w:rPr>
          <w:rStyle w:val="FootnoteReference"/>
        </w:rPr>
        <w:footnoteReference w:id="11"/>
      </w:r>
      <w:r>
        <w:rPr>
          <w:lang w:val="bg-BG"/>
        </w:rPr>
        <w:t>. По принцип, човешките права са строго индивидуални права. Историческите и колективни</w:t>
      </w:r>
      <w:r w:rsidR="00B31C4F">
        <w:rPr>
          <w:lang w:val="bg-BG"/>
        </w:rPr>
        <w:t>те</w:t>
      </w:r>
      <w:r>
        <w:rPr>
          <w:lang w:val="bg-BG"/>
        </w:rPr>
        <w:t xml:space="preserve"> аспекти на ситуацията са извън обсега на н</w:t>
      </w:r>
      <w:r w:rsidR="0061542A">
        <w:rPr>
          <w:lang w:val="bg-BG"/>
        </w:rPr>
        <w:t>ашата компетентност</w:t>
      </w:r>
      <w:r>
        <w:rPr>
          <w:lang w:val="bg-BG"/>
        </w:rPr>
        <w:t xml:space="preserve">.   </w:t>
      </w:r>
      <w:r w:rsidR="008964FB">
        <w:rPr>
          <w:lang w:val="bg-BG"/>
        </w:rPr>
        <w:t xml:space="preserve"> </w:t>
      </w:r>
    </w:p>
    <w:p w:rsidR="00685F43" w:rsidRPr="009348C9" w:rsidRDefault="00685F43" w:rsidP="00E17978">
      <w:pPr>
        <w:pStyle w:val="OpiPara"/>
        <w:rPr>
          <w:lang w:val="bg-BG"/>
        </w:rPr>
      </w:pPr>
      <w:r>
        <w:rPr>
          <w:lang w:val="bg-BG"/>
        </w:rPr>
        <w:t xml:space="preserve">Въпреки това мнението на мнозинството, както и националните решения </w:t>
      </w:r>
      <w:r w:rsidR="009348C9">
        <w:rPr>
          <w:lang w:val="bg-BG"/>
        </w:rPr>
        <w:t xml:space="preserve">по отношение на г-жа </w:t>
      </w:r>
      <w:r w:rsidR="00B31C4F" w:rsidRPr="00530E30">
        <w:rPr>
          <w:lang w:val="bg-BG"/>
        </w:rPr>
        <w:t>Ž</w:t>
      </w:r>
      <w:r w:rsidR="00B31C4F" w:rsidRPr="00E17978">
        <w:t>danoka</w:t>
      </w:r>
      <w:r w:rsidR="009348C9">
        <w:rPr>
          <w:lang w:val="bg-BG"/>
        </w:rPr>
        <w:t xml:space="preserve">, </w:t>
      </w:r>
      <w:r w:rsidR="00B31C4F">
        <w:rPr>
          <w:lang w:val="bg-BG"/>
        </w:rPr>
        <w:t xml:space="preserve">с право </w:t>
      </w:r>
      <w:r w:rsidR="009348C9">
        <w:rPr>
          <w:lang w:val="bg-BG"/>
        </w:rPr>
        <w:t>се отнася към ситуацията ѝ като към представителна не с</w:t>
      </w:r>
      <w:r w:rsidR="00236C89">
        <w:rPr>
          <w:lang w:val="bg-BG"/>
        </w:rPr>
        <w:t>амо за личната ѝ съдба. Както изглежда,</w:t>
      </w:r>
      <w:r w:rsidR="009348C9">
        <w:rPr>
          <w:lang w:val="bg-BG"/>
        </w:rPr>
        <w:t xml:space="preserve"> правото </w:t>
      </w:r>
      <w:r w:rsidR="00792EAC">
        <w:rPr>
          <w:lang w:val="bg-BG"/>
        </w:rPr>
        <w:t>на дадено лице</w:t>
      </w:r>
      <w:r w:rsidR="009348C9">
        <w:rPr>
          <w:lang w:val="bg-BG"/>
        </w:rPr>
        <w:t xml:space="preserve"> да се кандидатира на избори – поради тази причина включено в отделен протокол – се отразява както на </w:t>
      </w:r>
      <w:r w:rsidR="00792EAC">
        <w:rPr>
          <w:lang w:val="bg-BG"/>
        </w:rPr>
        <w:t>индивида</w:t>
      </w:r>
      <w:r w:rsidR="009348C9">
        <w:rPr>
          <w:lang w:val="bg-BG"/>
        </w:rPr>
        <w:t xml:space="preserve"> (г-жа </w:t>
      </w:r>
      <w:r w:rsidR="00B31C4F" w:rsidRPr="00530E30">
        <w:rPr>
          <w:lang w:val="bg-BG"/>
        </w:rPr>
        <w:t>Ž</w:t>
      </w:r>
      <w:r w:rsidR="00B31C4F" w:rsidRPr="00E17978">
        <w:t>danoka</w:t>
      </w:r>
      <w:r w:rsidR="009348C9">
        <w:rPr>
          <w:lang w:val="bg-BG"/>
        </w:rPr>
        <w:t xml:space="preserve">), </w:t>
      </w:r>
      <w:r w:rsidR="009348C9" w:rsidRPr="009348C9">
        <w:rPr>
          <w:i/>
          <w:lang w:val="bg-BG"/>
        </w:rPr>
        <w:t>така</w:t>
      </w:r>
      <w:r w:rsidR="009348C9">
        <w:rPr>
          <w:lang w:val="bg-BG"/>
        </w:rPr>
        <w:t xml:space="preserve"> </w:t>
      </w:r>
      <w:r w:rsidR="009348C9" w:rsidRPr="009348C9">
        <w:rPr>
          <w:i/>
          <w:lang w:val="bg-BG"/>
        </w:rPr>
        <w:t>и</w:t>
      </w:r>
      <w:r w:rsidR="009348C9">
        <w:rPr>
          <w:lang w:val="bg-BG"/>
        </w:rPr>
        <w:t xml:space="preserve"> на колектива (р</w:t>
      </w:r>
      <w:r w:rsidR="003C5803">
        <w:rPr>
          <w:lang w:val="bg-BG"/>
        </w:rPr>
        <w:t>ускоговорящото малцинство), кой</w:t>
      </w:r>
      <w:r w:rsidR="009348C9">
        <w:rPr>
          <w:lang w:val="bg-BG"/>
        </w:rPr>
        <w:t xml:space="preserve">то има амбицията да представлява в политическо отношение. Мнението на мнозинството обаче </w:t>
      </w:r>
      <w:r w:rsidR="008A044C">
        <w:rPr>
          <w:i/>
          <w:lang w:val="bg-BG"/>
        </w:rPr>
        <w:t>имплицитно</w:t>
      </w:r>
      <w:r w:rsidR="008A044C">
        <w:rPr>
          <w:lang w:val="bg-BG"/>
        </w:rPr>
        <w:t xml:space="preserve"> </w:t>
      </w:r>
      <w:r w:rsidR="00DB626F">
        <w:rPr>
          <w:lang w:val="bg-BG"/>
        </w:rPr>
        <w:t xml:space="preserve">смесва двата аспекта. Последствието от това смесване на различни въпроси е </w:t>
      </w:r>
      <w:r w:rsidR="00DB626F" w:rsidRPr="00DB626F">
        <w:rPr>
          <w:i/>
          <w:lang w:val="bg-BG"/>
        </w:rPr>
        <w:t>открито</w:t>
      </w:r>
      <w:r w:rsidR="00DB626F">
        <w:rPr>
          <w:i/>
          <w:lang w:val="bg-BG"/>
        </w:rPr>
        <w:t xml:space="preserve">то </w:t>
      </w:r>
      <w:r w:rsidR="00DB626F">
        <w:rPr>
          <w:lang w:val="bg-BG"/>
        </w:rPr>
        <w:t>утвържд</w:t>
      </w:r>
      <w:r w:rsidR="003C5803">
        <w:rPr>
          <w:lang w:val="bg-BG"/>
        </w:rPr>
        <w:t>аване на отказа на правото на определено лице</w:t>
      </w:r>
      <w:r w:rsidR="00DB626F">
        <w:rPr>
          <w:lang w:val="bg-BG"/>
        </w:rPr>
        <w:t xml:space="preserve"> да се кандидатира на избори. Причината за въпросния отказ е, че г-жа </w:t>
      </w:r>
      <w:r w:rsidR="008A044C" w:rsidRPr="00530E30">
        <w:rPr>
          <w:lang w:val="bg-BG"/>
        </w:rPr>
        <w:t>Ž</w:t>
      </w:r>
      <w:r w:rsidR="008A044C" w:rsidRPr="00E17978">
        <w:t>danoka</w:t>
      </w:r>
      <w:r w:rsidR="00DB626F">
        <w:rPr>
          <w:lang w:val="bg-BG"/>
        </w:rPr>
        <w:t xml:space="preserve"> има реален шанс да бъде избрана</w:t>
      </w:r>
      <w:r w:rsidR="008A044C" w:rsidRPr="00E17978">
        <w:rPr>
          <w:rStyle w:val="FootnoteReference"/>
        </w:rPr>
        <w:footnoteReference w:id="12"/>
      </w:r>
      <w:r w:rsidR="00DB626F">
        <w:rPr>
          <w:lang w:val="bg-BG"/>
        </w:rPr>
        <w:t xml:space="preserve">. Дотук с демокрацията.  </w:t>
      </w:r>
      <w:r w:rsidR="009348C9">
        <w:rPr>
          <w:lang w:val="bg-BG"/>
        </w:rPr>
        <w:t xml:space="preserve">  </w:t>
      </w:r>
    </w:p>
    <w:p w:rsidR="0061542A" w:rsidRPr="00945ED6" w:rsidRDefault="00DB626F" w:rsidP="00E17978">
      <w:pPr>
        <w:pStyle w:val="OpiPara"/>
        <w:rPr>
          <w:lang w:val="bg-BG"/>
        </w:rPr>
      </w:pPr>
      <w:r>
        <w:rPr>
          <w:lang w:val="bg-BG"/>
        </w:rPr>
        <w:t>Вярно е, че този резултат е последствие от тесния обхват на нашата компетентност.</w:t>
      </w:r>
      <w:r w:rsidR="0061542A">
        <w:rPr>
          <w:lang w:val="bg-BG"/>
        </w:rPr>
        <w:t xml:space="preserve"> И все пак, ние сме тук, за да поправяме историческите грешки ли? Трябва ли да кажем, че 30% от латвийското население е </w:t>
      </w:r>
      <w:r w:rsidR="008A044C">
        <w:rPr>
          <w:lang w:val="bg-BG"/>
        </w:rPr>
        <w:t xml:space="preserve">там </w:t>
      </w:r>
      <w:r w:rsidR="0061542A">
        <w:rPr>
          <w:lang w:val="bg-BG"/>
        </w:rPr>
        <w:t xml:space="preserve">нелегално? Дори тези хора да се смятат за чужденци, колективното им </w:t>
      </w:r>
      <w:r w:rsidR="008D44BD">
        <w:rPr>
          <w:lang w:val="bg-BG"/>
        </w:rPr>
        <w:t xml:space="preserve">експулсиране </w:t>
      </w:r>
      <w:r w:rsidR="0061542A">
        <w:rPr>
          <w:lang w:val="bg-BG"/>
        </w:rPr>
        <w:t>би било категорично забранено от чл</w:t>
      </w:r>
      <w:r w:rsidR="008D44BD">
        <w:rPr>
          <w:lang w:val="bg-BG"/>
        </w:rPr>
        <w:t xml:space="preserve">ен </w:t>
      </w:r>
      <w:r w:rsidR="0061542A">
        <w:rPr>
          <w:lang w:val="bg-BG"/>
        </w:rPr>
        <w:t xml:space="preserve">4 от Протокол </w:t>
      </w:r>
      <w:r w:rsidR="0061542A" w:rsidRPr="00945ED6">
        <w:rPr>
          <w:lang w:val="bg-BG"/>
        </w:rPr>
        <w:t>№ 4</w:t>
      </w:r>
      <w:r w:rsidR="0061542A" w:rsidRPr="00E17978">
        <w:rPr>
          <w:rStyle w:val="FootnoteReference"/>
        </w:rPr>
        <w:footnoteReference w:id="13"/>
      </w:r>
      <w:r w:rsidR="0061542A" w:rsidRPr="00945ED6">
        <w:rPr>
          <w:lang w:val="bg-BG"/>
        </w:rPr>
        <w:t>.</w:t>
      </w:r>
      <w:r w:rsidR="0061542A">
        <w:rPr>
          <w:lang w:val="bg-BG"/>
        </w:rPr>
        <w:t xml:space="preserve"> Забраната за колективно </w:t>
      </w:r>
      <w:r w:rsidR="00A038F7">
        <w:rPr>
          <w:lang w:val="bg-BG"/>
        </w:rPr>
        <w:t xml:space="preserve">експулсиране </w:t>
      </w:r>
      <w:r w:rsidR="0061542A">
        <w:rPr>
          <w:lang w:val="bg-BG"/>
        </w:rPr>
        <w:t xml:space="preserve">на чужденци дава ясен </w:t>
      </w:r>
      <w:r w:rsidR="0061542A" w:rsidRPr="0061542A">
        <w:rPr>
          <w:i/>
          <w:lang w:val="bg-BG"/>
        </w:rPr>
        <w:t>правен</w:t>
      </w:r>
      <w:r w:rsidR="0061542A">
        <w:rPr>
          <w:lang w:val="bg-BG"/>
        </w:rPr>
        <w:t xml:space="preserve"> отговор на този въпрос, ако наистина има нужда от такъв. Този отговор е толерантност с течение на времето. </w:t>
      </w:r>
      <w:r w:rsidR="0061542A" w:rsidRPr="00945ED6">
        <w:rPr>
          <w:lang w:val="bg-BG"/>
        </w:rPr>
        <w:t xml:space="preserve"> </w:t>
      </w:r>
    </w:p>
    <w:p w:rsidR="00DB626F" w:rsidRPr="00DB626F" w:rsidRDefault="0061542A" w:rsidP="00E17978">
      <w:pPr>
        <w:pStyle w:val="OpiPara"/>
        <w:rPr>
          <w:lang w:val="bg-BG"/>
        </w:rPr>
      </w:pPr>
      <w:r>
        <w:rPr>
          <w:lang w:val="bg-BG"/>
        </w:rPr>
        <w:t xml:space="preserve">Дилемата не се отнася само за прибалтийските държави. Фактически цялата европейска история, да не говорим за ужасяващите ѝ колониални </w:t>
      </w:r>
      <w:r>
        <w:rPr>
          <w:lang w:val="bg-BG"/>
        </w:rPr>
        <w:lastRenderedPageBreak/>
        <w:t xml:space="preserve">жестокости, е наситена с </w:t>
      </w:r>
      <w:r w:rsidR="00A038F7">
        <w:rPr>
          <w:lang w:val="bg-BG"/>
        </w:rPr>
        <w:t xml:space="preserve">периодично </w:t>
      </w:r>
      <w:r>
        <w:rPr>
          <w:lang w:val="bg-BG"/>
        </w:rPr>
        <w:t>повтарящо се „движение на народите“ – обикновено чрез войни или насилствено завладяване. Няма нужда да се споменава, че според принципите на международното право – доколкото неговите критерии изобщо са приложими – повечето от тези</w:t>
      </w:r>
      <w:r w:rsidR="00F2095E">
        <w:rPr>
          <w:lang w:val="bg-BG"/>
        </w:rPr>
        <w:t xml:space="preserve"> завладявания са напълно „незаконни“. Работа на историците е да оценяват крайните рез</w:t>
      </w:r>
      <w:r w:rsidR="003C5803">
        <w:rPr>
          <w:lang w:val="bg-BG"/>
        </w:rPr>
        <w:t>ултати от това смесване на народ</w:t>
      </w:r>
      <w:r w:rsidR="00F2095E">
        <w:rPr>
          <w:lang w:val="bg-BG"/>
        </w:rPr>
        <w:t>и, да определят кой във всеки отделен случай е бил победител и кой е бил победен.</w:t>
      </w:r>
      <w:r>
        <w:rPr>
          <w:lang w:val="bg-BG"/>
        </w:rPr>
        <w:t xml:space="preserve">   </w:t>
      </w:r>
    </w:p>
    <w:p w:rsidR="00F2095E" w:rsidRPr="00354C6E" w:rsidRDefault="00F2095E" w:rsidP="00E17978">
      <w:pPr>
        <w:pStyle w:val="OpiPara"/>
        <w:rPr>
          <w:lang w:val="bg-BG"/>
        </w:rPr>
      </w:pPr>
      <w:r>
        <w:rPr>
          <w:lang w:val="bg-BG"/>
        </w:rPr>
        <w:t>Конфликтът обаче винаги се е състоял във въпроса</w:t>
      </w:r>
      <w:r w:rsidR="003C5803">
        <w:rPr>
          <w:lang w:val="bg-BG"/>
        </w:rPr>
        <w:t>:</w:t>
      </w:r>
      <w:r>
        <w:rPr>
          <w:lang w:val="bg-BG"/>
        </w:rPr>
        <w:t xml:space="preserve"> запазване на националната идентичност </w:t>
      </w:r>
      <w:r w:rsidRPr="00F2095E">
        <w:rPr>
          <w:i/>
          <w:lang w:val="bg-BG"/>
        </w:rPr>
        <w:t>или</w:t>
      </w:r>
      <w:r w:rsidR="003C5803">
        <w:rPr>
          <w:lang w:val="bg-BG"/>
        </w:rPr>
        <w:t xml:space="preserve"> асимилация?</w:t>
      </w:r>
      <w:r>
        <w:rPr>
          <w:lang w:val="bg-BG"/>
        </w:rPr>
        <w:t xml:space="preserve"> </w:t>
      </w:r>
      <w:r w:rsidR="00354C6E">
        <w:rPr>
          <w:lang w:val="bg-BG"/>
        </w:rPr>
        <w:t>От гледна точка на международното право, формулата относно „самоопределението на нациите“ на Удроу Уилсън предполага, както създателя</w:t>
      </w:r>
      <w:r w:rsidR="00AD732A">
        <w:rPr>
          <w:lang w:val="bg-BG"/>
        </w:rPr>
        <w:t>т</w:t>
      </w:r>
      <w:r w:rsidR="00354C6E">
        <w:rPr>
          <w:lang w:val="bg-BG"/>
        </w:rPr>
        <w:t xml:space="preserve"> ѝ е бил пр</w:t>
      </w:r>
      <w:r w:rsidR="00360C05">
        <w:rPr>
          <w:lang w:val="bg-BG"/>
        </w:rPr>
        <w:t>едупреден от своите съветници на</w:t>
      </w:r>
      <w:r w:rsidR="00354C6E">
        <w:rPr>
          <w:lang w:val="bg-BG"/>
        </w:rPr>
        <w:t>времето, широкообхватна конкретизация и етническа нетърпимост</w:t>
      </w:r>
      <w:r w:rsidR="00CF0C22" w:rsidRPr="00E17978">
        <w:rPr>
          <w:rStyle w:val="FootnoteReference"/>
        </w:rPr>
        <w:footnoteReference w:id="14"/>
      </w:r>
      <w:r w:rsidR="00354C6E">
        <w:rPr>
          <w:lang w:val="bg-BG"/>
        </w:rPr>
        <w:t>.</w:t>
      </w:r>
    </w:p>
    <w:p w:rsidR="00CF0C22" w:rsidRPr="00E21EE2" w:rsidRDefault="00CF0C22" w:rsidP="00CF0C22">
      <w:pPr>
        <w:pStyle w:val="OpiPara"/>
        <w:rPr>
          <w:lang w:val="bg-BG"/>
        </w:rPr>
      </w:pPr>
      <w:r>
        <w:rPr>
          <w:lang w:val="bg-BG"/>
        </w:rPr>
        <w:t>Успоредно с този процес на конкретизация обаче днес наблюдаваме и и</w:t>
      </w:r>
      <w:r w:rsidR="00360C05">
        <w:rPr>
          <w:lang w:val="bg-BG"/>
        </w:rPr>
        <w:t>нтензивен глобален процес на уни</w:t>
      </w:r>
      <w:r>
        <w:rPr>
          <w:lang w:val="bg-BG"/>
        </w:rPr>
        <w:t xml:space="preserve">версализация. Нарича се „глобализация“. Някои правни теоретици, сред тях Роберто Мангабейра Унгер от Харвард, дори смятат, че настоящото интензивно завръщане към идеята за „запазване на националната идентичност“, или хаоса на национализма, </w:t>
      </w:r>
      <w:r w:rsidR="00E21EE2">
        <w:rPr>
          <w:lang w:val="bg-BG"/>
        </w:rPr>
        <w:t xml:space="preserve">е регресивна и </w:t>
      </w:r>
      <w:r w:rsidR="00F82480">
        <w:rPr>
          <w:lang w:val="bg-BG"/>
        </w:rPr>
        <w:t>свръх</w:t>
      </w:r>
      <w:r w:rsidR="00E21EE2">
        <w:rPr>
          <w:lang w:val="bg-BG"/>
        </w:rPr>
        <w:t>компенсаторна реакция, произтичаща не от междудържавните завоевания, а от процеса на глобализация. Посредством търговските връзки и средствата за глобални комуникации се получава настойчиво и постепенно заличаване на остатъчните ценнос</w:t>
      </w:r>
      <w:r w:rsidR="00792EAC">
        <w:rPr>
          <w:lang w:val="bg-BG"/>
        </w:rPr>
        <w:t>тни йерархии, етнически ценности</w:t>
      </w:r>
      <w:r w:rsidR="00E21EE2">
        <w:rPr>
          <w:lang w:val="bg-BG"/>
        </w:rPr>
        <w:t xml:space="preserve"> и</w:t>
      </w:r>
      <w:r w:rsidR="00E33D63">
        <w:rPr>
          <w:lang w:val="bg-BG"/>
        </w:rPr>
        <w:t xml:space="preserve"> </w:t>
      </w:r>
      <w:r w:rsidR="00E21EE2">
        <w:rPr>
          <w:lang w:val="bg-BG"/>
        </w:rPr>
        <w:t>отличителна културна производителност. В средите на международното право се говори за правен и културен импер</w:t>
      </w:r>
      <w:r w:rsidR="00B0226E">
        <w:rPr>
          <w:lang w:val="bg-BG"/>
        </w:rPr>
        <w:t>и</w:t>
      </w:r>
      <w:r w:rsidR="00E21EE2">
        <w:rPr>
          <w:lang w:val="bg-BG"/>
        </w:rPr>
        <w:t>ализъм</w:t>
      </w:r>
      <w:r w:rsidR="008F7198" w:rsidRPr="00E17978">
        <w:rPr>
          <w:rStyle w:val="FootnoteReference"/>
        </w:rPr>
        <w:footnoteReference w:id="15"/>
      </w:r>
      <w:r w:rsidR="00E21EE2">
        <w:rPr>
          <w:lang w:val="bg-BG"/>
        </w:rPr>
        <w:t xml:space="preserve">.  </w:t>
      </w:r>
    </w:p>
    <w:p w:rsidR="00E33D63" w:rsidRPr="00945ED6" w:rsidRDefault="00E33D63" w:rsidP="00E33D63">
      <w:pPr>
        <w:pStyle w:val="OpiPara"/>
        <w:rPr>
          <w:lang w:val="bg-BG"/>
        </w:rPr>
      </w:pPr>
      <w:r>
        <w:rPr>
          <w:lang w:val="bg-BG"/>
        </w:rPr>
        <w:lastRenderedPageBreak/>
        <w:t xml:space="preserve">Двата процеса (на конкретизация и универсализация) протичат успоредно и диалектически се обуславят един друг. Процесът на конкретизация предполага, сякаш разбиването </w:t>
      </w:r>
      <w:r w:rsidRPr="00792EAC">
        <w:rPr>
          <w:lang w:val="bg-BG"/>
        </w:rPr>
        <w:t>на Европа на многобройни малки държавици не беше достатъчно, регр</w:t>
      </w:r>
      <w:r w:rsidR="00360C05" w:rsidRPr="00792EAC">
        <w:rPr>
          <w:lang w:val="bg-BG"/>
        </w:rPr>
        <w:t>есия към</w:t>
      </w:r>
      <w:r w:rsidRPr="00792EAC">
        <w:rPr>
          <w:lang w:val="bg-BG"/>
        </w:rPr>
        <w:t xml:space="preserve"> още по-малки единици на етническа отбрана.</w:t>
      </w:r>
    </w:p>
    <w:p w:rsidR="00E33D63" w:rsidRPr="00E33D63" w:rsidRDefault="00E33D63" w:rsidP="00E17978">
      <w:pPr>
        <w:pStyle w:val="OpiPara"/>
        <w:rPr>
          <w:lang w:val="bg-BG"/>
        </w:rPr>
      </w:pPr>
      <w:r>
        <w:rPr>
          <w:lang w:val="bg-BG"/>
        </w:rPr>
        <w:t>Успоредно с това неизбежната универсализация (</w:t>
      </w:r>
      <w:r w:rsidR="009C1713">
        <w:rPr>
          <w:lang w:val="bg-BG"/>
        </w:rPr>
        <w:t xml:space="preserve">от </w:t>
      </w:r>
      <w:r>
        <w:rPr>
          <w:lang w:val="bg-BG"/>
        </w:rPr>
        <w:t>икономическ</w:t>
      </w:r>
      <w:r w:rsidR="009C1713">
        <w:rPr>
          <w:lang w:val="bg-BG"/>
        </w:rPr>
        <w:t>а гледна точка</w:t>
      </w:r>
      <w:r>
        <w:rPr>
          <w:lang w:val="bg-BG"/>
        </w:rPr>
        <w:t>: „глобализация</w:t>
      </w:r>
      <w:r w:rsidR="00AD732A">
        <w:rPr>
          <w:lang w:val="bg-BG"/>
        </w:rPr>
        <w:t>“</w:t>
      </w:r>
      <w:r>
        <w:rPr>
          <w:lang w:val="bg-BG"/>
        </w:rPr>
        <w:t>) прави тези отбранителни позиции едновременно все по-не</w:t>
      </w:r>
      <w:r w:rsidR="009C1713">
        <w:rPr>
          <w:lang w:val="bg-BG"/>
        </w:rPr>
        <w:t>уместни</w:t>
      </w:r>
      <w:r>
        <w:rPr>
          <w:lang w:val="bg-BG"/>
        </w:rPr>
        <w:t xml:space="preserve">, но и по-агресивни. Както обикновено, тази агресия се насочва </w:t>
      </w:r>
      <w:r w:rsidR="00CA4769">
        <w:rPr>
          <w:lang w:val="bg-BG"/>
        </w:rPr>
        <w:t>към най-б</w:t>
      </w:r>
      <w:r w:rsidR="00AD732A">
        <w:rPr>
          <w:lang w:val="bg-BG"/>
        </w:rPr>
        <w:t xml:space="preserve">лизката и удобна цел. В делото </w:t>
      </w:r>
      <w:r w:rsidR="00CA4769" w:rsidRPr="00AD732A">
        <w:rPr>
          <w:i/>
          <w:lang w:val="bg-BG"/>
        </w:rPr>
        <w:t>Начова и други срещу България</w:t>
      </w:r>
      <w:r w:rsidR="00CA4769" w:rsidRPr="00B80DC0">
        <w:rPr>
          <w:rStyle w:val="FootnoteReference"/>
        </w:rPr>
        <w:footnoteReference w:id="16"/>
      </w:r>
      <w:r w:rsidR="00CA4769">
        <w:rPr>
          <w:lang w:val="bg-BG"/>
        </w:rPr>
        <w:t xml:space="preserve"> целта са ромите, в </w:t>
      </w:r>
      <w:r w:rsidR="00CA4769" w:rsidRPr="00E17978">
        <w:rPr>
          <w:i/>
        </w:rPr>
        <w:t>Ble</w:t>
      </w:r>
      <w:r w:rsidR="00CA4769" w:rsidRPr="00945ED6">
        <w:rPr>
          <w:i/>
          <w:lang w:val="bg-BG"/>
        </w:rPr>
        <w:t>č</w:t>
      </w:r>
      <w:r w:rsidR="00CA4769" w:rsidRPr="00E17978">
        <w:rPr>
          <w:i/>
        </w:rPr>
        <w:t>i</w:t>
      </w:r>
      <w:r w:rsidR="00CA4769" w:rsidRPr="00945ED6">
        <w:rPr>
          <w:i/>
          <w:lang w:val="bg-BG"/>
        </w:rPr>
        <w:t xml:space="preserve">ć </w:t>
      </w:r>
      <w:r w:rsidR="00CA4769" w:rsidRPr="00E17978">
        <w:rPr>
          <w:i/>
        </w:rPr>
        <w:t>v</w:t>
      </w:r>
      <w:r w:rsidR="00CA4769" w:rsidRPr="00945ED6">
        <w:rPr>
          <w:i/>
          <w:lang w:val="bg-BG"/>
        </w:rPr>
        <w:t xml:space="preserve">. </w:t>
      </w:r>
      <w:r w:rsidR="00CA4769" w:rsidRPr="00E17978">
        <w:rPr>
          <w:i/>
        </w:rPr>
        <w:t>Croatia</w:t>
      </w:r>
      <w:r w:rsidR="00CA4769" w:rsidRPr="00B80DC0">
        <w:rPr>
          <w:rStyle w:val="FootnoteReference"/>
        </w:rPr>
        <w:footnoteReference w:id="17"/>
      </w:r>
      <w:r w:rsidR="00CA4769">
        <w:rPr>
          <w:i/>
          <w:lang w:val="bg-BG"/>
        </w:rPr>
        <w:t xml:space="preserve"> </w:t>
      </w:r>
      <w:r w:rsidR="00CA4769">
        <w:rPr>
          <w:lang w:val="bg-BG"/>
        </w:rPr>
        <w:t xml:space="preserve">са сърбите, в Сърбия са албанците, в Германия и Франция може да бъде имигриралите работници и децата им и т.н. На много от тези места откриваме нездравословната тенденция да се преминава от патриотизъм, от една страна, към национализъм, шовинизъм и расизъм, от друга страна.   </w:t>
      </w:r>
      <w:r>
        <w:rPr>
          <w:lang w:val="bg-BG"/>
        </w:rPr>
        <w:t xml:space="preserve">  </w:t>
      </w:r>
    </w:p>
    <w:p w:rsidR="00CA4769" w:rsidRPr="00945ED6" w:rsidRDefault="00CA4769" w:rsidP="00E17978">
      <w:pPr>
        <w:pStyle w:val="OpiPara"/>
        <w:rPr>
          <w:lang w:val="bg-BG"/>
        </w:rPr>
      </w:pPr>
      <w:r>
        <w:rPr>
          <w:lang w:val="bg-BG"/>
        </w:rPr>
        <w:t>Тази н</w:t>
      </w:r>
      <w:r w:rsidR="00A05252">
        <w:rPr>
          <w:lang w:val="bg-BG"/>
        </w:rPr>
        <w:t xml:space="preserve">епоносимост е европейският бич. Тъй като европейската история е пълна с примери за агресия, произтичаща от регресивен национализъм, Европейският съд по правата на човека трябва да заеме ясна и непоколебима </w:t>
      </w:r>
      <w:r w:rsidR="00A05252" w:rsidRPr="00A05252">
        <w:rPr>
          <w:i/>
          <w:lang w:val="bg-BG"/>
        </w:rPr>
        <w:t>морална</w:t>
      </w:r>
      <w:r w:rsidR="00A05252">
        <w:rPr>
          <w:i/>
          <w:lang w:val="bg-BG"/>
        </w:rPr>
        <w:t xml:space="preserve"> </w:t>
      </w:r>
      <w:r w:rsidR="00A05252">
        <w:rPr>
          <w:lang w:val="bg-BG"/>
        </w:rPr>
        <w:t xml:space="preserve">позиция по въпроса. Междуетническата толерантност е категорична повеля на модерността. Липсата на толерантност причинява твърде много нарушения на човешкото достойнство и човешките права. </w:t>
      </w:r>
    </w:p>
    <w:p w:rsidR="00FD72B1" w:rsidRDefault="00FD72B1" w:rsidP="00E17978">
      <w:pPr>
        <w:pStyle w:val="OpiPara"/>
        <w:rPr>
          <w:lang w:val="bg-BG"/>
        </w:rPr>
      </w:pPr>
      <w:r>
        <w:rPr>
          <w:lang w:val="bg-BG"/>
        </w:rPr>
        <w:t xml:space="preserve">Протокол </w:t>
      </w:r>
      <w:r w:rsidRPr="00945ED6">
        <w:rPr>
          <w:lang w:val="bg-BG"/>
        </w:rPr>
        <w:t>№</w:t>
      </w:r>
      <w:r w:rsidR="001D2188">
        <w:rPr>
          <w:lang w:val="bg-BG"/>
        </w:rPr>
        <w:t xml:space="preserve"> </w:t>
      </w:r>
      <w:r w:rsidRPr="00945ED6">
        <w:rPr>
          <w:lang w:val="bg-BG"/>
        </w:rPr>
        <w:t xml:space="preserve">12 </w:t>
      </w:r>
      <w:r>
        <w:rPr>
          <w:lang w:val="bg-BG"/>
        </w:rPr>
        <w:t xml:space="preserve">ще превърне дискриминацията </w:t>
      </w:r>
      <w:r w:rsidRPr="00FD72B1">
        <w:rPr>
          <w:i/>
          <w:lang w:val="bg-BG"/>
        </w:rPr>
        <w:t>като такава</w:t>
      </w:r>
      <w:r>
        <w:rPr>
          <w:i/>
          <w:lang w:val="bg-BG"/>
        </w:rPr>
        <w:t xml:space="preserve"> </w:t>
      </w:r>
      <w:r>
        <w:rPr>
          <w:lang w:val="bg-BG"/>
        </w:rPr>
        <w:t xml:space="preserve">във фактор. </w:t>
      </w:r>
      <w:r w:rsidRPr="00792EAC">
        <w:rPr>
          <w:lang w:val="bg-BG"/>
        </w:rPr>
        <w:t>Не може да има абсолютно никакво съмнение, че дискриминация</w:t>
      </w:r>
      <w:r w:rsidR="00360C05" w:rsidRPr="00792EAC">
        <w:rPr>
          <w:lang w:val="bg-BG"/>
        </w:rPr>
        <w:t>та</w:t>
      </w:r>
      <w:r w:rsidRPr="00792EAC">
        <w:rPr>
          <w:lang w:val="bg-BG"/>
        </w:rPr>
        <w:t xml:space="preserve"> на база предполагаем национален произход</w:t>
      </w:r>
      <w:r w:rsidR="00360C05" w:rsidRPr="00792EAC">
        <w:rPr>
          <w:lang w:val="bg-BG"/>
        </w:rPr>
        <w:t xml:space="preserve"> е</w:t>
      </w:r>
      <w:r w:rsidRPr="00792EAC">
        <w:rPr>
          <w:lang w:val="bg-BG"/>
        </w:rPr>
        <w:t xml:space="preserve"> </w:t>
      </w:r>
      <w:r w:rsidR="00360C05" w:rsidRPr="00792EAC">
        <w:rPr>
          <w:i/>
        </w:rPr>
        <w:t>par</w:t>
      </w:r>
      <w:r w:rsidR="00360C05" w:rsidRPr="00792EAC">
        <w:rPr>
          <w:i/>
          <w:lang w:val="bg-BG"/>
        </w:rPr>
        <w:t xml:space="preserve"> </w:t>
      </w:r>
      <w:r w:rsidR="00360C05" w:rsidRPr="00792EAC">
        <w:rPr>
          <w:i/>
        </w:rPr>
        <w:t>excellence</w:t>
      </w:r>
      <w:r w:rsidR="00360C05" w:rsidRPr="00792EAC">
        <w:rPr>
          <w:lang w:val="bg-BG"/>
        </w:rPr>
        <w:t xml:space="preserve"> </w:t>
      </w:r>
      <w:r w:rsidRPr="00792EAC">
        <w:rPr>
          <w:lang w:val="bg-BG"/>
        </w:rPr>
        <w:t>въпрос на конституционни</w:t>
      </w:r>
      <w:r w:rsidR="00360C05" w:rsidRPr="00792EAC">
        <w:rPr>
          <w:lang w:val="bg-BG"/>
        </w:rPr>
        <w:t xml:space="preserve"> и човешки права</w:t>
      </w:r>
      <w:r w:rsidRPr="00792EAC">
        <w:rPr>
          <w:lang w:val="bg-BG"/>
        </w:rPr>
        <w:t>. Според мен бъдещето на Европейския съюз също зависи от такова</w:t>
      </w:r>
      <w:r>
        <w:rPr>
          <w:lang w:val="bg-BG"/>
        </w:rPr>
        <w:t xml:space="preserve"> морално лидерство и от способността на обединена Европа да се въздигне над дребните националистически предразсъдъци, които досега са били причина за толкова много войни и толкова човешко страдание.</w:t>
      </w:r>
    </w:p>
    <w:p w:rsidR="00E17978" w:rsidRPr="00FD72B1" w:rsidRDefault="007C4508" w:rsidP="00E17978">
      <w:pPr>
        <w:pStyle w:val="OpiPara"/>
        <w:rPr>
          <w:lang w:val="bg-BG"/>
        </w:rPr>
      </w:pPr>
      <w:r>
        <w:rPr>
          <w:lang w:val="bg-BG"/>
        </w:rPr>
        <w:t>Тук, преди всичко, Съдът ще покаже дали може да изпълнява желаната историческа роля.</w:t>
      </w:r>
      <w:r w:rsidR="00FD72B1">
        <w:rPr>
          <w:lang w:val="bg-BG"/>
        </w:rPr>
        <w:t xml:space="preserve">   </w:t>
      </w:r>
    </w:p>
    <w:p w:rsidR="000C7D4D" w:rsidRPr="00945ED6" w:rsidRDefault="000C7D4D" w:rsidP="00E17978">
      <w:pPr>
        <w:pStyle w:val="OpiPara"/>
        <w:rPr>
          <w:lang w:val="bg-BG"/>
        </w:rPr>
        <w:sectPr w:rsidR="000C7D4D" w:rsidRPr="00945ED6" w:rsidSect="00955550">
          <w:headerReference w:type="even" r:id="rId31"/>
          <w:headerReference w:type="default" r:id="rId32"/>
          <w:footerReference w:type="even" r:id="rId33"/>
          <w:footerReference w:type="default" r:id="rId34"/>
          <w:headerReference w:type="first" r:id="rId35"/>
          <w:footnotePr>
            <w:numRestart w:val="eachPage"/>
          </w:footnotePr>
          <w:pgSz w:w="11906" w:h="16838" w:code="9"/>
          <w:pgMar w:top="2274" w:right="2274" w:bottom="2274" w:left="2274" w:header="1701" w:footer="720" w:gutter="0"/>
          <w:cols w:space="720"/>
          <w:titlePg/>
          <w:docGrid w:linePitch="326"/>
        </w:sectPr>
      </w:pPr>
    </w:p>
    <w:p w:rsidR="00DD39EE" w:rsidRPr="001D2188" w:rsidRDefault="001D2188" w:rsidP="001D2188">
      <w:pPr>
        <w:pStyle w:val="OpiHHead"/>
        <w:rPr>
          <w:lang w:val="bg-BG"/>
        </w:rPr>
      </w:pPr>
      <w:r>
        <w:rPr>
          <w:lang w:val="bg-BG"/>
        </w:rPr>
        <w:lastRenderedPageBreak/>
        <w:t xml:space="preserve">СЪВМЕСТНО ОСОБЕНО МНЕНИЕ НА СЪДИИ МИЙОВИЧ И ГЮЛУМЯН </w:t>
      </w:r>
    </w:p>
    <w:p w:rsidR="001D2188" w:rsidRPr="001D2188" w:rsidRDefault="001D2188" w:rsidP="00DD39EE">
      <w:pPr>
        <w:pStyle w:val="OpiPara"/>
        <w:rPr>
          <w:lang w:val="bg-BG"/>
        </w:rPr>
      </w:pPr>
      <w:r>
        <w:rPr>
          <w:lang w:val="bg-BG"/>
        </w:rPr>
        <w:t>По настоящото дело, което касае правото на сво</w:t>
      </w:r>
      <w:r w:rsidR="00AD732A">
        <w:rPr>
          <w:lang w:val="bg-BG"/>
        </w:rPr>
        <w:t>бодни избори, мнозинството не намира</w:t>
      </w:r>
      <w:r w:rsidR="00542A64">
        <w:rPr>
          <w:lang w:val="bg-BG"/>
        </w:rPr>
        <w:t xml:space="preserve"> нарушение </w:t>
      </w:r>
      <w:r w:rsidR="006242D6">
        <w:rPr>
          <w:lang w:val="bg-BG"/>
        </w:rPr>
        <w:t xml:space="preserve">на </w:t>
      </w:r>
      <w:r w:rsidR="00542A64" w:rsidRPr="00945ED6">
        <w:rPr>
          <w:lang w:val="bg-BG"/>
        </w:rPr>
        <w:t>чл</w:t>
      </w:r>
      <w:r w:rsidR="006242D6">
        <w:rPr>
          <w:lang w:val="bg-BG"/>
        </w:rPr>
        <w:t>ен</w:t>
      </w:r>
      <w:r w:rsidR="00542A64" w:rsidRPr="00945ED6">
        <w:rPr>
          <w:lang w:val="bg-BG"/>
        </w:rPr>
        <w:t xml:space="preserve"> 3 от Протокол № 1</w:t>
      </w:r>
      <w:r w:rsidR="00542A64">
        <w:rPr>
          <w:lang w:val="bg-BG"/>
        </w:rPr>
        <w:t>. За съжаление, след като прегледахме фактите по делото, ние не можем да с</w:t>
      </w:r>
      <w:r w:rsidR="00AD732A">
        <w:rPr>
          <w:lang w:val="bg-BG"/>
        </w:rPr>
        <w:t xml:space="preserve">е съгласим с мнозинството </w:t>
      </w:r>
      <w:r w:rsidR="00542A64">
        <w:rPr>
          <w:lang w:val="bg-BG"/>
        </w:rPr>
        <w:t xml:space="preserve">по следните причини. </w:t>
      </w:r>
      <w:r>
        <w:rPr>
          <w:lang w:val="bg-BG"/>
        </w:rPr>
        <w:t xml:space="preserve"> </w:t>
      </w:r>
    </w:p>
    <w:p w:rsidR="00542A64" w:rsidRPr="00542A64" w:rsidRDefault="00542A64" w:rsidP="00DD39EE">
      <w:pPr>
        <w:pStyle w:val="OpiPara"/>
        <w:rPr>
          <w:lang w:val="bg-BG"/>
        </w:rPr>
      </w:pPr>
      <w:r>
        <w:rPr>
          <w:lang w:val="bg-BG"/>
        </w:rPr>
        <w:t xml:space="preserve">В настоящото дело на латвийски политик не се позволява да се кандидатира на избори заради някогашното му членство в Латвийската комунистическа </w:t>
      </w:r>
      <w:r w:rsidRPr="00F2412C">
        <w:rPr>
          <w:lang w:val="bg-BG"/>
        </w:rPr>
        <w:t>партия (ЛКП), която по време на съветск</w:t>
      </w:r>
      <w:r w:rsidR="00B23188" w:rsidRPr="00F2412C">
        <w:rPr>
          <w:lang w:val="bg-BG"/>
        </w:rPr>
        <w:t>ия период е била регионално подразделение</w:t>
      </w:r>
      <w:r w:rsidRPr="00F2412C">
        <w:rPr>
          <w:lang w:val="bg-BG"/>
        </w:rPr>
        <w:t xml:space="preserve"> на Комунистическата партия на Съветския съюз.</w:t>
      </w:r>
    </w:p>
    <w:p w:rsidR="00542A64" w:rsidRPr="00542A64" w:rsidRDefault="00542A64" w:rsidP="00DD39EE">
      <w:pPr>
        <w:pStyle w:val="OpiPara"/>
        <w:rPr>
          <w:lang w:val="bg-BG"/>
        </w:rPr>
      </w:pPr>
      <w:r>
        <w:rPr>
          <w:lang w:val="bg-BG"/>
        </w:rPr>
        <w:t xml:space="preserve">През март 1990 г., като член на тази политическа партия, </w:t>
      </w:r>
      <w:r w:rsidR="006242D6">
        <w:t>Tatjana</w:t>
      </w:r>
      <w:r w:rsidR="006242D6" w:rsidRPr="00530E30">
        <w:rPr>
          <w:lang w:val="bg-BG"/>
        </w:rPr>
        <w:t xml:space="preserve"> Ž</w:t>
      </w:r>
      <w:r w:rsidR="006242D6">
        <w:t>danoka</w:t>
      </w:r>
      <w:r>
        <w:rPr>
          <w:lang w:val="bg-BG"/>
        </w:rPr>
        <w:t xml:space="preserve"> става член на Върховния съвет на Латвийската съветска социалистическа република. След възстановяван</w:t>
      </w:r>
      <w:r w:rsidR="00AD732A">
        <w:rPr>
          <w:lang w:val="bg-BG"/>
        </w:rPr>
        <w:t>ето на независимостта на Латвия</w:t>
      </w:r>
      <w:r>
        <w:rPr>
          <w:lang w:val="bg-BG"/>
        </w:rPr>
        <w:t xml:space="preserve"> на 23 август 1991 г., ЛКП е обявена за противоконституционна с уговорката, че </w:t>
      </w:r>
      <w:r w:rsidR="00C01FAC">
        <w:rPr>
          <w:lang w:val="bg-BG"/>
        </w:rPr>
        <w:t xml:space="preserve">няма да бъде удачно </w:t>
      </w:r>
      <w:r>
        <w:rPr>
          <w:lang w:val="bg-BG"/>
        </w:rPr>
        <w:t>лица, участвали в дейността на ЛКП след 13 януари 1991 г.,</w:t>
      </w:r>
      <w:r w:rsidR="00C01FAC">
        <w:rPr>
          <w:lang w:val="bg-BG"/>
        </w:rPr>
        <w:t xml:space="preserve"> да се кандидатират за политическа служба.</w:t>
      </w:r>
      <w:r>
        <w:rPr>
          <w:lang w:val="bg-BG"/>
        </w:rPr>
        <w:t xml:space="preserve"> </w:t>
      </w:r>
    </w:p>
    <w:p w:rsidR="00137695" w:rsidRDefault="00C01FAC" w:rsidP="00DD39EE">
      <w:pPr>
        <w:pStyle w:val="OpiPara"/>
        <w:rPr>
          <w:lang w:val="bg-BG"/>
        </w:rPr>
      </w:pPr>
      <w:r>
        <w:rPr>
          <w:lang w:val="bg-BG"/>
        </w:rPr>
        <w:t xml:space="preserve">С решение на </w:t>
      </w:r>
      <w:r w:rsidR="00652202" w:rsidRPr="00945ED6">
        <w:rPr>
          <w:lang w:val="bg-BG"/>
        </w:rPr>
        <w:t>Централна</w:t>
      </w:r>
      <w:r w:rsidR="006242D6">
        <w:rPr>
          <w:lang w:val="bg-BG"/>
        </w:rPr>
        <w:t>та</w:t>
      </w:r>
      <w:r w:rsidRPr="00945ED6">
        <w:rPr>
          <w:lang w:val="bg-BG"/>
        </w:rPr>
        <w:t xml:space="preserve"> избирателна комисия</w:t>
      </w:r>
      <w:r w:rsidR="00137695" w:rsidRPr="00945ED6">
        <w:rPr>
          <w:lang w:val="bg-BG"/>
        </w:rPr>
        <w:t xml:space="preserve"> </w:t>
      </w:r>
      <w:r w:rsidR="00137695">
        <w:rPr>
          <w:lang w:val="bg-BG"/>
        </w:rPr>
        <w:t>е обявено, че жалбоподателката не може да се кандидатира на парламентарните избори. Изключването ѝ се основава на някогашното ѝ членство в Латвийската комунистическа партия.</w:t>
      </w:r>
    </w:p>
    <w:p w:rsidR="00C01FAC" w:rsidRPr="00C01FAC" w:rsidRDefault="00137695" w:rsidP="00DD39EE">
      <w:pPr>
        <w:pStyle w:val="OpiPara"/>
        <w:rPr>
          <w:lang w:val="bg-BG"/>
        </w:rPr>
      </w:pPr>
      <w:r>
        <w:rPr>
          <w:lang w:val="bg-BG"/>
        </w:rPr>
        <w:t xml:space="preserve">Тя подава жалба, че в резултат на нейната дисквалификация е нарушено правото ѝ да се кандидатира на избори. </w:t>
      </w:r>
      <w:r w:rsidR="00C01FAC">
        <w:rPr>
          <w:lang w:val="bg-BG"/>
        </w:rPr>
        <w:t xml:space="preserve"> </w:t>
      </w:r>
    </w:p>
    <w:p w:rsidR="00137695" w:rsidRPr="00137695" w:rsidRDefault="00137695" w:rsidP="00DD39EE">
      <w:pPr>
        <w:pStyle w:val="OpiPara"/>
        <w:rPr>
          <w:lang w:val="bg-BG"/>
        </w:rPr>
      </w:pPr>
      <w:r>
        <w:rPr>
          <w:lang w:val="bg-BG"/>
        </w:rPr>
        <w:t xml:space="preserve">Макар да сме наясно, че това дело засяга много деликатни обстоятелства, смятаме, че задачата на Съда не е да взима страни в историческите и политически противоречия, а вместо това да разгледа дали недопускането на жалбоподателката е законно в контекста на наказателните мерки – с други думи да прецени дали липсата на краен срок за недопускането на жалбоподателката е правилно с оглед на естеството (временно) на наказателните мерки. </w:t>
      </w:r>
    </w:p>
    <w:p w:rsidR="00DD39EE" w:rsidRPr="00AE2BDA" w:rsidRDefault="00360C05" w:rsidP="00360C05">
      <w:pPr>
        <w:pStyle w:val="OpiPara"/>
        <w:rPr>
          <w:lang w:val="bg-BG"/>
        </w:rPr>
      </w:pPr>
      <w:r>
        <w:rPr>
          <w:lang w:val="bg-BG"/>
        </w:rPr>
        <w:t xml:space="preserve">Съдът потвърждава, че </w:t>
      </w:r>
      <w:r w:rsidRPr="00AE2BDA">
        <w:rPr>
          <w:lang w:val="bg-BG"/>
        </w:rPr>
        <w:t>държавите-страни по Конвенцията имат широка свобода на преценка в националните си правни системи и могат да поставят предварителни условия, свързани с правото на избор и на кандидатура</w:t>
      </w:r>
      <w:r w:rsidR="006B7671" w:rsidRPr="00AE2BDA">
        <w:rPr>
          <w:lang w:val="bg-BG"/>
        </w:rPr>
        <w:t xml:space="preserve">. С това сме напълно съгласни. </w:t>
      </w:r>
    </w:p>
    <w:p w:rsidR="006B7671" w:rsidRPr="006B7671" w:rsidRDefault="006B7671" w:rsidP="00DD39EE">
      <w:pPr>
        <w:pStyle w:val="OpiPara"/>
        <w:rPr>
          <w:lang w:val="bg-BG"/>
        </w:rPr>
      </w:pPr>
      <w:r w:rsidRPr="00AE2BDA">
        <w:rPr>
          <w:lang w:val="bg-BG"/>
        </w:rPr>
        <w:t xml:space="preserve">Не е трудно да приемем легитимността на наказателната мярка, тъй като не можем да изключим възможността обсъжданото ограничение да е било оправдано и пропорционално през първите няколко години след възстановяването на независимостта на Латвия. Общопризнато е, че в новосъздадени и уязвими демократични режими </w:t>
      </w:r>
      <w:r w:rsidR="004518B9" w:rsidRPr="00AE2BDA">
        <w:rPr>
          <w:lang w:val="bg-BG"/>
        </w:rPr>
        <w:t>може да се наложи приемането на определ</w:t>
      </w:r>
      <w:r w:rsidR="00B87D5E" w:rsidRPr="00AE2BDA">
        <w:rPr>
          <w:lang w:val="bg-BG"/>
        </w:rPr>
        <w:t>ени ограничения (като се спази</w:t>
      </w:r>
      <w:r w:rsidR="004518B9" w:rsidRPr="00AE2BDA">
        <w:rPr>
          <w:lang w:val="bg-BG"/>
        </w:rPr>
        <w:t xml:space="preserve"> изискването</w:t>
      </w:r>
      <w:r w:rsidR="00B87D5E" w:rsidRPr="00AE2BDA">
        <w:rPr>
          <w:lang w:val="bg-BG"/>
        </w:rPr>
        <w:t xml:space="preserve"> за пропорционалност) и</w:t>
      </w:r>
      <w:r w:rsidR="00B87D5E">
        <w:rPr>
          <w:lang w:val="bg-BG"/>
        </w:rPr>
        <w:t xml:space="preserve"> този подход е </w:t>
      </w:r>
      <w:r w:rsidR="002F5204">
        <w:rPr>
          <w:lang w:val="bg-BG"/>
        </w:rPr>
        <w:t xml:space="preserve">разработен от Съда при разглеждането на редица ясно определени въпроси. Освен това е </w:t>
      </w:r>
      <w:r w:rsidR="002F5204">
        <w:rPr>
          <w:lang w:val="bg-BG"/>
        </w:rPr>
        <w:lastRenderedPageBreak/>
        <w:t>доказано, че законът на всяка една от държавите-страни по Конвенцията трябва да бъде достатъчно ясен, за да позволи на отделните лица да предвидят подобни ограничения и да бъдат наясно с начина, по който правата им ще бъдат ограничени</w:t>
      </w:r>
      <w:r w:rsidR="00064D7C" w:rsidRPr="00945ED6">
        <w:rPr>
          <w:lang w:val="bg-BG"/>
        </w:rPr>
        <w:t xml:space="preserve"> (</w:t>
      </w:r>
      <w:r w:rsidR="00064D7C">
        <w:rPr>
          <w:lang w:val="bg-BG"/>
        </w:rPr>
        <w:t>вж</w:t>
      </w:r>
      <w:r w:rsidR="00600A53">
        <w:rPr>
          <w:lang w:val="bg-BG"/>
        </w:rPr>
        <w:t>.</w:t>
      </w:r>
      <w:r w:rsidR="00064D7C" w:rsidRPr="00945ED6">
        <w:rPr>
          <w:lang w:val="bg-BG"/>
        </w:rPr>
        <w:t xml:space="preserve"> </w:t>
      </w:r>
      <w:r w:rsidR="00064D7C" w:rsidRPr="00E17978">
        <w:rPr>
          <w:i/>
        </w:rPr>
        <w:t>Khan</w:t>
      </w:r>
      <w:r w:rsidR="00064D7C" w:rsidRPr="00945ED6">
        <w:rPr>
          <w:i/>
          <w:lang w:val="bg-BG"/>
        </w:rPr>
        <w:t xml:space="preserve"> </w:t>
      </w:r>
      <w:r w:rsidR="00064D7C" w:rsidRPr="00E17978">
        <w:rPr>
          <w:i/>
        </w:rPr>
        <w:t>v</w:t>
      </w:r>
      <w:r w:rsidR="00064D7C" w:rsidRPr="00945ED6">
        <w:rPr>
          <w:i/>
          <w:lang w:val="bg-BG"/>
        </w:rPr>
        <w:t xml:space="preserve">. </w:t>
      </w:r>
      <w:r w:rsidR="00064D7C" w:rsidRPr="00E17978">
        <w:rPr>
          <w:i/>
        </w:rPr>
        <w:t>the</w:t>
      </w:r>
      <w:r w:rsidR="00064D7C" w:rsidRPr="00945ED6">
        <w:rPr>
          <w:i/>
          <w:lang w:val="bg-BG"/>
        </w:rPr>
        <w:t xml:space="preserve"> </w:t>
      </w:r>
      <w:r w:rsidR="00064D7C" w:rsidRPr="00E17978">
        <w:rPr>
          <w:i/>
        </w:rPr>
        <w:t>United</w:t>
      </w:r>
      <w:r w:rsidR="00064D7C" w:rsidRPr="00945ED6">
        <w:rPr>
          <w:i/>
          <w:lang w:val="bg-BG"/>
        </w:rPr>
        <w:t xml:space="preserve"> </w:t>
      </w:r>
      <w:r w:rsidR="00064D7C" w:rsidRPr="00E17978">
        <w:rPr>
          <w:i/>
        </w:rPr>
        <w:t>Kingdom</w:t>
      </w:r>
      <w:r w:rsidR="00064D7C" w:rsidRPr="00945ED6">
        <w:rPr>
          <w:lang w:val="bg-BG"/>
        </w:rPr>
        <w:t>, № 35394/97, ЕСПЧ 2000-</w:t>
      </w:r>
      <w:r w:rsidR="00064D7C" w:rsidRPr="00E17978">
        <w:t>V</w:t>
      </w:r>
      <w:r w:rsidR="00064D7C" w:rsidRPr="00945ED6">
        <w:rPr>
          <w:lang w:val="bg-BG"/>
        </w:rPr>
        <w:t>).</w:t>
      </w:r>
      <w:r w:rsidR="002F5204">
        <w:rPr>
          <w:lang w:val="bg-BG"/>
        </w:rPr>
        <w:t xml:space="preserve"> </w:t>
      </w:r>
      <w:r>
        <w:rPr>
          <w:lang w:val="bg-BG"/>
        </w:rPr>
        <w:t xml:space="preserve">    </w:t>
      </w:r>
    </w:p>
    <w:p w:rsidR="00064D7C" w:rsidRDefault="00064D7C" w:rsidP="00DD39EE">
      <w:pPr>
        <w:pStyle w:val="OpiPara"/>
        <w:rPr>
          <w:lang w:val="bg-BG"/>
        </w:rPr>
      </w:pPr>
      <w:r>
        <w:rPr>
          <w:lang w:val="bg-BG"/>
        </w:rPr>
        <w:t>От друга страна силно</w:t>
      </w:r>
      <w:r w:rsidR="00AD732A">
        <w:rPr>
          <w:lang w:val="bg-BG"/>
        </w:rPr>
        <w:t xml:space="preserve"> </w:t>
      </w:r>
      <w:r w:rsidR="00AD732A" w:rsidRPr="00AE2BDA">
        <w:rPr>
          <w:lang w:val="bg-BG"/>
        </w:rPr>
        <w:t>вярваме, че подобни ограничаващ</w:t>
      </w:r>
      <w:r w:rsidRPr="00AE2BDA">
        <w:rPr>
          <w:lang w:val="bg-BG"/>
        </w:rPr>
        <w:t>и мерки трябва да бъдат временни, за да са пропорционални. В този случай ограничението, наложено на жалбоподателката</w:t>
      </w:r>
      <w:r w:rsidR="00AE2BDA">
        <w:rPr>
          <w:lang w:val="bg-BG"/>
        </w:rPr>
        <w:t>,</w:t>
      </w:r>
      <w:r>
        <w:rPr>
          <w:lang w:val="bg-BG"/>
        </w:rPr>
        <w:t xml:space="preserve"> изглежда постоянно, тъй като няма определен срок и ще продължи да бъде в сила, докато не се приеме законодателство, което да го </w:t>
      </w:r>
      <w:r w:rsidRPr="00AE2BDA">
        <w:rPr>
          <w:lang w:val="bg-BG"/>
        </w:rPr>
        <w:t>спре. Не</w:t>
      </w:r>
      <w:r>
        <w:rPr>
          <w:lang w:val="bg-BG"/>
        </w:rPr>
        <w:t xml:space="preserve"> можем да приемем, че след като са минали над 10 години от първоначалните му притеснения, латвийският парламент все още вярва, че бившите членове на ЛКП представляват заплаха за демокрацията. И ако това е така, ако бившите членове на ЛКП са били и продължават да бъдат реална заплаха и опасност за демокрацията, защо парламентът не е приел законодателство, предвиждащо трайното им недопускане до избори</w:t>
      </w:r>
      <w:r w:rsidR="00600A53">
        <w:rPr>
          <w:lang w:val="bg-BG"/>
        </w:rPr>
        <w:t>?</w:t>
      </w:r>
    </w:p>
    <w:p w:rsidR="00DD39EE" w:rsidRPr="00064D7C" w:rsidRDefault="00064D7C" w:rsidP="00DD39EE">
      <w:pPr>
        <w:pStyle w:val="OpiPara"/>
        <w:rPr>
          <w:lang w:val="bg-BG"/>
        </w:rPr>
      </w:pPr>
      <w:r>
        <w:rPr>
          <w:lang w:val="bg-BG"/>
        </w:rPr>
        <w:t xml:space="preserve">Считаме, че латвийският парламент е трябвало да реши да наложи </w:t>
      </w:r>
      <w:r w:rsidR="00600A53">
        <w:rPr>
          <w:lang w:val="bg-BG"/>
        </w:rPr>
        <w:t>срок</w:t>
      </w:r>
      <w:r>
        <w:rPr>
          <w:lang w:val="bg-BG"/>
        </w:rPr>
        <w:t xml:space="preserve"> на тези ограничения, тъй като подобни ограничения на правото на свободни избори, както вече споменахме, могат да съществуват само за определен </w:t>
      </w:r>
      <w:r w:rsidR="00360C05">
        <w:rPr>
          <w:lang w:val="bg-BG"/>
        </w:rPr>
        <w:t>период, период на нестабилност н</w:t>
      </w:r>
      <w:r>
        <w:rPr>
          <w:lang w:val="bg-BG"/>
        </w:rPr>
        <w:t xml:space="preserve">а новоустановен режим. Въз основа на това считаме, че </w:t>
      </w:r>
      <w:r w:rsidR="00A27483">
        <w:rPr>
          <w:lang w:val="bg-BG"/>
        </w:rPr>
        <w:t>процедурата за неизбираемост, въведена като резултат от тълкуването на Конституционния с</w:t>
      </w:r>
      <w:r w:rsidR="00AD732A">
        <w:rPr>
          <w:lang w:val="bg-BG"/>
        </w:rPr>
        <w:t>ъд, не е достатъчна, тъй ка</w:t>
      </w:r>
      <w:r w:rsidR="00A27483">
        <w:rPr>
          <w:lang w:val="bg-BG"/>
        </w:rPr>
        <w:t>то не е позволила на съда да направи преценка дали определено лице представлява реална заплаха и опасност за демокрацията. От друга страна в своето решение от 30 август 2000 г. самият Конституционен съд призовава законодателите периодично да преразглеждат нуждата от поддържане на спорната мярка.</w:t>
      </w:r>
      <w:r>
        <w:rPr>
          <w:lang w:val="bg-BG"/>
        </w:rPr>
        <w:t xml:space="preserve">   </w:t>
      </w:r>
    </w:p>
    <w:p w:rsidR="00A27483" w:rsidRPr="00A27483" w:rsidRDefault="00A27483" w:rsidP="00DD39EE">
      <w:pPr>
        <w:pStyle w:val="OpiPara"/>
        <w:rPr>
          <w:lang w:val="bg-BG"/>
        </w:rPr>
      </w:pPr>
      <w:r>
        <w:rPr>
          <w:lang w:val="bg-BG"/>
        </w:rPr>
        <w:t>Освен това жалбоподателката никога не е била осъждана за криминално престъпление, не е била сред петнаде</w:t>
      </w:r>
      <w:r w:rsidR="00AD732A">
        <w:rPr>
          <w:lang w:val="bg-BG"/>
        </w:rPr>
        <w:t>сетте член</w:t>
      </w:r>
      <w:r w:rsidR="00441EEC">
        <w:rPr>
          <w:lang w:val="bg-BG"/>
        </w:rPr>
        <w:t>ове</w:t>
      </w:r>
      <w:r>
        <w:rPr>
          <w:lang w:val="bg-BG"/>
        </w:rPr>
        <w:t xml:space="preserve"> на парламента, кои</w:t>
      </w:r>
      <w:r w:rsidR="00AD732A">
        <w:rPr>
          <w:lang w:val="bg-BG"/>
        </w:rPr>
        <w:t xml:space="preserve">то са </w:t>
      </w:r>
      <w:r w:rsidR="00441EEC">
        <w:rPr>
          <w:lang w:val="bg-BG"/>
        </w:rPr>
        <w:t xml:space="preserve">отстранени </w:t>
      </w:r>
      <w:r w:rsidR="00AD732A">
        <w:rPr>
          <w:lang w:val="bg-BG"/>
        </w:rPr>
        <w:t>от длъжност</w:t>
      </w:r>
      <w:r>
        <w:rPr>
          <w:lang w:val="bg-BG"/>
        </w:rPr>
        <w:t>, и няма доказателство, че самата т</w:t>
      </w:r>
      <w:r w:rsidR="00D116BF">
        <w:rPr>
          <w:lang w:val="bg-BG"/>
        </w:rPr>
        <w:t xml:space="preserve">я е извършила </w:t>
      </w:r>
      <w:r>
        <w:rPr>
          <w:lang w:val="bg-BG"/>
        </w:rPr>
        <w:t xml:space="preserve">действия с цел подкопаване на новия режим. </w:t>
      </w:r>
    </w:p>
    <w:p w:rsidR="00A27483" w:rsidRPr="00945ED6" w:rsidRDefault="00441EEC" w:rsidP="00DD39EE">
      <w:pPr>
        <w:pStyle w:val="OpiPara"/>
        <w:rPr>
          <w:lang w:val="bg-BG"/>
        </w:rPr>
      </w:pPr>
      <w:r>
        <w:rPr>
          <w:lang w:val="bg-BG"/>
        </w:rPr>
        <w:t>П</w:t>
      </w:r>
      <w:r w:rsidR="00B06AC7">
        <w:rPr>
          <w:lang w:val="bg-BG"/>
        </w:rPr>
        <w:t xml:space="preserve">редвид </w:t>
      </w:r>
      <w:r>
        <w:rPr>
          <w:lang w:val="bg-BG"/>
        </w:rPr>
        <w:t>горе</w:t>
      </w:r>
      <w:r w:rsidR="00B06AC7">
        <w:rPr>
          <w:lang w:val="bg-BG"/>
        </w:rPr>
        <w:t>изброено</w:t>
      </w:r>
      <w:r>
        <w:rPr>
          <w:lang w:val="bg-BG"/>
        </w:rPr>
        <w:t>то</w:t>
      </w:r>
      <w:r w:rsidR="00B06AC7">
        <w:rPr>
          <w:lang w:val="bg-BG"/>
        </w:rPr>
        <w:t xml:space="preserve"> силно вярваме, че трайните ограничения на правото да се кандидатира за член на латвийския парламент, наложени на жалбоподателката заради някогашното ѝ членство в Латвийската комунистическа партия, са нарушили правото ѝ на свободни избори. </w:t>
      </w:r>
    </w:p>
    <w:sectPr w:rsidR="00A27483" w:rsidRPr="00945ED6" w:rsidSect="000C7D4D">
      <w:headerReference w:type="even" r:id="rId36"/>
      <w:headerReference w:type="default" r:id="rId37"/>
      <w:footerReference w:type="even" r:id="rId38"/>
      <w:footnotePr>
        <w:numRestart w:val="eachPage"/>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3E" w:rsidRDefault="00E7533E">
      <w:r>
        <w:separator/>
      </w:r>
    </w:p>
  </w:endnote>
  <w:endnote w:type="continuationSeparator" w:id="0">
    <w:p w:rsidR="00E7533E" w:rsidRDefault="00E7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52" w:rsidRDefault="00256D52">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52" w:rsidRDefault="00256D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52" w:rsidRDefault="00256D5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3E" w:rsidRDefault="00E7533E">
      <w:r>
        <w:separator/>
      </w:r>
    </w:p>
  </w:footnote>
  <w:footnote w:type="continuationSeparator" w:id="0">
    <w:p w:rsidR="00E7533E" w:rsidRDefault="00E7533E">
      <w:r>
        <w:continuationSeparator/>
      </w:r>
    </w:p>
  </w:footnote>
  <w:footnote w:id="1">
    <w:p w:rsidR="005809BF" w:rsidRPr="00E17978" w:rsidRDefault="005809BF" w:rsidP="00CF4440">
      <w:pPr>
        <w:pStyle w:val="FootnoteText"/>
      </w:pPr>
      <w:r>
        <w:t>1.</w:t>
      </w:r>
      <w:r>
        <w:rPr>
          <w:lang w:val="bg-BG"/>
        </w:rPr>
        <w:t xml:space="preserve"> По време на публичното заседание агентът на Правителството сравнява г-жа  </w:t>
      </w:r>
      <w:r w:rsidR="009554E0">
        <w:t>Ždanoka</w:t>
      </w:r>
      <w:r w:rsidR="009554E0" w:rsidDel="009554E0">
        <w:rPr>
          <w:lang w:val="bg-BG"/>
        </w:rPr>
        <w:t xml:space="preserve"> </w:t>
      </w:r>
      <w:r>
        <w:rPr>
          <w:lang w:val="bg-BG"/>
        </w:rPr>
        <w:t>с г-н Милошевич в бивша Югославия.</w:t>
      </w:r>
      <w:r>
        <w:t>  </w:t>
      </w:r>
    </w:p>
  </w:footnote>
  <w:footnote w:id="2">
    <w:p w:rsidR="005809BF" w:rsidRPr="007F32EB" w:rsidRDefault="005809BF" w:rsidP="00E61D8D">
      <w:pPr>
        <w:pStyle w:val="FootnoteText"/>
      </w:pPr>
      <w:r w:rsidRPr="007F32EB">
        <w:t>1.  </w:t>
      </w:r>
      <w:r w:rsidRPr="007F32EB">
        <w:rPr>
          <w:lang w:val="bg-BG"/>
        </w:rPr>
        <w:t>Етническите групи през</w:t>
      </w:r>
      <w:r w:rsidRPr="007F32EB">
        <w:t xml:space="preserve"> 2002</w:t>
      </w:r>
      <w:r w:rsidRPr="007F32EB">
        <w:rPr>
          <w:lang w:val="bg-BG"/>
        </w:rPr>
        <w:t xml:space="preserve"> г.</w:t>
      </w:r>
      <w:r w:rsidRPr="007F32EB">
        <w:rPr>
          <w:color w:val="000000"/>
        </w:rPr>
        <w:t>:</w:t>
      </w:r>
      <w:r w:rsidRPr="007F32EB">
        <w:rPr>
          <w:color w:val="000000"/>
          <w:lang w:val="bg-BG"/>
        </w:rPr>
        <w:t xml:space="preserve"> латвийци </w:t>
      </w:r>
      <w:r w:rsidRPr="007F32EB">
        <w:rPr>
          <w:color w:val="000000"/>
        </w:rPr>
        <w:t>57</w:t>
      </w:r>
      <w:r w:rsidR="009A5983">
        <w:rPr>
          <w:color w:val="000000"/>
          <w:lang w:val="bg-BG"/>
        </w:rPr>
        <w:t>,</w:t>
      </w:r>
      <w:r w:rsidRPr="007F32EB">
        <w:rPr>
          <w:color w:val="000000"/>
        </w:rPr>
        <w:t xml:space="preserve">7%, </w:t>
      </w:r>
      <w:r w:rsidRPr="007F32EB">
        <w:rPr>
          <w:lang w:val="bg-BG"/>
        </w:rPr>
        <w:t xml:space="preserve">руснаци </w:t>
      </w:r>
      <w:r w:rsidRPr="007F32EB">
        <w:rPr>
          <w:color w:val="000000"/>
        </w:rPr>
        <w:t>29</w:t>
      </w:r>
      <w:r w:rsidR="009A5983">
        <w:rPr>
          <w:color w:val="000000"/>
          <w:lang w:val="bg-BG"/>
        </w:rPr>
        <w:t>,</w:t>
      </w:r>
      <w:r w:rsidRPr="007F32EB">
        <w:rPr>
          <w:color w:val="000000"/>
        </w:rPr>
        <w:t xml:space="preserve">6%, </w:t>
      </w:r>
      <w:r w:rsidRPr="007F32EB">
        <w:rPr>
          <w:lang w:val="bg-BG"/>
        </w:rPr>
        <w:t xml:space="preserve">беларуси </w:t>
      </w:r>
      <w:r w:rsidRPr="007F32EB">
        <w:rPr>
          <w:color w:val="000000"/>
        </w:rPr>
        <w:t>4</w:t>
      </w:r>
      <w:r w:rsidR="009A5983">
        <w:rPr>
          <w:color w:val="000000"/>
          <w:lang w:val="bg-BG"/>
        </w:rPr>
        <w:t>,</w:t>
      </w:r>
      <w:r w:rsidRPr="007F32EB">
        <w:rPr>
          <w:color w:val="000000"/>
        </w:rPr>
        <w:t xml:space="preserve">1%, </w:t>
      </w:r>
      <w:r w:rsidRPr="007F32EB">
        <w:rPr>
          <w:lang w:val="bg-BG"/>
        </w:rPr>
        <w:t xml:space="preserve">украинци </w:t>
      </w:r>
      <w:r w:rsidRPr="007F32EB">
        <w:rPr>
          <w:color w:val="000000"/>
        </w:rPr>
        <w:t>2</w:t>
      </w:r>
      <w:r w:rsidR="009A5983">
        <w:rPr>
          <w:color w:val="000000"/>
          <w:lang w:val="bg-BG"/>
        </w:rPr>
        <w:t>,</w:t>
      </w:r>
      <w:r w:rsidRPr="007F32EB">
        <w:rPr>
          <w:color w:val="000000"/>
        </w:rPr>
        <w:t xml:space="preserve">7%, </w:t>
      </w:r>
      <w:r w:rsidRPr="007F32EB">
        <w:rPr>
          <w:lang w:val="bg-BG"/>
        </w:rPr>
        <w:t xml:space="preserve">поляци </w:t>
      </w:r>
      <w:r w:rsidRPr="007F32EB">
        <w:rPr>
          <w:color w:val="000000"/>
        </w:rPr>
        <w:t>2</w:t>
      </w:r>
      <w:r w:rsidR="009A5983">
        <w:rPr>
          <w:color w:val="000000"/>
          <w:lang w:val="bg-BG"/>
        </w:rPr>
        <w:t>,</w:t>
      </w:r>
      <w:r w:rsidRPr="007F32EB">
        <w:rPr>
          <w:color w:val="000000"/>
        </w:rPr>
        <w:t xml:space="preserve">5%, </w:t>
      </w:r>
      <w:r w:rsidRPr="007F32EB">
        <w:rPr>
          <w:lang w:val="bg-BG"/>
        </w:rPr>
        <w:t xml:space="preserve">литовци </w:t>
      </w:r>
      <w:r w:rsidRPr="007F32EB">
        <w:t>1</w:t>
      </w:r>
      <w:r w:rsidR="00A70712">
        <w:rPr>
          <w:lang w:val="bg-BG"/>
        </w:rPr>
        <w:t>,</w:t>
      </w:r>
      <w:r w:rsidRPr="007F32EB">
        <w:t xml:space="preserve">4%, </w:t>
      </w:r>
      <w:r w:rsidRPr="007F32EB">
        <w:rPr>
          <w:lang w:val="bg-BG"/>
        </w:rPr>
        <w:t>други</w:t>
      </w:r>
      <w:r w:rsidRPr="007F32EB">
        <w:t xml:space="preserve"> 2%. (</w:t>
      </w:r>
      <w:r w:rsidRPr="007F32EB">
        <w:rPr>
          <w:lang w:val="bg-BG"/>
        </w:rPr>
        <w:t>Демографски факти за Латвия:</w:t>
      </w:r>
      <w:r w:rsidRPr="007F32EB">
        <w:t xml:space="preserve"> http://en.wikipedia.org/wiki/Demographics_of_Latvia)</w:t>
      </w:r>
    </w:p>
  </w:footnote>
  <w:footnote w:id="3">
    <w:p w:rsidR="005809BF" w:rsidRPr="007F32EB" w:rsidRDefault="005809BF" w:rsidP="00E61D8D">
      <w:pPr>
        <w:pStyle w:val="FootnoteText"/>
      </w:pPr>
      <w:r w:rsidRPr="007F32EB">
        <w:rPr>
          <w:lang w:val="bg-BG"/>
        </w:rPr>
        <w:t>2</w:t>
      </w:r>
      <w:r w:rsidRPr="007F32EB">
        <w:t>.  </w:t>
      </w:r>
      <w:r w:rsidRPr="007F32EB">
        <w:rPr>
          <w:lang w:val="bg-BG"/>
        </w:rPr>
        <w:t>Вж</w:t>
      </w:r>
      <w:r w:rsidR="00A70712">
        <w:rPr>
          <w:lang w:val="bg-BG"/>
        </w:rPr>
        <w:t>.</w:t>
      </w:r>
      <w:r w:rsidRPr="007F32EB">
        <w:rPr>
          <w:lang w:val="bg-BG"/>
        </w:rPr>
        <w:t xml:space="preserve"> например параграф 4 от съвместното особено мнение на съдиите </w:t>
      </w:r>
      <w:r w:rsidRPr="007F32EB">
        <w:t xml:space="preserve">Wildhaber, Bratza, Cabral Barreto, Greve </w:t>
      </w:r>
      <w:r w:rsidRPr="007F32EB">
        <w:rPr>
          <w:lang w:val="bg-BG"/>
        </w:rPr>
        <w:t>и</w:t>
      </w:r>
      <w:r w:rsidRPr="007F32EB">
        <w:t xml:space="preserve"> Maruste </w:t>
      </w:r>
      <w:r w:rsidRPr="007F32EB">
        <w:rPr>
          <w:lang w:val="bg-BG"/>
        </w:rPr>
        <w:t xml:space="preserve">по делото </w:t>
      </w:r>
      <w:r w:rsidRPr="007F32EB">
        <w:rPr>
          <w:i/>
        </w:rPr>
        <w:t>Slivenko v. Latvia</w:t>
      </w:r>
      <w:r w:rsidRPr="007F32EB">
        <w:t>.</w:t>
      </w:r>
    </w:p>
  </w:footnote>
  <w:footnote w:id="4">
    <w:p w:rsidR="005809BF" w:rsidRPr="00530E30" w:rsidRDefault="005809BF" w:rsidP="00E61D8D">
      <w:pPr>
        <w:pStyle w:val="NormalWeb"/>
        <w:spacing w:before="0" w:beforeAutospacing="0" w:after="0" w:afterAutospacing="0"/>
        <w:jc w:val="both"/>
        <w:rPr>
          <w:i/>
          <w:sz w:val="20"/>
          <w:szCs w:val="20"/>
          <w:lang w:val="bg-BG"/>
        </w:rPr>
      </w:pPr>
      <w:r w:rsidRPr="007F32EB">
        <w:rPr>
          <w:sz w:val="20"/>
          <w:szCs w:val="20"/>
          <w:lang w:val="bg-BG"/>
        </w:rPr>
        <w:t>3</w:t>
      </w:r>
      <w:r w:rsidRPr="007F32EB">
        <w:rPr>
          <w:sz w:val="20"/>
          <w:szCs w:val="20"/>
          <w:lang w:val="en-GB"/>
        </w:rPr>
        <w:t>.  </w:t>
      </w:r>
      <w:r w:rsidRPr="007F32EB">
        <w:rPr>
          <w:rStyle w:val="Strong"/>
          <w:b w:val="0"/>
          <w:sz w:val="20"/>
          <w:szCs w:val="20"/>
          <w:lang w:val="bg-BG"/>
        </w:rPr>
        <w:t>Чл</w:t>
      </w:r>
      <w:r w:rsidR="00A70712">
        <w:rPr>
          <w:rStyle w:val="Strong"/>
          <w:b w:val="0"/>
          <w:sz w:val="20"/>
          <w:szCs w:val="20"/>
          <w:lang w:val="bg-BG"/>
        </w:rPr>
        <w:t>ен</w:t>
      </w:r>
      <w:r w:rsidRPr="007F32EB">
        <w:rPr>
          <w:rStyle w:val="Strong"/>
          <w:b w:val="0"/>
          <w:sz w:val="20"/>
          <w:szCs w:val="20"/>
          <w:lang w:val="en-GB"/>
        </w:rPr>
        <w:t xml:space="preserve"> 17</w:t>
      </w:r>
      <w:r w:rsidRPr="007F32EB">
        <w:rPr>
          <w:sz w:val="20"/>
          <w:szCs w:val="20"/>
          <w:lang w:val="en-GB"/>
        </w:rPr>
        <w:t xml:space="preserve"> – </w:t>
      </w:r>
      <w:r w:rsidRPr="007F32EB">
        <w:rPr>
          <w:sz w:val="20"/>
          <w:szCs w:val="20"/>
          <w:lang w:val="bg-BG"/>
        </w:rPr>
        <w:t>З</w:t>
      </w:r>
      <w:r w:rsidRPr="007F32EB">
        <w:rPr>
          <w:sz w:val="20"/>
          <w:szCs w:val="20"/>
          <w:lang w:val="en-GB"/>
        </w:rPr>
        <w:t xml:space="preserve">абрана на злоупотребата с права: </w:t>
      </w:r>
      <w:r w:rsidRPr="007F32EB">
        <w:rPr>
          <w:sz w:val="20"/>
          <w:szCs w:val="20"/>
          <w:lang w:val="bg-BG"/>
        </w:rPr>
        <w:t>„</w:t>
      </w:r>
      <w:r w:rsidR="00A70712">
        <w:rPr>
          <w:sz w:val="20"/>
          <w:szCs w:val="20"/>
          <w:lang w:val="bg-BG"/>
        </w:rPr>
        <w:t>Никоя от разпоредбите на</w:t>
      </w:r>
      <w:r w:rsidRPr="007F32EB">
        <w:rPr>
          <w:sz w:val="20"/>
          <w:szCs w:val="20"/>
          <w:lang w:val="en-GB"/>
        </w:rPr>
        <w:t xml:space="preserve"> тази конвенция</w:t>
      </w:r>
      <w:r w:rsidRPr="007F32EB">
        <w:rPr>
          <w:sz w:val="20"/>
          <w:szCs w:val="20"/>
          <w:lang w:val="bg-BG"/>
        </w:rPr>
        <w:t xml:space="preserve"> не</w:t>
      </w:r>
      <w:r w:rsidRPr="007F32EB">
        <w:rPr>
          <w:sz w:val="20"/>
          <w:szCs w:val="20"/>
          <w:lang w:val="en-GB"/>
        </w:rPr>
        <w:t xml:space="preserve"> може да </w:t>
      </w:r>
      <w:r w:rsidR="00A70712">
        <w:rPr>
          <w:sz w:val="20"/>
          <w:szCs w:val="20"/>
          <w:lang w:val="bg-BG"/>
        </w:rPr>
        <w:t>се</w:t>
      </w:r>
      <w:r w:rsidR="00A70712" w:rsidRPr="007F32EB">
        <w:rPr>
          <w:sz w:val="20"/>
          <w:szCs w:val="20"/>
          <w:lang w:val="en-GB"/>
        </w:rPr>
        <w:t xml:space="preserve"> </w:t>
      </w:r>
      <w:r w:rsidRPr="007F32EB">
        <w:rPr>
          <w:sz w:val="20"/>
          <w:szCs w:val="20"/>
          <w:lang w:val="en-GB"/>
        </w:rPr>
        <w:t>тълкува</w:t>
      </w:r>
      <w:r w:rsidR="00A70712">
        <w:rPr>
          <w:sz w:val="20"/>
          <w:szCs w:val="20"/>
          <w:lang w:val="bg-BG"/>
        </w:rPr>
        <w:t xml:space="preserve"> като</w:t>
      </w:r>
      <w:r w:rsidRPr="007F32EB">
        <w:rPr>
          <w:sz w:val="20"/>
          <w:szCs w:val="20"/>
          <w:lang w:val="bg-BG"/>
        </w:rPr>
        <w:t xml:space="preserve"> предоставя</w:t>
      </w:r>
      <w:r w:rsidR="00A70712">
        <w:rPr>
          <w:sz w:val="20"/>
          <w:szCs w:val="20"/>
          <w:lang w:val="bg-BG"/>
        </w:rPr>
        <w:t>щ</w:t>
      </w:r>
      <w:r w:rsidRPr="007F32EB">
        <w:rPr>
          <w:sz w:val="20"/>
          <w:szCs w:val="20"/>
          <w:lang w:val="bg-BG"/>
        </w:rPr>
        <w:t xml:space="preserve">а </w:t>
      </w:r>
      <w:r w:rsidRPr="007F32EB">
        <w:rPr>
          <w:sz w:val="20"/>
          <w:szCs w:val="20"/>
          <w:lang w:val="en-GB"/>
        </w:rPr>
        <w:t>право</w:t>
      </w:r>
      <w:r w:rsidR="00A70712">
        <w:rPr>
          <w:sz w:val="20"/>
          <w:szCs w:val="20"/>
          <w:lang w:val="bg-BG"/>
        </w:rPr>
        <w:t>то</w:t>
      </w:r>
      <w:r w:rsidRPr="007F32EB">
        <w:rPr>
          <w:sz w:val="20"/>
          <w:szCs w:val="20"/>
          <w:lang w:val="en-GB"/>
        </w:rPr>
        <w:t xml:space="preserve"> на </w:t>
      </w:r>
      <w:r w:rsidR="00A70712">
        <w:rPr>
          <w:sz w:val="20"/>
          <w:szCs w:val="20"/>
          <w:lang w:val="bg-BG"/>
        </w:rPr>
        <w:t>някоя</w:t>
      </w:r>
      <w:r w:rsidRPr="007F32EB">
        <w:rPr>
          <w:sz w:val="20"/>
          <w:szCs w:val="20"/>
          <w:lang w:val="en-GB"/>
        </w:rPr>
        <w:t xml:space="preserve"> държава, група или лице да </w:t>
      </w:r>
      <w:r w:rsidR="00A70712">
        <w:rPr>
          <w:sz w:val="20"/>
          <w:szCs w:val="20"/>
          <w:lang w:val="bg-BG"/>
        </w:rPr>
        <w:t>осъществява</w:t>
      </w:r>
      <w:r w:rsidRPr="007F32EB">
        <w:rPr>
          <w:sz w:val="20"/>
          <w:szCs w:val="20"/>
          <w:lang w:val="en-GB"/>
        </w:rPr>
        <w:t xml:space="preserve"> дейност или действия, </w:t>
      </w:r>
      <w:r w:rsidR="00A70712">
        <w:rPr>
          <w:sz w:val="20"/>
          <w:szCs w:val="20"/>
          <w:lang w:val="bg-BG"/>
        </w:rPr>
        <w:t>имащи за цел разрушаването</w:t>
      </w:r>
      <w:r w:rsidRPr="007F32EB">
        <w:rPr>
          <w:sz w:val="20"/>
          <w:szCs w:val="20"/>
          <w:lang w:val="en-GB"/>
        </w:rPr>
        <w:t xml:space="preserve"> на </w:t>
      </w:r>
      <w:r w:rsidR="00A70712">
        <w:rPr>
          <w:sz w:val="20"/>
          <w:szCs w:val="20"/>
          <w:lang w:val="bg-BG"/>
        </w:rPr>
        <w:t xml:space="preserve">което и да е от </w:t>
      </w:r>
      <w:r w:rsidRPr="007F32EB">
        <w:rPr>
          <w:sz w:val="20"/>
          <w:szCs w:val="20"/>
          <w:lang w:val="en-GB"/>
        </w:rPr>
        <w:t>правата и свободите</w:t>
      </w:r>
      <w:r w:rsidRPr="007F32EB">
        <w:rPr>
          <w:sz w:val="20"/>
          <w:szCs w:val="20"/>
          <w:lang w:val="bg-BG"/>
        </w:rPr>
        <w:t>,</w:t>
      </w:r>
      <w:r w:rsidRPr="007F32EB">
        <w:rPr>
          <w:sz w:val="20"/>
          <w:szCs w:val="20"/>
          <w:lang w:val="en-GB"/>
        </w:rPr>
        <w:t xml:space="preserve"> </w:t>
      </w:r>
      <w:r w:rsidR="00285A48">
        <w:rPr>
          <w:sz w:val="20"/>
          <w:szCs w:val="20"/>
          <w:lang w:val="bg-BG"/>
        </w:rPr>
        <w:t>предвидени в тази Конвенция,</w:t>
      </w:r>
      <w:r w:rsidRPr="007F32EB">
        <w:rPr>
          <w:sz w:val="20"/>
          <w:szCs w:val="20"/>
          <w:lang w:val="en-GB"/>
        </w:rPr>
        <w:t xml:space="preserve"> или ограничаване</w:t>
      </w:r>
      <w:r w:rsidR="00285A48">
        <w:rPr>
          <w:sz w:val="20"/>
          <w:szCs w:val="20"/>
          <w:lang w:val="bg-BG"/>
        </w:rPr>
        <w:t>то им</w:t>
      </w:r>
      <w:r w:rsidRPr="007F32EB">
        <w:rPr>
          <w:sz w:val="20"/>
          <w:szCs w:val="20"/>
          <w:lang w:val="en-GB"/>
        </w:rPr>
        <w:t xml:space="preserve"> в по-голяма степен от предвиден</w:t>
      </w:r>
      <w:r w:rsidR="00285A48">
        <w:rPr>
          <w:sz w:val="20"/>
          <w:szCs w:val="20"/>
          <w:lang w:val="bg-BG"/>
        </w:rPr>
        <w:t>ата</w:t>
      </w:r>
      <w:r w:rsidRPr="007F32EB">
        <w:rPr>
          <w:sz w:val="20"/>
          <w:szCs w:val="20"/>
          <w:lang w:val="bg-BG"/>
        </w:rPr>
        <w:t xml:space="preserve"> в Конвенцията</w:t>
      </w:r>
      <w:r w:rsidRPr="007F32EB">
        <w:rPr>
          <w:sz w:val="20"/>
          <w:szCs w:val="20"/>
          <w:lang w:val="en-GB"/>
        </w:rPr>
        <w:t>.</w:t>
      </w:r>
      <w:r w:rsidR="00285A48">
        <w:rPr>
          <w:sz w:val="20"/>
          <w:szCs w:val="20"/>
          <w:lang w:val="bg-BG"/>
        </w:rPr>
        <w:t>“</w:t>
      </w:r>
    </w:p>
  </w:footnote>
  <w:footnote w:id="5">
    <w:p w:rsidR="005809BF" w:rsidRPr="00530E30" w:rsidRDefault="005809BF" w:rsidP="00692879">
      <w:pPr>
        <w:pStyle w:val="FootnoteText"/>
        <w:rPr>
          <w:lang w:val="bg-BG"/>
        </w:rPr>
      </w:pPr>
      <w:r w:rsidRPr="007F32EB">
        <w:rPr>
          <w:lang w:val="bg-BG"/>
        </w:rPr>
        <w:t>4</w:t>
      </w:r>
      <w:r w:rsidRPr="00530E30">
        <w:rPr>
          <w:lang w:val="bg-BG"/>
        </w:rPr>
        <w:t>.</w:t>
      </w:r>
      <w:r w:rsidRPr="007F32EB">
        <w:t>  </w:t>
      </w:r>
      <w:r w:rsidRPr="007F32EB">
        <w:rPr>
          <w:lang w:val="bg-BG"/>
        </w:rPr>
        <w:t>Вж</w:t>
      </w:r>
      <w:r w:rsidR="00285A48">
        <w:rPr>
          <w:lang w:val="bg-BG"/>
        </w:rPr>
        <w:t>.</w:t>
      </w:r>
      <w:r w:rsidRPr="007F32EB">
        <w:rPr>
          <w:lang w:val="bg-BG"/>
        </w:rPr>
        <w:t xml:space="preserve"> например</w:t>
      </w:r>
      <w:r w:rsidRPr="00530E30">
        <w:rPr>
          <w:lang w:val="bg-BG"/>
        </w:rPr>
        <w:t xml:space="preserve"> </w:t>
      </w:r>
      <w:r w:rsidRPr="007F32EB">
        <w:rPr>
          <w:i/>
        </w:rPr>
        <w:t>Streletz</w:t>
      </w:r>
      <w:r w:rsidRPr="00530E30">
        <w:rPr>
          <w:i/>
          <w:lang w:val="bg-BG"/>
        </w:rPr>
        <w:t xml:space="preserve">, </w:t>
      </w:r>
      <w:r w:rsidRPr="007F32EB">
        <w:rPr>
          <w:i/>
        </w:rPr>
        <w:t>Kessler</w:t>
      </w:r>
      <w:r w:rsidRPr="00530E30">
        <w:rPr>
          <w:i/>
          <w:lang w:val="bg-BG"/>
        </w:rPr>
        <w:t xml:space="preserve"> </w:t>
      </w:r>
      <w:r w:rsidRPr="007F32EB">
        <w:rPr>
          <w:i/>
        </w:rPr>
        <w:t>and</w:t>
      </w:r>
      <w:r w:rsidRPr="00530E30">
        <w:rPr>
          <w:i/>
          <w:lang w:val="bg-BG"/>
        </w:rPr>
        <w:t xml:space="preserve"> </w:t>
      </w:r>
      <w:r w:rsidRPr="007F32EB">
        <w:rPr>
          <w:i/>
        </w:rPr>
        <w:t>Krenz</w:t>
      </w:r>
      <w:r w:rsidRPr="00530E30">
        <w:rPr>
          <w:i/>
          <w:lang w:val="bg-BG"/>
        </w:rPr>
        <w:t xml:space="preserve"> </w:t>
      </w:r>
      <w:r w:rsidRPr="007F32EB">
        <w:rPr>
          <w:i/>
        </w:rPr>
        <w:t>v</w:t>
      </w:r>
      <w:r w:rsidRPr="00530E30">
        <w:rPr>
          <w:i/>
          <w:lang w:val="bg-BG"/>
        </w:rPr>
        <w:t xml:space="preserve">. </w:t>
      </w:r>
      <w:r w:rsidRPr="007F32EB">
        <w:rPr>
          <w:i/>
        </w:rPr>
        <w:t>Germany</w:t>
      </w:r>
      <w:r w:rsidRPr="00530E30">
        <w:rPr>
          <w:lang w:val="bg-BG"/>
        </w:rPr>
        <w:t xml:space="preserve"> [</w:t>
      </w:r>
      <w:r w:rsidR="00285A48">
        <w:rPr>
          <w:lang w:val="bg-BG"/>
        </w:rPr>
        <w:t>ГО</w:t>
      </w:r>
      <w:r w:rsidRPr="00530E30">
        <w:rPr>
          <w:lang w:val="bg-BG"/>
        </w:rPr>
        <w:t xml:space="preserve">], </w:t>
      </w:r>
      <w:r w:rsidRPr="007F32EB">
        <w:rPr>
          <w:lang w:val="bg-BG"/>
        </w:rPr>
        <w:t>№</w:t>
      </w:r>
      <w:r w:rsidRPr="00530E30">
        <w:rPr>
          <w:lang w:val="bg-BG"/>
        </w:rPr>
        <w:t xml:space="preserve"> 34044/96, 35532/97 </w:t>
      </w:r>
      <w:r w:rsidRPr="007F32EB">
        <w:rPr>
          <w:lang w:val="bg-BG"/>
        </w:rPr>
        <w:t>и</w:t>
      </w:r>
      <w:r w:rsidRPr="00530E30">
        <w:rPr>
          <w:lang w:val="bg-BG"/>
        </w:rPr>
        <w:t xml:space="preserve"> 44801/98, </w:t>
      </w:r>
      <w:r w:rsidRPr="007F32EB">
        <w:t>ECHR</w:t>
      </w:r>
      <w:r w:rsidRPr="00530E30">
        <w:rPr>
          <w:lang w:val="bg-BG"/>
        </w:rPr>
        <w:t xml:space="preserve"> 2001-</w:t>
      </w:r>
      <w:r w:rsidRPr="007F32EB">
        <w:t>II</w:t>
      </w:r>
      <w:r w:rsidRPr="00530E30">
        <w:rPr>
          <w:lang w:val="bg-BG"/>
        </w:rPr>
        <w:t>.</w:t>
      </w:r>
    </w:p>
  </w:footnote>
  <w:footnote w:id="6">
    <w:p w:rsidR="005809BF" w:rsidRPr="002111ED" w:rsidRDefault="005809BF" w:rsidP="00C77D7C">
      <w:pPr>
        <w:pStyle w:val="FootnoteText"/>
        <w:rPr>
          <w:lang w:val="fr-FR"/>
        </w:rPr>
      </w:pPr>
      <w:r w:rsidRPr="002111ED">
        <w:rPr>
          <w:lang w:val="bg-BG"/>
        </w:rPr>
        <w:t>1</w:t>
      </w:r>
      <w:r w:rsidRPr="007A3576">
        <w:rPr>
          <w:lang w:val="fr-FR"/>
        </w:rPr>
        <w:t>.  “</w:t>
      </w:r>
      <w:r w:rsidRPr="002111ED">
        <w:rPr>
          <w:i/>
          <w:lang w:val="fr-FR"/>
        </w:rPr>
        <w:t>Si membrum rupsit, ni cum eo pacit, talio esto!</w:t>
      </w:r>
      <w:r w:rsidRPr="002111ED">
        <w:rPr>
          <w:lang w:val="fr-FR"/>
        </w:rPr>
        <w:t>” Leges XII Tabularum, Tabula VII, Fragmentum 2.</w:t>
      </w:r>
    </w:p>
  </w:footnote>
  <w:footnote w:id="7">
    <w:p w:rsidR="005809BF" w:rsidRPr="00945ED6" w:rsidRDefault="005809BF" w:rsidP="004A2653">
      <w:pPr>
        <w:pStyle w:val="FootnoteText"/>
        <w:rPr>
          <w:lang w:val="fr-FR"/>
        </w:rPr>
      </w:pPr>
      <w:r w:rsidRPr="002111ED">
        <w:rPr>
          <w:lang w:val="fr-FR"/>
        </w:rPr>
        <w:t>2.  </w:t>
      </w:r>
      <w:r w:rsidRPr="002111ED">
        <w:rPr>
          <w:i/>
          <w:lang w:val="fr-FR"/>
        </w:rPr>
        <w:t>Brandenburg v. Ohio</w:t>
      </w:r>
      <w:r w:rsidRPr="002111ED">
        <w:rPr>
          <w:lang w:val="fr-FR"/>
        </w:rPr>
        <w:t xml:space="preserve">, 395 US 444 (1969) </w:t>
      </w:r>
      <w:r w:rsidRPr="002111ED">
        <w:rPr>
          <w:lang w:val="bg-BG"/>
        </w:rPr>
        <w:t>Т</w:t>
      </w:r>
      <w:r w:rsidR="007D2A1F">
        <w:rPr>
          <w:lang w:val="bg-BG"/>
        </w:rPr>
        <w:t>а</w:t>
      </w:r>
      <w:r w:rsidRPr="002111ED">
        <w:rPr>
          <w:lang w:val="bg-BG"/>
        </w:rPr>
        <w:t xml:space="preserve">зи </w:t>
      </w:r>
      <w:r w:rsidR="007D2A1F">
        <w:rPr>
          <w:lang w:val="bg-BG"/>
        </w:rPr>
        <w:t>проверка</w:t>
      </w:r>
      <w:r w:rsidRPr="002111ED">
        <w:rPr>
          <w:lang w:val="bg-BG"/>
        </w:rPr>
        <w:t xml:space="preserve"> е използван</w:t>
      </w:r>
      <w:r w:rsidR="007D2A1F">
        <w:rPr>
          <w:lang w:val="bg-BG"/>
        </w:rPr>
        <w:t>а</w:t>
      </w:r>
      <w:r w:rsidRPr="002111ED">
        <w:rPr>
          <w:lang w:val="bg-BG"/>
        </w:rPr>
        <w:t xml:space="preserve"> по делото </w:t>
      </w:r>
      <w:r w:rsidRPr="002111ED">
        <w:rPr>
          <w:i/>
          <w:lang w:val="bg-BG"/>
        </w:rPr>
        <w:t>Станков и Обединената македонска организация „Илинден“ срещу България</w:t>
      </w:r>
      <w:r w:rsidRPr="002111ED">
        <w:rPr>
          <w:lang w:val="fr-FR"/>
        </w:rPr>
        <w:t xml:space="preserve">, № 29221/95 </w:t>
      </w:r>
      <w:r w:rsidRPr="002111ED">
        <w:t>и</w:t>
      </w:r>
      <w:r w:rsidRPr="002111ED">
        <w:rPr>
          <w:lang w:val="fr-FR"/>
        </w:rPr>
        <w:t xml:space="preserve"> 29225/95, </w:t>
      </w:r>
      <w:r w:rsidRPr="002111ED">
        <w:t>ЕСПЧ</w:t>
      </w:r>
      <w:r w:rsidRPr="002111ED">
        <w:rPr>
          <w:lang w:val="fr-FR"/>
        </w:rPr>
        <w:t xml:space="preserve"> 2001</w:t>
      </w:r>
      <w:r w:rsidRPr="002111ED">
        <w:rPr>
          <w:lang w:val="fr-FR"/>
        </w:rPr>
        <w:noBreakHyphen/>
        <w:t>IX.</w:t>
      </w:r>
    </w:p>
  </w:footnote>
  <w:footnote w:id="8">
    <w:p w:rsidR="005809BF" w:rsidRPr="00945ED6" w:rsidRDefault="005809BF" w:rsidP="0080171F">
      <w:pPr>
        <w:pStyle w:val="NormalWeb"/>
        <w:spacing w:before="0" w:beforeAutospacing="0" w:after="0" w:afterAutospacing="0"/>
        <w:jc w:val="both"/>
        <w:rPr>
          <w:sz w:val="20"/>
          <w:szCs w:val="20"/>
        </w:rPr>
      </w:pPr>
      <w:r w:rsidRPr="00945ED6">
        <w:rPr>
          <w:sz w:val="20"/>
          <w:szCs w:val="20"/>
        </w:rPr>
        <w:t>1. </w:t>
      </w:r>
      <w:r>
        <w:rPr>
          <w:sz w:val="20"/>
          <w:szCs w:val="20"/>
          <w:lang w:val="bg-BG"/>
        </w:rPr>
        <w:t xml:space="preserve">В действителност тази доктрина води началото си от римското право. </w:t>
      </w:r>
      <w:r w:rsidRPr="00653455">
        <w:rPr>
          <w:sz w:val="20"/>
          <w:szCs w:val="20"/>
        </w:rPr>
        <w:t>“</w:t>
      </w:r>
      <w:r w:rsidRPr="00653455">
        <w:rPr>
          <w:i/>
          <w:sz w:val="20"/>
          <w:szCs w:val="20"/>
        </w:rPr>
        <w:t xml:space="preserve">Poena non irrogatur nisi </w:t>
      </w:r>
      <w:hyperlink r:id="rId1" w:tgtFrame="fraTopic" w:history="1">
        <w:r w:rsidRPr="00653455">
          <w:rPr>
            <w:rStyle w:val="Hyperlink"/>
            <w:i/>
            <w:color w:val="000000"/>
            <w:sz w:val="20"/>
            <w:szCs w:val="20"/>
          </w:rPr>
          <w:t>quae quaque vel quo alio iure specialiter, huic delicto imposita est.</w:t>
        </w:r>
      </w:hyperlink>
      <w:r w:rsidRPr="00653455">
        <w:rPr>
          <w:sz w:val="20"/>
          <w:szCs w:val="20"/>
        </w:rPr>
        <w:t xml:space="preserve">” </w:t>
      </w:r>
      <w:r w:rsidRPr="00945ED6">
        <w:rPr>
          <w:sz w:val="20"/>
          <w:szCs w:val="20"/>
        </w:rPr>
        <w:t xml:space="preserve">Dig.50.16.131.1, Ulpianus 3 ad l. iul. et pap. </w:t>
      </w:r>
    </w:p>
  </w:footnote>
  <w:footnote w:id="9">
    <w:p w:rsidR="005809BF" w:rsidRPr="00945ED6" w:rsidRDefault="00854EC0" w:rsidP="00E17978">
      <w:pPr>
        <w:pStyle w:val="FootnoteText"/>
        <w:rPr>
          <w:lang w:val="fr-FR"/>
        </w:rPr>
      </w:pPr>
      <w:r>
        <w:rPr>
          <w:lang w:val="bg-BG"/>
        </w:rPr>
        <w:t>2</w:t>
      </w:r>
      <w:r w:rsidR="005809BF" w:rsidRPr="00945ED6">
        <w:rPr>
          <w:lang w:val="fr-FR"/>
        </w:rPr>
        <w:t>. </w:t>
      </w:r>
      <w:r w:rsidR="005809BF">
        <w:rPr>
          <w:lang w:val="bg-BG"/>
        </w:rPr>
        <w:t>Според мен това е единствената „ясна и непосредствена“ опасност в случая.</w:t>
      </w:r>
    </w:p>
  </w:footnote>
  <w:footnote w:id="10">
    <w:p w:rsidR="005809BF" w:rsidRPr="00945ED6" w:rsidRDefault="00067683" w:rsidP="00EC58B2">
      <w:pPr>
        <w:pStyle w:val="FootnoteText"/>
        <w:rPr>
          <w:lang w:val="bg-BG"/>
        </w:rPr>
      </w:pPr>
      <w:r>
        <w:rPr>
          <w:lang w:val="bg-BG"/>
        </w:rPr>
        <w:t>1</w:t>
      </w:r>
      <w:r w:rsidR="005809BF" w:rsidRPr="00945ED6">
        <w:rPr>
          <w:lang w:val="fr-FR"/>
        </w:rPr>
        <w:t>.  </w:t>
      </w:r>
      <w:r w:rsidR="005809BF">
        <w:rPr>
          <w:lang w:val="bg-BG"/>
        </w:rPr>
        <w:t xml:space="preserve">Не е трудно да си представим, че това население може </w:t>
      </w:r>
      <w:r>
        <w:rPr>
          <w:lang w:val="bg-BG"/>
        </w:rPr>
        <w:t xml:space="preserve">би </w:t>
      </w:r>
      <w:r w:rsidR="005809BF">
        <w:rPr>
          <w:lang w:val="bg-BG"/>
        </w:rPr>
        <w:t>надхвърл</w:t>
      </w:r>
      <w:r>
        <w:rPr>
          <w:lang w:val="bg-BG"/>
        </w:rPr>
        <w:t>я</w:t>
      </w:r>
      <w:r w:rsidR="005809BF">
        <w:rPr>
          <w:lang w:val="bg-BG"/>
        </w:rPr>
        <w:t xml:space="preserve"> 50%.</w:t>
      </w:r>
      <w:r w:rsidR="005809BF" w:rsidRPr="00945ED6">
        <w:rPr>
          <w:lang w:val="fr-FR"/>
        </w:rPr>
        <w:t xml:space="preserve"> </w:t>
      </w:r>
      <w:r w:rsidR="005809BF">
        <w:rPr>
          <w:lang w:val="bg-BG"/>
        </w:rPr>
        <w:t xml:space="preserve">В такъв случай законният демократичен процес ще даде предимство на политически лидери като г-жа </w:t>
      </w:r>
      <w:r w:rsidRPr="00530E30">
        <w:rPr>
          <w:lang w:val="fr-FR"/>
        </w:rPr>
        <w:t>Ždanoka</w:t>
      </w:r>
      <w:r w:rsidR="005809BF">
        <w:rPr>
          <w:lang w:val="bg-BG"/>
        </w:rPr>
        <w:t xml:space="preserve">, които биха клоняли към повторно обединяване с Руската федерация. Така независимостта на Латвия трудно ще се стабилизира. Все пак това не би било толкова странно, както става ясно от примера с понастоящем населените със словенци територии в Италия и Австрия. И в двете държави словенското население е било обект на интензивна фашистко-нацистка колонизация и жестока асимилация, за което дори днес свидетелстват усилията на г-н Хайдер. Резултатът е етническа нетърпимост. Подобна етническа нетърпимост избухна, отново по демографски причини, и във войната между албанци и сърби в Косово. Подобна етническа нетърпимост е предшественик на етническото пречистване. Историческата ситуация по случая </w:t>
      </w:r>
      <w:r w:rsidR="005809BF" w:rsidRPr="00E17978">
        <w:rPr>
          <w:i/>
        </w:rPr>
        <w:t>Broniowski</w:t>
      </w:r>
      <w:r w:rsidR="005809BF" w:rsidRPr="00945ED6">
        <w:rPr>
          <w:i/>
          <w:lang w:val="bg-BG"/>
        </w:rPr>
        <w:t xml:space="preserve"> </w:t>
      </w:r>
      <w:r w:rsidR="005809BF" w:rsidRPr="00E17978">
        <w:rPr>
          <w:i/>
        </w:rPr>
        <w:t>v</w:t>
      </w:r>
      <w:r w:rsidR="005809BF" w:rsidRPr="00945ED6">
        <w:rPr>
          <w:i/>
          <w:lang w:val="bg-BG"/>
        </w:rPr>
        <w:t xml:space="preserve">. </w:t>
      </w:r>
      <w:r w:rsidR="005809BF" w:rsidRPr="00E17978">
        <w:rPr>
          <w:i/>
        </w:rPr>
        <w:t>Poland</w:t>
      </w:r>
      <w:r w:rsidR="005809BF" w:rsidRPr="00945ED6">
        <w:rPr>
          <w:lang w:val="bg-BG"/>
        </w:rPr>
        <w:t xml:space="preserve"> ([</w:t>
      </w:r>
      <w:r>
        <w:rPr>
          <w:lang w:val="bg-BG"/>
        </w:rPr>
        <w:t>ГО</w:t>
      </w:r>
      <w:r w:rsidR="005809BF" w:rsidRPr="00945ED6">
        <w:rPr>
          <w:lang w:val="bg-BG"/>
        </w:rPr>
        <w:t>], № 31443/96, ЕСПЧ 2004-</w:t>
      </w:r>
      <w:r w:rsidR="005809BF">
        <w:t>V</w:t>
      </w:r>
      <w:r w:rsidR="005809BF" w:rsidRPr="00945ED6">
        <w:rPr>
          <w:lang w:val="bg-BG"/>
        </w:rPr>
        <w:t>)</w:t>
      </w:r>
      <w:r w:rsidR="005809BF">
        <w:rPr>
          <w:lang w:val="bg-BG"/>
        </w:rPr>
        <w:t xml:space="preserve"> например е следствие от такива опити, стигнали до преместването зад граница на населението от т.нар. „територии отвъд река Буг“.</w:t>
      </w:r>
    </w:p>
  </w:footnote>
  <w:footnote w:id="11">
    <w:p w:rsidR="005809BF" w:rsidRPr="00945ED6" w:rsidRDefault="005809BF" w:rsidP="00685F43">
      <w:pPr>
        <w:pStyle w:val="FootnoteText"/>
        <w:rPr>
          <w:lang w:val="bg-BG"/>
        </w:rPr>
      </w:pPr>
      <w:r w:rsidRPr="00126EB2">
        <w:rPr>
          <w:lang w:val="bg-BG"/>
        </w:rPr>
        <w:t>1.</w:t>
      </w:r>
      <w:r>
        <w:rPr>
          <w:lang w:val="bg-BG"/>
        </w:rPr>
        <w:t xml:space="preserve"> „</w:t>
      </w:r>
      <w:r w:rsidRPr="00126EB2">
        <w:rPr>
          <w:lang w:val="bg-BG"/>
        </w:rPr>
        <w:t>[</w:t>
      </w:r>
      <w:r>
        <w:rPr>
          <w:lang w:val="bg-BG"/>
        </w:rPr>
        <w:t>П</w:t>
      </w:r>
      <w:r w:rsidRPr="00126EB2">
        <w:rPr>
          <w:lang w:val="bg-BG"/>
        </w:rPr>
        <w:t>]</w:t>
      </w:r>
      <w:r>
        <w:rPr>
          <w:lang w:val="bg-BG"/>
        </w:rPr>
        <w:t xml:space="preserve">лурализмът, толерантността и </w:t>
      </w:r>
      <w:r w:rsidR="005F7F55">
        <w:rPr>
          <w:lang w:val="bg-BG"/>
        </w:rPr>
        <w:t>либералните възгледи</w:t>
      </w:r>
      <w:r>
        <w:rPr>
          <w:lang w:val="bg-BG"/>
        </w:rPr>
        <w:t xml:space="preserve"> са отличителните белези на „демократичното общество“ (стр. 23, </w:t>
      </w:r>
      <w:r w:rsidRPr="00126EB2">
        <w:rPr>
          <w:lang w:val="bg-BG"/>
        </w:rPr>
        <w:t xml:space="preserve">§ 49). </w:t>
      </w:r>
      <w:r>
        <w:rPr>
          <w:lang w:val="bg-BG"/>
        </w:rPr>
        <w:t xml:space="preserve">Въпреки че понякога интересите на индивида трябва да се подчиняват на интересите на групата, демокрация невинаги означава възгледите на мнозинството да имат по-голяма тежест: трябва да се постигне баланс, който да осигурява честно и правилно отношение към малцинствата и да предотвратява всяка злоупотреба с </w:t>
      </w:r>
      <w:r w:rsidR="005F7F55">
        <w:rPr>
          <w:lang w:val="bg-BG"/>
        </w:rPr>
        <w:t xml:space="preserve">господстващо </w:t>
      </w:r>
      <w:r>
        <w:rPr>
          <w:lang w:val="bg-BG"/>
        </w:rPr>
        <w:t xml:space="preserve">положение. Следователно сам по себе си фактът, че гледната точка на жалбоподателите е възприета от съвсем малка част от колегите им, </w:t>
      </w:r>
      <w:r w:rsidR="00C57471">
        <w:rPr>
          <w:lang w:val="bg-BG"/>
        </w:rPr>
        <w:t xml:space="preserve">отново </w:t>
      </w:r>
      <w:r>
        <w:rPr>
          <w:lang w:val="bg-BG"/>
        </w:rPr>
        <w:t xml:space="preserve">няма решаващо значение за въпроса, който Съдът разглежда в момента.“ Такава е позицията на стария Съд по делото </w:t>
      </w:r>
      <w:r w:rsidRPr="00E57BD7">
        <w:rPr>
          <w:i/>
        </w:rPr>
        <w:t>Young</w:t>
      </w:r>
      <w:r w:rsidRPr="00945ED6">
        <w:rPr>
          <w:i/>
          <w:lang w:val="bg-BG"/>
        </w:rPr>
        <w:t xml:space="preserve">, </w:t>
      </w:r>
      <w:r w:rsidRPr="00E57BD7">
        <w:rPr>
          <w:i/>
        </w:rPr>
        <w:t>James</w:t>
      </w:r>
      <w:r w:rsidRPr="00945ED6">
        <w:rPr>
          <w:i/>
          <w:lang w:val="bg-BG"/>
        </w:rPr>
        <w:t xml:space="preserve"> </w:t>
      </w:r>
      <w:r w:rsidRPr="00E57BD7">
        <w:rPr>
          <w:i/>
        </w:rPr>
        <w:t>and</w:t>
      </w:r>
      <w:r w:rsidRPr="00945ED6">
        <w:rPr>
          <w:i/>
          <w:lang w:val="bg-BG"/>
        </w:rPr>
        <w:t xml:space="preserve"> </w:t>
      </w:r>
      <w:r w:rsidRPr="00E57BD7">
        <w:rPr>
          <w:i/>
        </w:rPr>
        <w:t>Webster</w:t>
      </w:r>
      <w:r w:rsidRPr="00945ED6">
        <w:rPr>
          <w:i/>
          <w:lang w:val="bg-BG"/>
        </w:rPr>
        <w:t xml:space="preserve"> </w:t>
      </w:r>
      <w:r w:rsidRPr="00E57BD7">
        <w:rPr>
          <w:i/>
        </w:rPr>
        <w:t>v</w:t>
      </w:r>
      <w:r w:rsidRPr="00945ED6">
        <w:rPr>
          <w:i/>
          <w:lang w:val="bg-BG"/>
        </w:rPr>
        <w:t xml:space="preserve">. </w:t>
      </w:r>
      <w:r w:rsidRPr="00E57BD7">
        <w:rPr>
          <w:i/>
        </w:rPr>
        <w:t>the</w:t>
      </w:r>
      <w:r w:rsidRPr="00945ED6">
        <w:rPr>
          <w:i/>
          <w:lang w:val="bg-BG"/>
        </w:rPr>
        <w:t xml:space="preserve"> </w:t>
      </w:r>
      <w:r w:rsidRPr="00E57BD7">
        <w:rPr>
          <w:i/>
        </w:rPr>
        <w:t>United</w:t>
      </w:r>
      <w:r w:rsidRPr="00945ED6">
        <w:rPr>
          <w:i/>
          <w:lang w:val="bg-BG"/>
        </w:rPr>
        <w:t xml:space="preserve"> </w:t>
      </w:r>
      <w:r w:rsidRPr="00E57BD7">
        <w:rPr>
          <w:i/>
        </w:rPr>
        <w:t>Kingdom</w:t>
      </w:r>
      <w:r w:rsidRPr="00945ED6">
        <w:rPr>
          <w:lang w:val="bg-BG"/>
        </w:rPr>
        <w:t xml:space="preserve">, 13 август 1981, § 63, Серия </w:t>
      </w:r>
      <w:r>
        <w:t>A</w:t>
      </w:r>
      <w:r w:rsidRPr="00945ED6">
        <w:rPr>
          <w:lang w:val="bg-BG"/>
        </w:rPr>
        <w:t xml:space="preserve"> № 44.</w:t>
      </w:r>
      <w:r>
        <w:rPr>
          <w:lang w:val="bg-BG"/>
        </w:rPr>
        <w:t xml:space="preserve"> Проблемът в настоящия случай е точно обратният: възгледите на г-жа </w:t>
      </w:r>
      <w:r w:rsidR="00C57471" w:rsidRPr="00530E30">
        <w:rPr>
          <w:lang w:val="bg-BG"/>
        </w:rPr>
        <w:t xml:space="preserve"> Ž</w:t>
      </w:r>
      <w:r w:rsidR="00C57471" w:rsidRPr="00E17978">
        <w:t>danoka</w:t>
      </w:r>
      <w:r>
        <w:rPr>
          <w:lang w:val="bg-BG"/>
        </w:rPr>
        <w:t xml:space="preserve"> биха допаднали на твърде голяма част от обществото и затова не могат да се сч</w:t>
      </w:r>
      <w:r w:rsidR="00C57471">
        <w:rPr>
          <w:lang w:val="bg-BG"/>
        </w:rPr>
        <w:t>и</w:t>
      </w:r>
      <w:r>
        <w:rPr>
          <w:lang w:val="bg-BG"/>
        </w:rPr>
        <w:t xml:space="preserve">тат за „политически безопасни“.   </w:t>
      </w:r>
      <w:r>
        <w:t> </w:t>
      </w:r>
      <w:r w:rsidR="00C57471">
        <w:rPr>
          <w:lang w:val="bg-BG"/>
        </w:rPr>
        <w:t xml:space="preserve"> </w:t>
      </w:r>
      <w:r w:rsidRPr="00E17978">
        <w:t> </w:t>
      </w:r>
    </w:p>
  </w:footnote>
  <w:footnote w:id="12">
    <w:p w:rsidR="008A044C" w:rsidRPr="005C4C52" w:rsidRDefault="008A044C" w:rsidP="008A044C">
      <w:pPr>
        <w:pStyle w:val="Heading5"/>
        <w:jc w:val="both"/>
        <w:rPr>
          <w:rFonts w:ascii="Times New Roman" w:hAnsi="Times New Roman"/>
          <w:sz w:val="20"/>
          <w:lang w:val="bg-BG"/>
        </w:rPr>
      </w:pPr>
      <w:r w:rsidRPr="00126EB2">
        <w:rPr>
          <w:rFonts w:ascii="Times New Roman" w:hAnsi="Times New Roman"/>
          <w:sz w:val="20"/>
          <w:lang w:val="bg-BG"/>
        </w:rPr>
        <w:t>2.</w:t>
      </w:r>
      <w:r>
        <w:rPr>
          <w:rFonts w:ascii="Times New Roman" w:hAnsi="Times New Roman"/>
          <w:sz w:val="20"/>
          <w:lang w:val="bg-BG"/>
        </w:rPr>
        <w:t xml:space="preserve"> Декларация за правата на лица, принадлежащи към национални или етнически, религиозни или езикови малцинства</w:t>
      </w:r>
      <w:r w:rsidRPr="005C4C52">
        <w:rPr>
          <w:rFonts w:ascii="Times New Roman" w:hAnsi="Times New Roman"/>
          <w:sz w:val="20"/>
          <w:lang w:val="bg-BG"/>
        </w:rPr>
        <w:t xml:space="preserve">, </w:t>
      </w:r>
      <w:r w:rsidRPr="005C4C52">
        <w:rPr>
          <w:rFonts w:ascii="Times New Roman" w:hAnsi="Times New Roman"/>
          <w:sz w:val="20"/>
          <w:lang w:val="en-GB"/>
        </w:rPr>
        <w:t>G</w:t>
      </w:r>
      <w:r w:rsidRPr="005C4C52">
        <w:rPr>
          <w:rFonts w:ascii="Times New Roman" w:hAnsi="Times New Roman"/>
          <w:sz w:val="20"/>
          <w:lang w:val="bg-BG"/>
        </w:rPr>
        <w:t>.</w:t>
      </w:r>
      <w:r w:rsidRPr="005C4C52">
        <w:rPr>
          <w:rFonts w:ascii="Times New Roman" w:hAnsi="Times New Roman"/>
          <w:sz w:val="20"/>
          <w:lang w:val="en-GB"/>
        </w:rPr>
        <w:t>A</w:t>
      </w:r>
      <w:r w:rsidRPr="005C4C52">
        <w:rPr>
          <w:rFonts w:ascii="Times New Roman" w:hAnsi="Times New Roman"/>
          <w:sz w:val="20"/>
          <w:lang w:val="bg-BG"/>
        </w:rPr>
        <w:t xml:space="preserve">. рез. 47/135, </w:t>
      </w:r>
      <w:r>
        <w:rPr>
          <w:rFonts w:ascii="Times New Roman" w:hAnsi="Times New Roman"/>
          <w:sz w:val="20"/>
          <w:lang w:val="bg-BG"/>
        </w:rPr>
        <w:t>приложение</w:t>
      </w:r>
      <w:r w:rsidRPr="005C4C52">
        <w:rPr>
          <w:rFonts w:ascii="Times New Roman" w:hAnsi="Times New Roman"/>
          <w:sz w:val="20"/>
          <w:lang w:val="bg-BG"/>
        </w:rPr>
        <w:t xml:space="preserve">, 47 </w:t>
      </w:r>
      <w:r w:rsidRPr="005C4C52">
        <w:rPr>
          <w:rFonts w:ascii="Times New Roman" w:hAnsi="Times New Roman"/>
          <w:sz w:val="20"/>
          <w:lang w:val="en-GB"/>
        </w:rPr>
        <w:t>U</w:t>
      </w:r>
      <w:r w:rsidRPr="005C4C52">
        <w:rPr>
          <w:rFonts w:ascii="Times New Roman" w:hAnsi="Times New Roman"/>
          <w:sz w:val="20"/>
          <w:lang w:val="bg-BG"/>
        </w:rPr>
        <w:t>.</w:t>
      </w:r>
      <w:r w:rsidRPr="005C4C52">
        <w:rPr>
          <w:rFonts w:ascii="Times New Roman" w:hAnsi="Times New Roman"/>
          <w:sz w:val="20"/>
          <w:lang w:val="en-GB"/>
        </w:rPr>
        <w:t>N</w:t>
      </w:r>
      <w:r w:rsidRPr="005C4C52">
        <w:rPr>
          <w:rFonts w:ascii="Times New Roman" w:hAnsi="Times New Roman"/>
          <w:sz w:val="20"/>
          <w:lang w:val="bg-BG"/>
        </w:rPr>
        <w:t xml:space="preserve">. </w:t>
      </w:r>
      <w:r w:rsidRPr="005C4C52">
        <w:rPr>
          <w:rFonts w:ascii="Times New Roman" w:hAnsi="Times New Roman"/>
          <w:sz w:val="20"/>
          <w:lang w:val="en-GB"/>
        </w:rPr>
        <w:t>GAOR</w:t>
      </w:r>
      <w:r w:rsidRPr="005C4C52">
        <w:rPr>
          <w:rFonts w:ascii="Times New Roman" w:hAnsi="Times New Roman"/>
          <w:sz w:val="20"/>
          <w:lang w:val="bg-BG"/>
        </w:rPr>
        <w:t xml:space="preserve"> </w:t>
      </w:r>
      <w:r>
        <w:rPr>
          <w:rFonts w:ascii="Times New Roman" w:hAnsi="Times New Roman"/>
          <w:sz w:val="20"/>
          <w:lang w:val="bg-BG"/>
        </w:rPr>
        <w:t>Доп</w:t>
      </w:r>
      <w:r w:rsidRPr="005C4C52">
        <w:rPr>
          <w:rFonts w:ascii="Times New Roman" w:hAnsi="Times New Roman"/>
          <w:sz w:val="20"/>
          <w:lang w:val="bg-BG"/>
        </w:rPr>
        <w:t xml:space="preserve">. (№ 49) </w:t>
      </w:r>
      <w:r>
        <w:rPr>
          <w:rFonts w:ascii="Times New Roman" w:hAnsi="Times New Roman"/>
          <w:sz w:val="20"/>
          <w:lang w:val="bg-BG"/>
        </w:rPr>
        <w:t>в</w:t>
      </w:r>
      <w:r w:rsidRPr="005C4C52">
        <w:rPr>
          <w:rFonts w:ascii="Times New Roman" w:hAnsi="Times New Roman"/>
          <w:sz w:val="20"/>
          <w:lang w:val="bg-BG"/>
        </w:rPr>
        <w:t xml:space="preserve"> 210, </w:t>
      </w:r>
      <w:r w:rsidRPr="005C4C52">
        <w:rPr>
          <w:rFonts w:ascii="Times New Roman" w:hAnsi="Times New Roman"/>
          <w:sz w:val="20"/>
          <w:lang w:val="en-GB"/>
        </w:rPr>
        <w:t>U</w:t>
      </w:r>
      <w:r w:rsidRPr="005C4C52">
        <w:rPr>
          <w:rFonts w:ascii="Times New Roman" w:hAnsi="Times New Roman"/>
          <w:sz w:val="20"/>
          <w:lang w:val="bg-BG"/>
        </w:rPr>
        <w:t>.</w:t>
      </w:r>
      <w:r w:rsidRPr="005C4C52">
        <w:rPr>
          <w:rFonts w:ascii="Times New Roman" w:hAnsi="Times New Roman"/>
          <w:sz w:val="20"/>
          <w:lang w:val="en-GB"/>
        </w:rPr>
        <w:t>N</w:t>
      </w:r>
      <w:r w:rsidRPr="005C4C52">
        <w:rPr>
          <w:rFonts w:ascii="Times New Roman" w:hAnsi="Times New Roman"/>
          <w:sz w:val="20"/>
          <w:lang w:val="bg-BG"/>
        </w:rPr>
        <w:t xml:space="preserve">. </w:t>
      </w:r>
      <w:r w:rsidRPr="005C4C52">
        <w:rPr>
          <w:rFonts w:ascii="Times New Roman" w:hAnsi="Times New Roman"/>
          <w:sz w:val="20"/>
          <w:lang w:val="en-GB"/>
        </w:rPr>
        <w:t>Doc</w:t>
      </w:r>
      <w:r w:rsidRPr="005C4C52">
        <w:rPr>
          <w:rFonts w:ascii="Times New Roman" w:hAnsi="Times New Roman"/>
          <w:sz w:val="20"/>
          <w:lang w:val="bg-BG"/>
        </w:rPr>
        <w:t xml:space="preserve">. </w:t>
      </w:r>
      <w:r w:rsidRPr="005C4C52">
        <w:rPr>
          <w:rFonts w:ascii="Times New Roman" w:hAnsi="Times New Roman"/>
          <w:sz w:val="20"/>
          <w:lang w:val="en-GB"/>
        </w:rPr>
        <w:t>A</w:t>
      </w:r>
      <w:r w:rsidRPr="005C4C52">
        <w:rPr>
          <w:rFonts w:ascii="Times New Roman" w:hAnsi="Times New Roman"/>
          <w:sz w:val="20"/>
          <w:lang w:val="bg-BG"/>
        </w:rPr>
        <w:t>/47/49 (1993). Чл</w:t>
      </w:r>
      <w:r>
        <w:rPr>
          <w:rFonts w:ascii="Times New Roman" w:hAnsi="Times New Roman"/>
          <w:sz w:val="20"/>
          <w:lang w:val="bg-BG"/>
        </w:rPr>
        <w:t>ен</w:t>
      </w:r>
      <w:r w:rsidRPr="005C4C52">
        <w:rPr>
          <w:rFonts w:ascii="Times New Roman" w:hAnsi="Times New Roman"/>
          <w:sz w:val="20"/>
          <w:lang w:val="bg-BG"/>
        </w:rPr>
        <w:t xml:space="preserve"> 3, ал. 1:</w:t>
      </w:r>
      <w:r>
        <w:rPr>
          <w:rFonts w:ascii="Times New Roman" w:hAnsi="Times New Roman"/>
          <w:sz w:val="20"/>
          <w:lang w:val="bg-BG"/>
        </w:rPr>
        <w:t xml:space="preserve"> „Лица, принадлежащи към малцинства, могат да упражняват правата си, включително гарантираните от настоящата Декларация, както индивидуално, така и съвместно с други членове на своята група, без да бъдат дискриминирани по какъвто и да било начин.“ </w:t>
      </w:r>
    </w:p>
  </w:footnote>
  <w:footnote w:id="13">
    <w:p w:rsidR="005809BF" w:rsidRPr="007A3576" w:rsidRDefault="005809BF" w:rsidP="0061542A">
      <w:pPr>
        <w:jc w:val="both"/>
        <w:rPr>
          <w:sz w:val="20"/>
          <w:lang w:val="bg-BG"/>
        </w:rPr>
      </w:pPr>
      <w:r w:rsidRPr="007A3576">
        <w:rPr>
          <w:sz w:val="20"/>
          <w:lang w:val="bg-BG"/>
        </w:rPr>
        <w:t>3.</w:t>
      </w:r>
      <w:r>
        <w:rPr>
          <w:i/>
          <w:sz w:val="20"/>
        </w:rPr>
        <w:t>  </w:t>
      </w:r>
      <w:r w:rsidRPr="00323529">
        <w:rPr>
          <w:sz w:val="20"/>
          <w:lang w:val="bg-BG"/>
        </w:rPr>
        <w:t>Протокол</w:t>
      </w:r>
      <w:r>
        <w:rPr>
          <w:i/>
          <w:sz w:val="20"/>
          <w:lang w:val="bg-BG"/>
        </w:rPr>
        <w:t xml:space="preserve"> </w:t>
      </w:r>
      <w:r w:rsidRPr="007A3576">
        <w:rPr>
          <w:sz w:val="20"/>
          <w:lang w:val="bg-BG"/>
        </w:rPr>
        <w:t>№ 4</w:t>
      </w:r>
      <w:r>
        <w:rPr>
          <w:sz w:val="20"/>
          <w:lang w:val="bg-BG"/>
        </w:rPr>
        <w:t xml:space="preserve"> от Конвенцията за защита на правата на човека и основните свободи</w:t>
      </w:r>
      <w:r w:rsidRPr="00A221FD">
        <w:rPr>
          <w:sz w:val="20"/>
          <w:lang w:val="bg-BG"/>
        </w:rPr>
        <w:t xml:space="preserve">, </w:t>
      </w:r>
      <w:r w:rsidRPr="00A221FD">
        <w:rPr>
          <w:sz w:val="20"/>
        </w:rPr>
        <w:t>ETS</w:t>
      </w:r>
      <w:r w:rsidRPr="007A3576">
        <w:rPr>
          <w:sz w:val="20"/>
          <w:lang w:val="bg-BG"/>
        </w:rPr>
        <w:t xml:space="preserve"> № 46, </w:t>
      </w:r>
      <w:r w:rsidRPr="00A221FD">
        <w:rPr>
          <w:sz w:val="20"/>
          <w:lang w:val="bg-BG"/>
        </w:rPr>
        <w:t>влязъл</w:t>
      </w:r>
      <w:r>
        <w:rPr>
          <w:sz w:val="20"/>
          <w:lang w:val="bg-BG"/>
        </w:rPr>
        <w:t xml:space="preserve"> в сила на 2 май 1968 г. Чл. 4: „Колективното </w:t>
      </w:r>
      <w:r w:rsidR="00C57471">
        <w:rPr>
          <w:sz w:val="20"/>
          <w:lang w:val="bg-BG"/>
        </w:rPr>
        <w:t>експулсиране</w:t>
      </w:r>
      <w:r>
        <w:rPr>
          <w:sz w:val="20"/>
          <w:lang w:val="bg-BG"/>
        </w:rPr>
        <w:t xml:space="preserve"> на чужденци е забранено.“</w:t>
      </w:r>
    </w:p>
  </w:footnote>
  <w:footnote w:id="14">
    <w:p w:rsidR="005809BF" w:rsidRPr="00A221FD" w:rsidRDefault="005809BF" w:rsidP="00CF0C22">
      <w:pPr>
        <w:pStyle w:val="NormalWeb"/>
        <w:spacing w:before="0" w:beforeAutospacing="0" w:after="0" w:afterAutospacing="0"/>
        <w:jc w:val="both"/>
        <w:rPr>
          <w:sz w:val="20"/>
          <w:szCs w:val="20"/>
          <w:lang w:val="en-US"/>
        </w:rPr>
      </w:pPr>
      <w:r>
        <w:rPr>
          <w:sz w:val="20"/>
          <w:szCs w:val="20"/>
          <w:lang w:val="bg-BG"/>
        </w:rPr>
        <w:t>1</w:t>
      </w:r>
      <w:r w:rsidRPr="007A3576">
        <w:rPr>
          <w:sz w:val="20"/>
          <w:szCs w:val="20"/>
          <w:lang w:val="bg-BG"/>
        </w:rPr>
        <w:t>.</w:t>
      </w:r>
      <w:r>
        <w:rPr>
          <w:sz w:val="20"/>
          <w:szCs w:val="20"/>
          <w:lang w:val="en-GB"/>
        </w:rPr>
        <w:t>  </w:t>
      </w:r>
      <w:r w:rsidRPr="00A221FD">
        <w:rPr>
          <w:sz w:val="20"/>
          <w:szCs w:val="20"/>
          <w:lang w:val="bg-BG"/>
        </w:rPr>
        <w:t>Вж</w:t>
      </w:r>
      <w:r w:rsidR="00FB762B">
        <w:rPr>
          <w:sz w:val="20"/>
          <w:szCs w:val="20"/>
          <w:lang w:val="bg-BG"/>
        </w:rPr>
        <w:t>.</w:t>
      </w:r>
      <w:r w:rsidRPr="00A221FD">
        <w:rPr>
          <w:sz w:val="20"/>
          <w:szCs w:val="20"/>
          <w:lang w:val="bg-BG"/>
        </w:rPr>
        <w:t xml:space="preserve"> Оксфордските лекции по въпроса от Даниъл</w:t>
      </w:r>
      <w:r>
        <w:rPr>
          <w:sz w:val="20"/>
          <w:szCs w:val="20"/>
          <w:lang w:val="bg-BG"/>
        </w:rPr>
        <w:t xml:space="preserve"> Патрик Мойнихан, озаглавени „Пандемониум: Етническа принадлежност в международната политика“ (1993). </w:t>
      </w:r>
      <w:r w:rsidRPr="00A221FD">
        <w:rPr>
          <w:sz w:val="20"/>
          <w:szCs w:val="20"/>
          <w:lang w:val="bg-BG"/>
        </w:rPr>
        <w:t>(</w:t>
      </w:r>
      <w:r>
        <w:rPr>
          <w:sz w:val="20"/>
          <w:szCs w:val="20"/>
          <w:lang w:val="en-US"/>
        </w:rPr>
        <w:t>Daniel</w:t>
      </w:r>
      <w:r w:rsidRPr="00A221FD">
        <w:rPr>
          <w:sz w:val="20"/>
          <w:szCs w:val="20"/>
          <w:lang w:val="bg-BG"/>
        </w:rPr>
        <w:t xml:space="preserve"> </w:t>
      </w:r>
      <w:r>
        <w:rPr>
          <w:sz w:val="20"/>
          <w:szCs w:val="20"/>
          <w:lang w:val="en-US"/>
        </w:rPr>
        <w:t>Patrick</w:t>
      </w:r>
      <w:r w:rsidRPr="00A221FD">
        <w:rPr>
          <w:sz w:val="20"/>
          <w:szCs w:val="20"/>
          <w:lang w:val="bg-BG"/>
        </w:rPr>
        <w:t xml:space="preserve"> </w:t>
      </w:r>
      <w:r>
        <w:rPr>
          <w:sz w:val="20"/>
          <w:szCs w:val="20"/>
          <w:lang w:val="en-US"/>
        </w:rPr>
        <w:t>Moynihan</w:t>
      </w:r>
      <w:r w:rsidRPr="00A221FD">
        <w:rPr>
          <w:sz w:val="20"/>
          <w:szCs w:val="20"/>
          <w:lang w:val="bg-BG"/>
        </w:rPr>
        <w:t xml:space="preserve">, </w:t>
      </w:r>
      <w:r>
        <w:rPr>
          <w:sz w:val="20"/>
          <w:szCs w:val="20"/>
          <w:lang w:val="en-US"/>
        </w:rPr>
        <w:t>Oxford</w:t>
      </w:r>
      <w:r w:rsidRPr="00A221FD">
        <w:rPr>
          <w:sz w:val="20"/>
          <w:szCs w:val="20"/>
          <w:lang w:val="bg-BG"/>
        </w:rPr>
        <w:t xml:space="preserve"> </w:t>
      </w:r>
      <w:r>
        <w:rPr>
          <w:sz w:val="20"/>
          <w:szCs w:val="20"/>
          <w:lang w:val="en-US"/>
        </w:rPr>
        <w:t>Lectures</w:t>
      </w:r>
      <w:r w:rsidRPr="00A221FD">
        <w:rPr>
          <w:sz w:val="20"/>
          <w:szCs w:val="20"/>
          <w:lang w:val="bg-BG"/>
        </w:rPr>
        <w:t>: “</w:t>
      </w:r>
      <w:r>
        <w:rPr>
          <w:sz w:val="20"/>
          <w:szCs w:val="20"/>
          <w:lang w:val="en-US"/>
        </w:rPr>
        <w:t>Pandaemonium</w:t>
      </w:r>
      <w:r w:rsidRPr="00A221FD">
        <w:rPr>
          <w:sz w:val="20"/>
          <w:szCs w:val="20"/>
          <w:lang w:val="bg-BG"/>
        </w:rPr>
        <w:t xml:space="preserve">: </w:t>
      </w:r>
      <w:r>
        <w:rPr>
          <w:sz w:val="20"/>
          <w:szCs w:val="20"/>
          <w:lang w:val="en-US"/>
        </w:rPr>
        <w:t>Ethnicity</w:t>
      </w:r>
      <w:r w:rsidRPr="00A221FD">
        <w:rPr>
          <w:sz w:val="20"/>
          <w:szCs w:val="20"/>
          <w:lang w:val="bg-BG"/>
        </w:rPr>
        <w:t xml:space="preserve"> </w:t>
      </w:r>
      <w:r>
        <w:rPr>
          <w:sz w:val="20"/>
          <w:szCs w:val="20"/>
          <w:lang w:val="en-US"/>
        </w:rPr>
        <w:t>in</w:t>
      </w:r>
      <w:r w:rsidRPr="00A221FD">
        <w:rPr>
          <w:sz w:val="20"/>
          <w:szCs w:val="20"/>
          <w:lang w:val="bg-BG"/>
        </w:rPr>
        <w:t xml:space="preserve"> </w:t>
      </w:r>
      <w:r>
        <w:rPr>
          <w:sz w:val="20"/>
          <w:szCs w:val="20"/>
          <w:lang w:val="en-US"/>
        </w:rPr>
        <w:t>International</w:t>
      </w:r>
      <w:r w:rsidRPr="00A221FD">
        <w:rPr>
          <w:sz w:val="20"/>
          <w:szCs w:val="20"/>
          <w:lang w:val="bg-BG"/>
        </w:rPr>
        <w:t xml:space="preserve"> </w:t>
      </w:r>
      <w:r>
        <w:rPr>
          <w:sz w:val="20"/>
          <w:szCs w:val="20"/>
          <w:lang w:val="en-US"/>
        </w:rPr>
        <w:t>Politics</w:t>
      </w:r>
      <w:r w:rsidRPr="00A221FD">
        <w:rPr>
          <w:sz w:val="20"/>
          <w:szCs w:val="20"/>
          <w:lang w:val="bg-BG"/>
        </w:rPr>
        <w:t xml:space="preserve">”). </w:t>
      </w:r>
      <w:r>
        <w:rPr>
          <w:sz w:val="20"/>
          <w:szCs w:val="20"/>
          <w:lang w:val="bg-BG"/>
        </w:rPr>
        <w:t xml:space="preserve">Заглавието намеква за избухването на национализъм като резултат. </w:t>
      </w:r>
      <w:r w:rsidR="00FB762B">
        <w:rPr>
          <w:sz w:val="20"/>
          <w:szCs w:val="20"/>
          <w:lang w:val="bg-BG"/>
        </w:rPr>
        <w:t>„</w:t>
      </w:r>
      <w:r>
        <w:rPr>
          <w:sz w:val="20"/>
          <w:szCs w:val="20"/>
          <w:lang w:val="bg-BG"/>
        </w:rPr>
        <w:t xml:space="preserve">Всяко кътче на тази земя – </w:t>
      </w:r>
      <w:r w:rsidR="00FB762B">
        <w:rPr>
          <w:sz w:val="20"/>
          <w:szCs w:val="20"/>
          <w:lang w:val="bg-BG"/>
        </w:rPr>
        <w:t>или</w:t>
      </w:r>
      <w:r>
        <w:rPr>
          <w:sz w:val="20"/>
          <w:szCs w:val="20"/>
          <w:lang w:val="bg-BG"/>
        </w:rPr>
        <w:t xml:space="preserve"> почти всяко – в наши дни се населява от две, три или повече народности, които се различават помежду си по раса, религия или етнически произход. За всички тези коренно различни групи едно и също кътче е тяхна</w:t>
      </w:r>
      <w:r w:rsidR="00FB762B">
        <w:rPr>
          <w:sz w:val="20"/>
          <w:szCs w:val="20"/>
          <w:lang w:val="bg-BG"/>
        </w:rPr>
        <w:t>та</w:t>
      </w:r>
      <w:r>
        <w:rPr>
          <w:sz w:val="20"/>
          <w:szCs w:val="20"/>
          <w:lang w:val="bg-BG"/>
        </w:rPr>
        <w:t xml:space="preserve"> неотчуждаема земя, законният им дом, наследството им. Това междуплеменно съжителство може да има различен произход. Понякога едно племе завладява населявана от друго племе територия, без да прогонва или убива всички „коренни жители“. В други случаи хора, съвсем различни в расово и етническо отношение, са внасяни като роби или работна ръка, или са </w:t>
      </w:r>
      <w:r w:rsidR="00FB762B">
        <w:rPr>
          <w:sz w:val="20"/>
          <w:szCs w:val="20"/>
          <w:lang w:val="bg-BG"/>
        </w:rPr>
        <w:t xml:space="preserve">посрещани </w:t>
      </w:r>
      <w:r>
        <w:rPr>
          <w:sz w:val="20"/>
          <w:szCs w:val="20"/>
          <w:lang w:val="bg-BG"/>
        </w:rPr>
        <w:t xml:space="preserve">като доброволни имигранти.“ </w:t>
      </w:r>
      <w:r w:rsidRPr="00A221FD">
        <w:rPr>
          <w:sz w:val="20"/>
          <w:szCs w:val="20"/>
          <w:lang w:val="bg-BG"/>
        </w:rPr>
        <w:t>“</w:t>
      </w:r>
      <w:r>
        <w:rPr>
          <w:sz w:val="20"/>
          <w:szCs w:val="20"/>
          <w:lang w:val="en-US"/>
        </w:rPr>
        <w:t>Pandaemonium</w:t>
      </w:r>
      <w:r w:rsidRPr="00A221FD">
        <w:rPr>
          <w:sz w:val="20"/>
          <w:szCs w:val="20"/>
          <w:lang w:val="bg-BG"/>
        </w:rPr>
        <w:t xml:space="preserve">: </w:t>
      </w:r>
      <w:r>
        <w:rPr>
          <w:sz w:val="20"/>
          <w:szCs w:val="20"/>
          <w:lang w:val="en-US"/>
        </w:rPr>
        <w:t>Ethnicity</w:t>
      </w:r>
      <w:r w:rsidRPr="00A221FD">
        <w:rPr>
          <w:sz w:val="20"/>
          <w:szCs w:val="20"/>
          <w:lang w:val="bg-BG"/>
        </w:rPr>
        <w:t xml:space="preserve"> </w:t>
      </w:r>
      <w:r>
        <w:rPr>
          <w:sz w:val="20"/>
          <w:szCs w:val="20"/>
          <w:lang w:val="en-US"/>
        </w:rPr>
        <w:t>in</w:t>
      </w:r>
      <w:r w:rsidRPr="00A221FD">
        <w:rPr>
          <w:sz w:val="20"/>
          <w:szCs w:val="20"/>
          <w:lang w:val="bg-BG"/>
        </w:rPr>
        <w:t xml:space="preserve"> </w:t>
      </w:r>
      <w:r>
        <w:rPr>
          <w:sz w:val="20"/>
          <w:szCs w:val="20"/>
          <w:lang w:val="en-US"/>
        </w:rPr>
        <w:t>International</w:t>
      </w:r>
      <w:r w:rsidRPr="00A221FD">
        <w:rPr>
          <w:sz w:val="20"/>
          <w:szCs w:val="20"/>
          <w:lang w:val="bg-BG"/>
        </w:rPr>
        <w:t xml:space="preserve"> </w:t>
      </w:r>
      <w:r>
        <w:rPr>
          <w:sz w:val="20"/>
          <w:szCs w:val="20"/>
          <w:lang w:val="en-US"/>
        </w:rPr>
        <w:t>Politics</w:t>
      </w:r>
      <w:r w:rsidRPr="00A221FD">
        <w:rPr>
          <w:sz w:val="20"/>
          <w:szCs w:val="20"/>
          <w:lang w:val="bg-BG"/>
        </w:rPr>
        <w:t>”</w:t>
      </w:r>
      <w:r>
        <w:rPr>
          <w:sz w:val="20"/>
          <w:szCs w:val="20"/>
          <w:lang w:val="bg-BG"/>
        </w:rPr>
        <w:t>, предговор от Фред С. Икле</w:t>
      </w:r>
      <w:r>
        <w:rPr>
          <w:sz w:val="20"/>
          <w:szCs w:val="20"/>
          <w:lang w:val="en-US"/>
        </w:rPr>
        <w:t xml:space="preserve"> (Fred C. Ikle)</w:t>
      </w:r>
    </w:p>
    <w:p w:rsidR="005809BF" w:rsidRPr="00945ED6" w:rsidRDefault="005809BF" w:rsidP="00CF0C22">
      <w:pPr>
        <w:pStyle w:val="NormalWeb"/>
        <w:spacing w:before="0" w:beforeAutospacing="0" w:after="0" w:afterAutospacing="0"/>
        <w:jc w:val="both"/>
        <w:rPr>
          <w:sz w:val="20"/>
          <w:szCs w:val="20"/>
          <w:lang w:val="bg-BG"/>
        </w:rPr>
      </w:pPr>
      <w:r w:rsidRPr="00945ED6">
        <w:rPr>
          <w:sz w:val="20"/>
          <w:szCs w:val="20"/>
          <w:lang w:val="bg-BG"/>
        </w:rPr>
        <w:t>(</w:t>
      </w:r>
      <w:r w:rsidRPr="00E17978">
        <w:rPr>
          <w:sz w:val="20"/>
          <w:szCs w:val="20"/>
          <w:lang w:val="en-GB"/>
        </w:rPr>
        <w:t>http</w:t>
      </w:r>
      <w:r w:rsidRPr="00945ED6">
        <w:rPr>
          <w:sz w:val="20"/>
          <w:szCs w:val="20"/>
          <w:lang w:val="bg-BG"/>
        </w:rPr>
        <w:t>://</w:t>
      </w:r>
      <w:r w:rsidRPr="00E17978">
        <w:rPr>
          <w:sz w:val="20"/>
          <w:szCs w:val="20"/>
          <w:lang w:val="en-GB"/>
        </w:rPr>
        <w:t>www</w:t>
      </w:r>
      <w:r w:rsidRPr="00945ED6">
        <w:rPr>
          <w:sz w:val="20"/>
          <w:szCs w:val="20"/>
          <w:lang w:val="bg-BG"/>
        </w:rPr>
        <w:t>.</w:t>
      </w:r>
      <w:r w:rsidRPr="00E17978">
        <w:rPr>
          <w:sz w:val="20"/>
          <w:szCs w:val="20"/>
          <w:lang w:val="en-GB"/>
        </w:rPr>
        <w:t>findarticles</w:t>
      </w:r>
      <w:r w:rsidRPr="00945ED6">
        <w:rPr>
          <w:sz w:val="20"/>
          <w:szCs w:val="20"/>
          <w:lang w:val="bg-BG"/>
        </w:rPr>
        <w:t>.</w:t>
      </w:r>
      <w:r w:rsidRPr="00E17978">
        <w:rPr>
          <w:sz w:val="20"/>
          <w:szCs w:val="20"/>
          <w:lang w:val="en-GB"/>
        </w:rPr>
        <w:t>com</w:t>
      </w:r>
      <w:r w:rsidRPr="00945ED6">
        <w:rPr>
          <w:sz w:val="20"/>
          <w:szCs w:val="20"/>
          <w:lang w:val="bg-BG"/>
        </w:rPr>
        <w:t>/</w:t>
      </w:r>
      <w:r w:rsidRPr="00E17978">
        <w:rPr>
          <w:sz w:val="20"/>
          <w:szCs w:val="20"/>
          <w:lang w:val="en-GB"/>
        </w:rPr>
        <w:t>p</w:t>
      </w:r>
      <w:r w:rsidRPr="00945ED6">
        <w:rPr>
          <w:sz w:val="20"/>
          <w:szCs w:val="20"/>
          <w:lang w:val="bg-BG"/>
        </w:rPr>
        <w:t>/</w:t>
      </w:r>
      <w:r w:rsidRPr="00E17978">
        <w:rPr>
          <w:sz w:val="20"/>
          <w:szCs w:val="20"/>
          <w:lang w:val="en-GB"/>
        </w:rPr>
        <w:t>articles</w:t>
      </w:r>
      <w:r w:rsidRPr="00945ED6">
        <w:rPr>
          <w:sz w:val="20"/>
          <w:szCs w:val="20"/>
          <w:lang w:val="bg-BG"/>
        </w:rPr>
        <w:t>/</w:t>
      </w:r>
      <w:r w:rsidRPr="00E17978">
        <w:rPr>
          <w:sz w:val="20"/>
          <w:szCs w:val="20"/>
          <w:lang w:val="en-GB"/>
        </w:rPr>
        <w:t>mi</w:t>
      </w:r>
      <w:r w:rsidRPr="00945ED6">
        <w:rPr>
          <w:sz w:val="20"/>
          <w:szCs w:val="20"/>
          <w:lang w:val="bg-BG"/>
        </w:rPr>
        <w:t>_</w:t>
      </w:r>
      <w:r w:rsidRPr="00E17978">
        <w:rPr>
          <w:sz w:val="20"/>
          <w:szCs w:val="20"/>
          <w:lang w:val="en-GB"/>
        </w:rPr>
        <w:t>m</w:t>
      </w:r>
      <w:r w:rsidRPr="00945ED6">
        <w:rPr>
          <w:sz w:val="20"/>
          <w:szCs w:val="20"/>
          <w:lang w:val="bg-BG"/>
        </w:rPr>
        <w:t>2751/</w:t>
      </w:r>
      <w:r w:rsidRPr="00E17978">
        <w:rPr>
          <w:sz w:val="20"/>
          <w:szCs w:val="20"/>
          <w:lang w:val="en-GB"/>
        </w:rPr>
        <w:t>is</w:t>
      </w:r>
      <w:r w:rsidRPr="00945ED6">
        <w:rPr>
          <w:sz w:val="20"/>
          <w:szCs w:val="20"/>
          <w:lang w:val="bg-BG"/>
        </w:rPr>
        <w:t>_</w:t>
      </w:r>
      <w:r w:rsidRPr="00E17978">
        <w:rPr>
          <w:sz w:val="20"/>
          <w:szCs w:val="20"/>
          <w:lang w:val="en-GB"/>
        </w:rPr>
        <w:t>n</w:t>
      </w:r>
      <w:r w:rsidRPr="00945ED6">
        <w:rPr>
          <w:sz w:val="20"/>
          <w:szCs w:val="20"/>
          <w:lang w:val="bg-BG"/>
        </w:rPr>
        <w:t>32/</w:t>
      </w:r>
      <w:r w:rsidRPr="00E17978">
        <w:rPr>
          <w:sz w:val="20"/>
          <w:szCs w:val="20"/>
          <w:lang w:val="en-GB"/>
        </w:rPr>
        <w:t>ai</w:t>
      </w:r>
      <w:r w:rsidRPr="00945ED6">
        <w:rPr>
          <w:sz w:val="20"/>
          <w:szCs w:val="20"/>
          <w:lang w:val="bg-BG"/>
        </w:rPr>
        <w:t>_14182726/</w:t>
      </w:r>
      <w:r w:rsidRPr="00E17978">
        <w:rPr>
          <w:sz w:val="20"/>
          <w:szCs w:val="20"/>
          <w:lang w:val="en-GB"/>
        </w:rPr>
        <w:t>print</w:t>
      </w:r>
      <w:r w:rsidRPr="00945ED6">
        <w:rPr>
          <w:sz w:val="20"/>
          <w:szCs w:val="20"/>
          <w:lang w:val="bg-BG"/>
        </w:rPr>
        <w:t>).</w:t>
      </w:r>
      <w:r>
        <w:rPr>
          <w:sz w:val="20"/>
          <w:szCs w:val="20"/>
          <w:lang w:val="bg-BG"/>
        </w:rPr>
        <w:t xml:space="preserve">    </w:t>
      </w:r>
    </w:p>
  </w:footnote>
  <w:footnote w:id="15">
    <w:p w:rsidR="005809BF" w:rsidRPr="00945ED6" w:rsidRDefault="0099532D" w:rsidP="008F7198">
      <w:pPr>
        <w:pStyle w:val="FootnoteText"/>
        <w:rPr>
          <w:lang w:val="bg-BG"/>
        </w:rPr>
      </w:pPr>
      <w:r>
        <w:rPr>
          <w:lang w:val="bg-BG"/>
        </w:rPr>
        <w:t>2</w:t>
      </w:r>
      <w:r w:rsidR="005809BF" w:rsidRPr="00945ED6">
        <w:rPr>
          <w:lang w:val="bg-BG"/>
        </w:rPr>
        <w:t>.</w:t>
      </w:r>
      <w:r w:rsidR="005809BF">
        <w:t> </w:t>
      </w:r>
      <w:r w:rsidR="005809BF" w:rsidRPr="00E17978">
        <w:t> </w:t>
      </w:r>
      <w:r w:rsidR="005809BF">
        <w:rPr>
          <w:lang w:val="bg-BG"/>
        </w:rPr>
        <w:t xml:space="preserve">Напоследък увеличаващата се литература по международно право разкрива как правни учени с международна известност, например Витория, Гроций, Де Вател, Уестлейк и др., са изкривявали правните си аргументи, било то чрез естествено право или чрез подхода на позитивизма, за да бъдат в услуга на своите суверени в стремежите им към експанзия. </w:t>
      </w:r>
      <w:r w:rsidR="005809BF">
        <w:t>(</w:t>
      </w:r>
      <w:r>
        <w:rPr>
          <w:lang w:val="bg-BG"/>
        </w:rPr>
        <w:t>в</w:t>
      </w:r>
      <w:r w:rsidR="005809BF">
        <w:t>ж</w:t>
      </w:r>
      <w:r>
        <w:rPr>
          <w:lang w:val="bg-BG"/>
        </w:rPr>
        <w:t>.</w:t>
      </w:r>
      <w:r w:rsidR="005809BF" w:rsidRPr="00E17978">
        <w:t xml:space="preserve"> Anghie, Antony, </w:t>
      </w:r>
      <w:r w:rsidR="005809BF" w:rsidRPr="00E17978">
        <w:rPr>
          <w:i/>
        </w:rPr>
        <w:t>Imperialism, Sovereignty and the Making of International Law</w:t>
      </w:r>
      <w:r w:rsidR="005809BF" w:rsidRPr="00E17978">
        <w:t xml:space="preserve">, Cambridge University Press, </w:t>
      </w:r>
      <w:r w:rsidR="005809BF">
        <w:t xml:space="preserve">Cambridge, </w:t>
      </w:r>
      <w:r w:rsidR="005809BF" w:rsidRPr="00E17978">
        <w:t xml:space="preserve">2005; Koskenniemi, Marti, </w:t>
      </w:r>
      <w:r w:rsidR="005809BF" w:rsidRPr="00E17978">
        <w:rPr>
          <w:i/>
        </w:rPr>
        <w:t>The Gentle Civilizer of Nations: The Rise and Fall of International Law 1870-1960</w:t>
      </w:r>
      <w:r w:rsidR="005809BF" w:rsidRPr="00E17978">
        <w:t>, Cambridge University Press, Cambridge, 2002; Tuck,</w:t>
      </w:r>
      <w:r w:rsidR="005809BF">
        <w:t xml:space="preserve"> </w:t>
      </w:r>
      <w:r w:rsidR="005809BF" w:rsidRPr="00E17978">
        <w:t xml:space="preserve">Richard, </w:t>
      </w:r>
      <w:r w:rsidR="005809BF" w:rsidRPr="00E17978">
        <w:rPr>
          <w:i/>
        </w:rPr>
        <w:t>The Rights of War and Peace: Political Thought and the International Order from Grotius to Kant</w:t>
      </w:r>
      <w:r w:rsidR="005809BF" w:rsidRPr="00E17978">
        <w:t>, Oxford University Press, Oxford, 1999.)</w:t>
      </w:r>
      <w:r w:rsidR="005809BF">
        <w:rPr>
          <w:lang w:val="bg-BG"/>
        </w:rPr>
        <w:t xml:space="preserve"> За сведения по въпроса как имперализмът е наситил културата дотам, че да я приемаме за даденост, виж трудовете на </w:t>
      </w:r>
      <w:r w:rsidR="005809BF" w:rsidRPr="00945ED6">
        <w:rPr>
          <w:lang w:val="bg-BG"/>
        </w:rPr>
        <w:t xml:space="preserve"> </w:t>
      </w:r>
      <w:r w:rsidR="005809BF">
        <w:t>Edward</w:t>
      </w:r>
      <w:r w:rsidR="005809BF" w:rsidRPr="00945ED6">
        <w:rPr>
          <w:lang w:val="bg-BG"/>
        </w:rPr>
        <w:t xml:space="preserve"> </w:t>
      </w:r>
      <w:r w:rsidR="005809BF">
        <w:t>W</w:t>
      </w:r>
      <w:r w:rsidR="005809BF" w:rsidRPr="00945ED6">
        <w:rPr>
          <w:lang w:val="bg-BG"/>
        </w:rPr>
        <w:t xml:space="preserve">. </w:t>
      </w:r>
      <w:r w:rsidR="005809BF">
        <w:t>Said</w:t>
      </w:r>
      <w:r w:rsidR="005809BF" w:rsidRPr="00945ED6">
        <w:rPr>
          <w:lang w:val="bg-BG"/>
        </w:rPr>
        <w:t xml:space="preserve"> (</w:t>
      </w:r>
      <w:r w:rsidR="005809BF" w:rsidRPr="00E17978">
        <w:rPr>
          <w:i/>
        </w:rPr>
        <w:t>Orientalism</w:t>
      </w:r>
      <w:r w:rsidR="005809BF" w:rsidRPr="00945ED6">
        <w:rPr>
          <w:lang w:val="bg-BG"/>
        </w:rPr>
        <w:t xml:space="preserve">, </w:t>
      </w:r>
      <w:r w:rsidR="005809BF" w:rsidRPr="00E17978">
        <w:t>Pantheon</w:t>
      </w:r>
      <w:r w:rsidR="005809BF" w:rsidRPr="00945ED6">
        <w:rPr>
          <w:lang w:val="bg-BG"/>
        </w:rPr>
        <w:t xml:space="preserve"> </w:t>
      </w:r>
      <w:r w:rsidR="005809BF" w:rsidRPr="00E17978">
        <w:t>Books</w:t>
      </w:r>
      <w:r w:rsidR="005809BF" w:rsidRPr="00945ED6">
        <w:rPr>
          <w:lang w:val="bg-BG"/>
        </w:rPr>
        <w:t xml:space="preserve">, </w:t>
      </w:r>
      <w:r w:rsidR="005809BF" w:rsidRPr="00E17978">
        <w:t>New</w:t>
      </w:r>
      <w:r w:rsidR="005809BF" w:rsidRPr="00945ED6">
        <w:rPr>
          <w:lang w:val="bg-BG"/>
        </w:rPr>
        <w:t xml:space="preserve"> </w:t>
      </w:r>
      <w:r w:rsidR="005809BF" w:rsidRPr="00E17978">
        <w:t>York</w:t>
      </w:r>
      <w:r w:rsidR="005809BF" w:rsidRPr="00945ED6">
        <w:rPr>
          <w:lang w:val="bg-BG"/>
        </w:rPr>
        <w:t xml:space="preserve">, 1978; </w:t>
      </w:r>
      <w:r w:rsidR="005809BF" w:rsidRPr="00E17978">
        <w:rPr>
          <w:i/>
        </w:rPr>
        <w:t>Culture</w:t>
      </w:r>
      <w:r w:rsidR="005809BF" w:rsidRPr="00945ED6">
        <w:rPr>
          <w:i/>
          <w:lang w:val="bg-BG"/>
        </w:rPr>
        <w:t xml:space="preserve"> </w:t>
      </w:r>
      <w:r w:rsidR="005809BF" w:rsidRPr="00E17978">
        <w:rPr>
          <w:i/>
        </w:rPr>
        <w:t>and</w:t>
      </w:r>
      <w:r w:rsidR="005809BF" w:rsidRPr="00945ED6">
        <w:rPr>
          <w:i/>
          <w:lang w:val="bg-BG"/>
        </w:rPr>
        <w:t xml:space="preserve"> </w:t>
      </w:r>
      <w:r w:rsidR="005809BF" w:rsidRPr="00E17978">
        <w:rPr>
          <w:i/>
        </w:rPr>
        <w:t>Imperialism</w:t>
      </w:r>
      <w:r w:rsidR="005809BF" w:rsidRPr="00945ED6">
        <w:rPr>
          <w:lang w:val="bg-BG"/>
        </w:rPr>
        <w:t xml:space="preserve">, </w:t>
      </w:r>
      <w:r w:rsidR="005809BF" w:rsidRPr="00E17978">
        <w:t>Vintage</w:t>
      </w:r>
      <w:r w:rsidR="005809BF" w:rsidRPr="00945ED6">
        <w:rPr>
          <w:lang w:val="bg-BG"/>
        </w:rPr>
        <w:t xml:space="preserve">, </w:t>
      </w:r>
      <w:r w:rsidR="005809BF" w:rsidRPr="00E17978">
        <w:t>London</w:t>
      </w:r>
      <w:r w:rsidR="005809BF" w:rsidRPr="00945ED6">
        <w:rPr>
          <w:lang w:val="bg-BG"/>
        </w:rPr>
        <w:t>, 1994).</w:t>
      </w:r>
      <w:r w:rsidR="005809BF">
        <w:rPr>
          <w:lang w:val="bg-BG"/>
        </w:rPr>
        <w:t xml:space="preserve"> За преглед на повлияните от имперализма теории из целия спектър на обществената мисъл виж</w:t>
      </w:r>
      <w:r w:rsidR="005809BF" w:rsidRPr="00945ED6">
        <w:rPr>
          <w:lang w:val="bg-BG"/>
        </w:rPr>
        <w:t xml:space="preserve"> </w:t>
      </w:r>
      <w:r w:rsidR="005809BF" w:rsidRPr="00E17978">
        <w:t>Curtin</w:t>
      </w:r>
      <w:r w:rsidR="005809BF" w:rsidRPr="00945ED6">
        <w:rPr>
          <w:lang w:val="bg-BG"/>
        </w:rPr>
        <w:t xml:space="preserve">, </w:t>
      </w:r>
      <w:r w:rsidR="005809BF" w:rsidRPr="00E17978">
        <w:t>Philip</w:t>
      </w:r>
      <w:r w:rsidR="005809BF" w:rsidRPr="00945ED6">
        <w:rPr>
          <w:lang w:val="bg-BG"/>
        </w:rPr>
        <w:t xml:space="preserve"> </w:t>
      </w:r>
      <w:r w:rsidR="005809BF" w:rsidRPr="00E17978">
        <w:t>D</w:t>
      </w:r>
      <w:r w:rsidR="005809BF" w:rsidRPr="00945ED6">
        <w:rPr>
          <w:lang w:val="bg-BG"/>
        </w:rPr>
        <w:t>. (</w:t>
      </w:r>
      <w:r w:rsidR="005809BF" w:rsidRPr="00E17978">
        <w:t>ed</w:t>
      </w:r>
      <w:r w:rsidR="005809BF" w:rsidRPr="00945ED6">
        <w:rPr>
          <w:lang w:val="bg-BG"/>
        </w:rPr>
        <w:t xml:space="preserve">.), </w:t>
      </w:r>
      <w:r w:rsidR="005809BF" w:rsidRPr="00E17978">
        <w:rPr>
          <w:i/>
        </w:rPr>
        <w:t>Imperialism</w:t>
      </w:r>
      <w:r w:rsidR="005809BF" w:rsidRPr="00945ED6">
        <w:rPr>
          <w:lang w:val="bg-BG"/>
        </w:rPr>
        <w:t xml:space="preserve">, </w:t>
      </w:r>
      <w:r w:rsidR="005809BF" w:rsidRPr="00E17978">
        <w:t>MacMillan</w:t>
      </w:r>
      <w:r w:rsidR="005809BF" w:rsidRPr="00945ED6">
        <w:rPr>
          <w:lang w:val="bg-BG"/>
        </w:rPr>
        <w:t xml:space="preserve">, </w:t>
      </w:r>
      <w:r w:rsidR="005809BF" w:rsidRPr="00E17978">
        <w:t>London</w:t>
      </w:r>
      <w:r w:rsidR="005809BF" w:rsidRPr="00945ED6">
        <w:rPr>
          <w:lang w:val="bg-BG"/>
        </w:rPr>
        <w:t xml:space="preserve"> </w:t>
      </w:r>
      <w:r w:rsidR="005809BF" w:rsidRPr="00E17978">
        <w:t>and</w:t>
      </w:r>
      <w:r w:rsidR="005809BF" w:rsidRPr="00945ED6">
        <w:rPr>
          <w:lang w:val="bg-BG"/>
        </w:rPr>
        <w:t xml:space="preserve"> </w:t>
      </w:r>
      <w:r w:rsidR="005809BF" w:rsidRPr="00E17978">
        <w:t>Basingstoke</w:t>
      </w:r>
      <w:r w:rsidR="005809BF" w:rsidRPr="00945ED6">
        <w:rPr>
          <w:lang w:val="bg-BG"/>
        </w:rPr>
        <w:t>, 1972.</w:t>
      </w:r>
    </w:p>
  </w:footnote>
  <w:footnote w:id="16">
    <w:p w:rsidR="005809BF" w:rsidRPr="00945ED6" w:rsidRDefault="009C1713" w:rsidP="00CA4769">
      <w:pPr>
        <w:pStyle w:val="FootnoteText"/>
        <w:rPr>
          <w:lang w:val="bg-BG"/>
        </w:rPr>
      </w:pPr>
      <w:r>
        <w:rPr>
          <w:lang w:val="bg-BG"/>
        </w:rPr>
        <w:t>1</w:t>
      </w:r>
      <w:r w:rsidR="005809BF" w:rsidRPr="00945ED6">
        <w:rPr>
          <w:lang w:val="bg-BG"/>
        </w:rPr>
        <w:t>.</w:t>
      </w:r>
      <w:r w:rsidR="005809BF">
        <w:t> </w:t>
      </w:r>
      <w:r w:rsidR="005809BF" w:rsidRPr="00E17978">
        <w:t> </w:t>
      </w:r>
      <w:r w:rsidR="005809BF" w:rsidRPr="00945ED6">
        <w:rPr>
          <w:lang w:val="bg-BG"/>
        </w:rPr>
        <w:t>[</w:t>
      </w:r>
      <w:r w:rsidR="0099532D">
        <w:rPr>
          <w:lang w:val="bg-BG"/>
        </w:rPr>
        <w:t>ГО</w:t>
      </w:r>
      <w:r w:rsidR="005809BF" w:rsidRPr="00945ED6">
        <w:rPr>
          <w:lang w:val="bg-BG"/>
        </w:rPr>
        <w:t>], № 43577/98 и 43579/98, ЕСПЧ 2005-</w:t>
      </w:r>
      <w:r w:rsidR="005809BF">
        <w:t>VII</w:t>
      </w:r>
      <w:r w:rsidR="005809BF" w:rsidRPr="00945ED6">
        <w:rPr>
          <w:lang w:val="bg-BG"/>
        </w:rPr>
        <w:t>.</w:t>
      </w:r>
    </w:p>
  </w:footnote>
  <w:footnote w:id="17">
    <w:p w:rsidR="005809BF" w:rsidRPr="00945ED6" w:rsidRDefault="009C1713" w:rsidP="00CA4769">
      <w:pPr>
        <w:pStyle w:val="FootnoteText"/>
        <w:rPr>
          <w:lang w:val="bg-BG"/>
        </w:rPr>
      </w:pPr>
      <w:r>
        <w:rPr>
          <w:lang w:val="bg-BG"/>
        </w:rPr>
        <w:t>2</w:t>
      </w:r>
      <w:r w:rsidR="005809BF" w:rsidRPr="00945ED6">
        <w:rPr>
          <w:lang w:val="bg-BG"/>
        </w:rPr>
        <w:t>.</w:t>
      </w:r>
      <w:r w:rsidR="005809BF">
        <w:t> </w:t>
      </w:r>
      <w:r w:rsidR="005809BF" w:rsidRPr="00E17978">
        <w:t> </w:t>
      </w:r>
      <w:r w:rsidR="005809BF" w:rsidRPr="00945ED6">
        <w:rPr>
          <w:lang w:val="bg-BG"/>
        </w:rPr>
        <w:t>[</w:t>
      </w:r>
      <w:r w:rsidR="0099532D">
        <w:rPr>
          <w:lang w:val="bg-BG"/>
        </w:rPr>
        <w:t>ГО</w:t>
      </w:r>
      <w:r w:rsidR="005809BF" w:rsidRPr="00945ED6">
        <w:rPr>
          <w:lang w:val="bg-BG"/>
        </w:rPr>
        <w:t>], № 43577/98 и 43579/98, ЕСПЧ 2005-</w:t>
      </w:r>
      <w:r w:rsidR="005809BF">
        <w:t>VII</w:t>
      </w:r>
      <w:r w:rsidR="005809BF" w:rsidRPr="00945ED6">
        <w:rPr>
          <w:lang w:val="bg-BG"/>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52" w:rsidRDefault="00256D52">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JuHeader"/>
      <w:rPr>
        <w:rStyle w:val="PageNumber"/>
      </w:rPr>
    </w:pPr>
    <w:r>
      <w:tab/>
    </w:r>
    <w:r>
      <w:rPr>
        <w:lang w:val="bg-BG"/>
      </w:rPr>
      <w:t xml:space="preserve">РЕШЕНИЕ ЖДАНОКА </w:t>
    </w:r>
    <w:r>
      <w:rPr>
        <w:lang w:val="en-US"/>
      </w:rPr>
      <w:t>(</w:t>
    </w:r>
    <w:r>
      <w:t xml:space="preserve">ŽDANOKA) </w:t>
    </w:r>
    <w:r>
      <w:rPr>
        <w:lang w:val="bg-BG"/>
      </w:rPr>
      <w:t xml:space="preserve">СРЕЩУ ЛАТВИЯ </w:t>
    </w:r>
    <w:r>
      <w:t xml:space="preserve"> </w:t>
    </w:r>
    <w:r>
      <w:tab/>
    </w:r>
    <w:r>
      <w:rPr>
        <w:rStyle w:val="PageNumber"/>
      </w:rPr>
      <w:fldChar w:fldCharType="begin"/>
    </w:r>
    <w:r>
      <w:rPr>
        <w:rStyle w:val="PageNumber"/>
      </w:rPr>
      <w:instrText xml:space="preserve"> PAGE </w:instrText>
    </w:r>
    <w:r>
      <w:rPr>
        <w:rStyle w:val="PageNumber"/>
      </w:rPr>
      <w:fldChar w:fldCharType="separate"/>
    </w:r>
    <w:r w:rsidR="00256D52">
      <w:rPr>
        <w:rStyle w:val="PageNumber"/>
        <w:noProof/>
      </w:rPr>
      <w:t>49</w:t>
    </w:r>
    <w:r>
      <w:rPr>
        <w:rStyle w:val="PageNumber"/>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rsidP="00955550">
    <w:pPr>
      <w:pStyle w:val="JuHeader"/>
      <w:rPr>
        <w:rStyle w:val="PageNumber"/>
      </w:rPr>
    </w:pPr>
    <w:r>
      <w:rPr>
        <w:rStyle w:val="PageNumber"/>
      </w:rPr>
      <w:fldChar w:fldCharType="begin"/>
    </w:r>
    <w:r>
      <w:rPr>
        <w:rStyle w:val="PageNumber"/>
      </w:rPr>
      <w:instrText xml:space="preserve"> PAGE </w:instrText>
    </w:r>
    <w:r>
      <w:rPr>
        <w:rStyle w:val="PageNumber"/>
      </w:rPr>
      <w:fldChar w:fldCharType="separate"/>
    </w:r>
    <w:r w:rsidR="00256D52">
      <w:rPr>
        <w:rStyle w:val="PageNumber"/>
        <w:noProof/>
      </w:rPr>
      <w:t>52</w:t>
    </w:r>
    <w:r>
      <w:rPr>
        <w:rStyle w:val="PageNumber"/>
      </w:rPr>
      <w:fldChar w:fldCharType="end"/>
    </w:r>
    <w:r>
      <w:tab/>
    </w:r>
    <w:r>
      <w:rPr>
        <w:lang w:val="bg-BG"/>
      </w:rPr>
      <w:t xml:space="preserve">РЕШЕНИЕ ЖДАНОКА </w:t>
    </w:r>
    <w:r>
      <w:rPr>
        <w:lang w:val="en-US"/>
      </w:rPr>
      <w:t>(</w:t>
    </w:r>
    <w:r>
      <w:t xml:space="preserve">ŽDANOKA) </w:t>
    </w:r>
    <w:r>
      <w:rPr>
        <w:lang w:val="bg-BG"/>
      </w:rPr>
      <w:t>СРЕЩУ ЛАТВИЯ -</w:t>
    </w:r>
    <w:r>
      <w:tab/>
    </w:r>
  </w:p>
  <w:p w:rsidR="005809BF" w:rsidRPr="00417299" w:rsidRDefault="005809BF" w:rsidP="000C7D4D">
    <w:pPr>
      <w:pStyle w:val="JuHeader"/>
      <w:jc w:val="center"/>
      <w:rPr>
        <w:lang w:val="bg-BG"/>
      </w:rPr>
    </w:pPr>
    <w:r>
      <w:rPr>
        <w:noProof/>
        <w:lang w:val="bg-BG"/>
      </w:rPr>
      <w:t>ОСОБЕНО МНЕНИЕ НА СЪДИЯ РОЗАКИС</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JuHeader"/>
      <w:rPr>
        <w:rStyle w:val="PageNumber"/>
      </w:rPr>
    </w:pPr>
    <w:r>
      <w:tab/>
    </w:r>
    <w:r>
      <w:rPr>
        <w:lang w:val="bg-BG"/>
      </w:rPr>
      <w:t xml:space="preserve">РЕШЕНИЕ ЖДАНОКА </w:t>
    </w:r>
    <w:r>
      <w:rPr>
        <w:lang w:val="en-US"/>
      </w:rPr>
      <w:t>(</w:t>
    </w:r>
    <w:r>
      <w:t xml:space="preserve">ŽDANOKA) </w:t>
    </w:r>
    <w:r>
      <w:rPr>
        <w:lang w:val="bg-BG"/>
      </w:rPr>
      <w:t>СРЕЩУ ЛАТВИЯ -</w:t>
    </w:r>
    <w:r>
      <w:tab/>
    </w:r>
    <w:r>
      <w:rPr>
        <w:rStyle w:val="PageNumber"/>
      </w:rPr>
      <w:fldChar w:fldCharType="begin"/>
    </w:r>
    <w:r>
      <w:rPr>
        <w:rStyle w:val="PageNumber"/>
      </w:rPr>
      <w:instrText xml:space="preserve"> PAGE </w:instrText>
    </w:r>
    <w:r>
      <w:rPr>
        <w:rStyle w:val="PageNumber"/>
      </w:rPr>
      <w:fldChar w:fldCharType="separate"/>
    </w:r>
    <w:r w:rsidR="00256D52">
      <w:rPr>
        <w:rStyle w:val="PageNumber"/>
        <w:noProof/>
      </w:rPr>
      <w:t>53</w:t>
    </w:r>
    <w:r>
      <w:rPr>
        <w:rStyle w:val="PageNumber"/>
      </w:rPr>
      <w:fldChar w:fldCharType="end"/>
    </w:r>
  </w:p>
  <w:p w:rsidR="005809BF" w:rsidRPr="00417299" w:rsidRDefault="005809BF" w:rsidP="000054E5">
    <w:pPr>
      <w:pStyle w:val="JuHeader"/>
      <w:jc w:val="center"/>
      <w:rPr>
        <w:rStyle w:val="PageNumber"/>
        <w:lang w:val="bg-BG"/>
      </w:rPr>
    </w:pPr>
    <w:r>
      <w:rPr>
        <w:noProof/>
        <w:lang w:val="bg-BG"/>
      </w:rPr>
      <w:t>ОСОБЕНО МНЕНИЕ НА СЪДИЯ РОЗАКИС</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rsidP="000C7D4D">
    <w:pPr>
      <w:pStyle w:val="JuHeader"/>
      <w:jc w:val="center"/>
    </w:pPr>
    <w:r>
      <w:rPr>
        <w:rStyle w:val="PageNumber"/>
      </w:rPr>
      <w:fldChar w:fldCharType="begin"/>
    </w:r>
    <w:r>
      <w:rPr>
        <w:rStyle w:val="PageNumber"/>
      </w:rPr>
      <w:instrText xml:space="preserve"> PAGE </w:instrText>
    </w:r>
    <w:r>
      <w:rPr>
        <w:rStyle w:val="PageNumber"/>
      </w:rPr>
      <w:fldChar w:fldCharType="separate"/>
    </w:r>
    <w:r w:rsidR="00256D52">
      <w:rPr>
        <w:rStyle w:val="PageNumber"/>
        <w:noProof/>
      </w:rPr>
      <w:t>60</w:t>
    </w:r>
    <w:r>
      <w:rPr>
        <w:rStyle w:val="PageNumber"/>
      </w:rPr>
      <w:fldChar w:fldCharType="end"/>
    </w:r>
    <w:r>
      <w:tab/>
    </w:r>
    <w:r>
      <w:rPr>
        <w:lang w:val="bg-BG"/>
      </w:rPr>
      <w:t xml:space="preserve">РЕШЕНИЕ ЖДАНОКА </w:t>
    </w:r>
    <w:r>
      <w:rPr>
        <w:lang w:val="en-US"/>
      </w:rPr>
      <w:t>(</w:t>
    </w:r>
    <w:r>
      <w:t xml:space="preserve">ŽDANOKA) </w:t>
    </w:r>
    <w:r>
      <w:rPr>
        <w:lang w:val="bg-BG"/>
      </w:rPr>
      <w:t>СРЕЩУ ЛАТВИЯ -</w:t>
    </w:r>
    <w:r>
      <w:tab/>
    </w:r>
  </w:p>
  <w:p w:rsidR="005809BF" w:rsidRPr="00417299" w:rsidRDefault="005809BF" w:rsidP="000C7D4D">
    <w:pPr>
      <w:pStyle w:val="JuHeader"/>
      <w:jc w:val="center"/>
      <w:rPr>
        <w:rStyle w:val="PageNumber"/>
        <w:noProof/>
        <w:lang w:val="bg-BG"/>
      </w:rPr>
    </w:pPr>
    <w:r>
      <w:rPr>
        <w:noProof/>
        <w:lang w:val="bg-BG"/>
      </w:rPr>
      <w:t>ОСОБЕНО МНЕНИЕ НА СЪДИЯ ЗУПАНЧИЧ</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rsidP="008630D6">
    <w:pPr>
      <w:pStyle w:val="JuHeader"/>
    </w:pPr>
    <w:r>
      <w:tab/>
    </w:r>
    <w:r>
      <w:rPr>
        <w:lang w:val="bg-BG"/>
      </w:rPr>
      <w:t xml:space="preserve">РЕШЕНИЕ ЖДАНОКА </w:t>
    </w:r>
    <w:r>
      <w:rPr>
        <w:lang w:val="en-US"/>
      </w:rPr>
      <w:t>(</w:t>
    </w:r>
    <w:r>
      <w:t xml:space="preserve">ŽDANOKA) </w:t>
    </w:r>
    <w:r>
      <w:rPr>
        <w:lang w:val="bg-BG"/>
      </w:rPr>
      <w:t>СРЕЩУ ЛАТВИЯ -</w:t>
    </w:r>
    <w:r>
      <w:t xml:space="preserve"> </w:t>
    </w:r>
  </w:p>
  <w:p w:rsidR="005809BF" w:rsidRPr="00417299" w:rsidRDefault="005809BF" w:rsidP="008630D6">
    <w:pPr>
      <w:pStyle w:val="JuHeader"/>
      <w:jc w:val="center"/>
      <w:rPr>
        <w:rStyle w:val="PageNumber"/>
        <w:noProof/>
        <w:lang w:val="bg-BG"/>
      </w:rPr>
    </w:pPr>
    <w:r>
      <w:rPr>
        <w:lang w:val="bg-BG"/>
      </w:rPr>
      <w:t>ОСОБЕНО МНЕНИЕ НА СЪДИЯ ЗУПАНЧИЧ</w:t>
    </w:r>
  </w:p>
  <w:p w:rsidR="005809BF" w:rsidRDefault="005809BF" w:rsidP="008630D6">
    <w:pPr>
      <w:pStyle w:val="JuHeader"/>
      <w:rPr>
        <w:rStyle w:val="PageNumber"/>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Pr="001157AB" w:rsidRDefault="005809BF">
    <w:pPr>
      <w:pStyle w:val="Header"/>
      <w:rPr>
        <w:lang w:val="bg-BG"/>
      </w:rPr>
    </w:pPr>
    <w:r>
      <w:tab/>
    </w:r>
    <w:r>
      <w:rPr>
        <w:lang w:val="bg-BG"/>
      </w:rPr>
      <w:t xml:space="preserve">РЕШЕНИЕ ЖДАНОКА </w:t>
    </w:r>
    <w:r>
      <w:rPr>
        <w:lang w:val="en-US"/>
      </w:rPr>
      <w:t>(</w:t>
    </w:r>
    <w:r>
      <w:t xml:space="preserve">ŽDANOKA) </w:t>
    </w:r>
    <w:r>
      <w:rPr>
        <w:lang w:val="bg-BG"/>
      </w:rPr>
      <w:t>СРЕЩУ ЛАТВИЯ</w:t>
    </w:r>
    <w:r>
      <w:tab/>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Pr="00E01CB0" w:rsidRDefault="005809BF" w:rsidP="00A43F5A">
    <w:pPr>
      <w:pStyle w:val="JuHeader"/>
      <w:rPr>
        <w:lang w:val="bg-BG"/>
      </w:rPr>
    </w:pPr>
    <w:r>
      <w:fldChar w:fldCharType="begin"/>
    </w:r>
    <w:r>
      <w:instrText xml:space="preserve"> PAGE </w:instrText>
    </w:r>
    <w:r>
      <w:fldChar w:fldCharType="separate"/>
    </w:r>
    <w:r w:rsidR="00256D52">
      <w:rPr>
        <w:noProof/>
      </w:rPr>
      <w:t>62</w:t>
    </w:r>
    <w:r>
      <w:rPr>
        <w:noProof/>
      </w:rPr>
      <w:fldChar w:fldCharType="end"/>
    </w:r>
    <w:r>
      <w:tab/>
    </w:r>
    <w:r>
      <w:rPr>
        <w:lang w:val="bg-BG"/>
      </w:rPr>
      <w:t xml:space="preserve">РЕШЕНИЕ ЖДАНОКА </w:t>
    </w:r>
    <w:r>
      <w:rPr>
        <w:lang w:val="en-US"/>
      </w:rPr>
      <w:t>(</w:t>
    </w:r>
    <w:r>
      <w:t xml:space="preserve">ŽDANOKA) </w:t>
    </w:r>
    <w:r>
      <w:rPr>
        <w:lang w:val="bg-BG"/>
      </w:rPr>
      <w:t>СРЕЩУ ЛАТВИЯ - СЪВМЕСТНО</w:t>
    </w:r>
  </w:p>
  <w:p w:rsidR="005809BF" w:rsidRPr="00E01CB0" w:rsidRDefault="005809BF" w:rsidP="008630D6">
    <w:pPr>
      <w:pStyle w:val="JuHeader"/>
      <w:jc w:val="center"/>
      <w:rPr>
        <w:lang w:val="bg-BG"/>
      </w:rPr>
    </w:pPr>
    <w:r>
      <w:rPr>
        <w:lang w:val="bg-BG"/>
      </w:rPr>
      <w:t>ОСОБЕНО МНЕНИЕ НА СЪДИИ МИЙОВИЧ И ГЮЛУМЯН</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rsidP="00B80DC0">
    <w:pPr>
      <w:pStyle w:val="JuHeader"/>
      <w:rPr>
        <w:rStyle w:val="PageNumber"/>
      </w:rPr>
    </w:pPr>
    <w:r>
      <w:tab/>
    </w:r>
    <w:r>
      <w:rPr>
        <w:lang w:val="bg-BG"/>
      </w:rPr>
      <w:t xml:space="preserve">РЕШЕНИЕ ЖДАНОКА </w:t>
    </w:r>
    <w:r>
      <w:rPr>
        <w:lang w:val="en-US"/>
      </w:rPr>
      <w:t>(</w:t>
    </w:r>
    <w:r>
      <w:t xml:space="preserve">ŽDANOKA) </w:t>
    </w:r>
    <w:r>
      <w:rPr>
        <w:lang w:val="bg-BG"/>
      </w:rPr>
      <w:t>СРЕЩУ ЛАТВИЯ</w:t>
    </w:r>
    <w:r>
      <w:t xml:space="preserve"> </w:t>
    </w:r>
    <w:r>
      <w:tab/>
    </w:r>
    <w:r>
      <w:rPr>
        <w:rStyle w:val="PageNumber"/>
      </w:rPr>
      <w:fldChar w:fldCharType="begin"/>
    </w:r>
    <w:r>
      <w:rPr>
        <w:rStyle w:val="PageNumber"/>
      </w:rPr>
      <w:instrText xml:space="preserve"> PAGE </w:instrText>
    </w:r>
    <w:r>
      <w:rPr>
        <w:rStyle w:val="PageNumber"/>
      </w:rPr>
      <w:fldChar w:fldCharType="separate"/>
    </w:r>
    <w:r w:rsidR="00256D52">
      <w:rPr>
        <w:rStyle w:val="PageNumber"/>
        <w:noProof/>
      </w:rPr>
      <w:t>63</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Header"/>
      <w:jc w:val="center"/>
    </w:pPr>
    <w:r>
      <w:rPr>
        <w:noProof/>
        <w:lang w:val="en-US" w:eastAsia="en-US"/>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5809BF" w:rsidRPr="0011749D" w:rsidRDefault="005809BF" w:rsidP="0011749D">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52" w:rsidRDefault="00256D5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rsidP="007A6E8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56D52">
      <w:rPr>
        <w:rStyle w:val="PageNumber"/>
        <w:noProof/>
      </w:rPr>
      <w:t>18</w:t>
    </w:r>
    <w:r>
      <w:rPr>
        <w:rStyle w:val="PageNumber"/>
      </w:rPr>
      <w:fldChar w:fldCharType="end"/>
    </w:r>
  </w:p>
  <w:p w:rsidR="005809BF" w:rsidRPr="00511C2E" w:rsidRDefault="005809BF" w:rsidP="007A6E82">
    <w:pPr>
      <w:pStyle w:val="JuHeader"/>
      <w:ind w:right="360" w:firstLine="360"/>
      <w:rPr>
        <w:lang w:val="bg-BG"/>
      </w:rPr>
    </w:pPr>
    <w:r>
      <w:tab/>
    </w:r>
    <w:r>
      <w:rPr>
        <w:lang w:val="bg-BG"/>
      </w:rPr>
      <w:t xml:space="preserve">РЕШЕНИЕ </w:t>
    </w:r>
    <w:r>
      <w:t xml:space="preserve">ŽDANOKA </w:t>
    </w:r>
    <w:r>
      <w:rPr>
        <w:lang w:val="bg-BG"/>
      </w:rPr>
      <w:t>СРЕЩУ ЛАТВИЯ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JuHeader"/>
      <w:rPr>
        <w:rStyle w:val="PageNumber"/>
      </w:rPr>
    </w:pPr>
    <w:r>
      <w:tab/>
    </w:r>
    <w:r>
      <w:rPr>
        <w:lang w:val="bg-BG"/>
      </w:rPr>
      <w:t xml:space="preserve">РЕШЕНИЕ </w:t>
    </w:r>
    <w:r>
      <w:t xml:space="preserve">ŽDANOKA </w:t>
    </w:r>
    <w:r>
      <w:rPr>
        <w:lang w:val="bg-BG"/>
      </w:rPr>
      <w:t>срещу ЛАТВИЯ</w:t>
    </w:r>
    <w:r>
      <w:tab/>
    </w:r>
    <w:r>
      <w:rPr>
        <w:rStyle w:val="PageNumber"/>
      </w:rPr>
      <w:fldChar w:fldCharType="begin"/>
    </w:r>
    <w:r>
      <w:rPr>
        <w:rStyle w:val="PageNumber"/>
      </w:rPr>
      <w:instrText xml:space="preserve"> PAGE </w:instrText>
    </w:r>
    <w:r>
      <w:rPr>
        <w:rStyle w:val="PageNumber"/>
      </w:rPr>
      <w:fldChar w:fldCharType="separate"/>
    </w:r>
    <w:r w:rsidR="00256D52">
      <w:rPr>
        <w:rStyle w:val="PageNumber"/>
        <w:noProof/>
      </w:rPr>
      <w:t>19</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rsidP="000054E5">
    <w:pPr>
      <w:pStyle w:val="JuHeader"/>
      <w:ind w:right="360"/>
    </w:pPr>
    <w:r>
      <w:rPr>
        <w:rStyle w:val="PageNumber"/>
      </w:rPr>
      <w:fldChar w:fldCharType="begin"/>
    </w:r>
    <w:r>
      <w:rPr>
        <w:rStyle w:val="PageNumber"/>
      </w:rPr>
      <w:instrText xml:space="preserve"> PAGE </w:instrText>
    </w:r>
    <w:r>
      <w:rPr>
        <w:rStyle w:val="PageNumber"/>
      </w:rPr>
      <w:fldChar w:fldCharType="separate"/>
    </w:r>
    <w:r w:rsidR="00256D52">
      <w:rPr>
        <w:rStyle w:val="PageNumber"/>
        <w:noProof/>
      </w:rPr>
      <w:t>46</w:t>
    </w:r>
    <w:r>
      <w:rPr>
        <w:rStyle w:val="PageNumber"/>
      </w:rPr>
      <w:fldChar w:fldCharType="end"/>
    </w:r>
    <w:r>
      <w:tab/>
    </w:r>
    <w:r>
      <w:rPr>
        <w:lang w:val="bg-BG"/>
      </w:rPr>
      <w:t xml:space="preserve">РЕШЕНИЕ ЖДАНОКА </w:t>
    </w:r>
    <w:r>
      <w:rPr>
        <w:lang w:val="en-US"/>
      </w:rPr>
      <w:t>(</w:t>
    </w:r>
    <w:r>
      <w:t xml:space="preserve">ŽDANOKA) </w:t>
    </w:r>
    <w:r>
      <w:rPr>
        <w:lang w:val="bg-BG"/>
      </w:rPr>
      <w:t>СРЕЩУ ЛАТВИЯ</w:t>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pPr>
      <w:pStyle w:val="JuHeader"/>
      <w:rPr>
        <w:rStyle w:val="PageNumber"/>
      </w:rPr>
    </w:pPr>
    <w:r>
      <w:tab/>
      <w:t xml:space="preserve">ŽDANOKA v. LATVIA JUDGMENT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Pr="00417299" w:rsidRDefault="005809BF" w:rsidP="00417299">
    <w:pPr>
      <w:pStyle w:val="JuHeader"/>
      <w:ind w:right="360"/>
      <w:jc w:val="center"/>
      <w:rPr>
        <w:lang w:val="bg-BG"/>
      </w:rPr>
    </w:pPr>
    <w:r>
      <w:fldChar w:fldCharType="begin"/>
    </w:r>
    <w:r>
      <w:instrText xml:space="preserve"> PAGE </w:instrText>
    </w:r>
    <w:r>
      <w:fldChar w:fldCharType="separate"/>
    </w:r>
    <w:r w:rsidR="00256D52">
      <w:rPr>
        <w:noProof/>
      </w:rPr>
      <w:t>50</w:t>
    </w:r>
    <w:r>
      <w:rPr>
        <w:noProof/>
      </w:rPr>
      <w:fldChar w:fldCharType="end"/>
    </w:r>
    <w:r>
      <w:tab/>
    </w:r>
    <w:r>
      <w:rPr>
        <w:lang w:val="bg-BG"/>
      </w:rPr>
      <w:t xml:space="preserve">РЕШЕНИЕ ЖДАНОКА </w:t>
    </w:r>
    <w:r>
      <w:rPr>
        <w:lang w:val="en-US"/>
      </w:rPr>
      <w:t>(</w:t>
    </w:r>
    <w:r>
      <w:t xml:space="preserve">ŽDANOKA) </w:t>
    </w:r>
    <w:r>
      <w:rPr>
        <w:lang w:val="bg-BG"/>
      </w:rPr>
      <w:t>СРЕЩУ ЛАТВИЯ</w:t>
    </w:r>
  </w:p>
  <w:p w:rsidR="005809BF" w:rsidRDefault="005809BF" w:rsidP="000054E5">
    <w:pPr>
      <w:pStyle w:val="JuHeader"/>
      <w:ind w:right="360"/>
      <w:jc w:val="cen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BF" w:rsidRDefault="005809BF" w:rsidP="00417299">
    <w:pPr>
      <w:pStyle w:val="JuHeader"/>
      <w:jc w:val="center"/>
      <w:rPr>
        <w:rStyle w:val="PageNumber"/>
      </w:rPr>
    </w:pPr>
    <w:r>
      <w:rPr>
        <w:lang w:val="bg-BG"/>
      </w:rPr>
      <w:t xml:space="preserve">      </w:t>
    </w:r>
    <w:r>
      <w:tab/>
    </w:r>
    <w:r>
      <w:rPr>
        <w:lang w:val="bg-BG"/>
      </w:rPr>
      <w:t xml:space="preserve">                                                                                             </w:t>
    </w:r>
    <w:r>
      <w:rPr>
        <w:rStyle w:val="PageNumber"/>
      </w:rPr>
      <w:fldChar w:fldCharType="begin"/>
    </w:r>
    <w:r>
      <w:rPr>
        <w:rStyle w:val="PageNumber"/>
      </w:rPr>
      <w:instrText xml:space="preserve"> PAGE </w:instrText>
    </w:r>
    <w:r>
      <w:rPr>
        <w:rStyle w:val="PageNumber"/>
      </w:rPr>
      <w:fldChar w:fldCharType="separate"/>
    </w:r>
    <w:r w:rsidR="00256D52">
      <w:rPr>
        <w:rStyle w:val="PageNumber"/>
        <w:noProof/>
      </w:rPr>
      <w:t>47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38D5591"/>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6773A63"/>
    <w:multiLevelType w:val="hybridMultilevel"/>
    <w:tmpl w:val="5608FA1C"/>
    <w:lvl w:ilvl="0" w:tplc="5E3446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6"/>
  </w:num>
  <w:num w:numId="3">
    <w:abstractNumId w:val="12"/>
  </w:num>
  <w:num w:numId="4">
    <w:abstractNumId w:val="24"/>
  </w:num>
  <w:num w:numId="5">
    <w:abstractNumId w:val="32"/>
  </w:num>
  <w:num w:numId="6">
    <w:abstractNumId w:val="5"/>
  </w:num>
  <w:num w:numId="7">
    <w:abstractNumId w:val="29"/>
  </w:num>
  <w:num w:numId="8">
    <w:abstractNumId w:val="4"/>
  </w:num>
  <w:num w:numId="9">
    <w:abstractNumId w:val="2"/>
  </w:num>
  <w:num w:numId="10">
    <w:abstractNumId w:val="1"/>
  </w:num>
  <w:num w:numId="11">
    <w:abstractNumId w:val="0"/>
  </w:num>
  <w:num w:numId="12">
    <w:abstractNumId w:val="3"/>
  </w:num>
  <w:num w:numId="13">
    <w:abstractNumId w:val="10"/>
  </w:num>
  <w:num w:numId="14">
    <w:abstractNumId w:val="22"/>
  </w:num>
  <w:num w:numId="15">
    <w:abstractNumId w:val="27"/>
  </w:num>
  <w:num w:numId="16">
    <w:abstractNumId w:val="13"/>
  </w:num>
  <w:num w:numId="17">
    <w:abstractNumId w:val="23"/>
  </w:num>
  <w:num w:numId="18">
    <w:abstractNumId w:val="30"/>
  </w:num>
  <w:num w:numId="19">
    <w:abstractNumId w:val="28"/>
  </w:num>
  <w:num w:numId="20">
    <w:abstractNumId w:val="11"/>
  </w:num>
  <w:num w:numId="21">
    <w:abstractNumId w:val="25"/>
  </w:num>
  <w:num w:numId="22">
    <w:abstractNumId w:val="18"/>
  </w:num>
  <w:num w:numId="23">
    <w:abstractNumId w:val="20"/>
  </w:num>
  <w:num w:numId="24">
    <w:abstractNumId w:val="6"/>
  </w:num>
  <w:num w:numId="25">
    <w:abstractNumId w:val="8"/>
  </w:num>
  <w:num w:numId="26">
    <w:abstractNumId w:val="31"/>
  </w:num>
  <w:num w:numId="27">
    <w:abstractNumId w:val="17"/>
  </w:num>
  <w:num w:numId="28">
    <w:abstractNumId w:val="21"/>
  </w:num>
  <w:num w:numId="29">
    <w:abstractNumId w:val="19"/>
  </w:num>
  <w:num w:numId="30">
    <w:abstractNumId w:val="16"/>
  </w:num>
  <w:num w:numId="31">
    <w:abstractNumId w:val="7"/>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0C09"/>
    <w:rsid w:val="000012DA"/>
    <w:rsid w:val="00002A65"/>
    <w:rsid w:val="00004C4F"/>
    <w:rsid w:val="00004E11"/>
    <w:rsid w:val="00004FFA"/>
    <w:rsid w:val="000054E5"/>
    <w:rsid w:val="000061F7"/>
    <w:rsid w:val="000074F0"/>
    <w:rsid w:val="000102A5"/>
    <w:rsid w:val="00010D0F"/>
    <w:rsid w:val="00012C12"/>
    <w:rsid w:val="00013D7D"/>
    <w:rsid w:val="00014EDE"/>
    <w:rsid w:val="00015F98"/>
    <w:rsid w:val="000220A4"/>
    <w:rsid w:val="00024194"/>
    <w:rsid w:val="00031A04"/>
    <w:rsid w:val="00033F0B"/>
    <w:rsid w:val="000411A0"/>
    <w:rsid w:val="00044098"/>
    <w:rsid w:val="00044EA9"/>
    <w:rsid w:val="0004572F"/>
    <w:rsid w:val="0004677D"/>
    <w:rsid w:val="00046EE6"/>
    <w:rsid w:val="000472FC"/>
    <w:rsid w:val="0005263F"/>
    <w:rsid w:val="0005348F"/>
    <w:rsid w:val="000546F1"/>
    <w:rsid w:val="00056651"/>
    <w:rsid w:val="0006203B"/>
    <w:rsid w:val="00062C0B"/>
    <w:rsid w:val="00062C70"/>
    <w:rsid w:val="00062F78"/>
    <w:rsid w:val="000640EC"/>
    <w:rsid w:val="00064BC8"/>
    <w:rsid w:val="00064D7C"/>
    <w:rsid w:val="00067683"/>
    <w:rsid w:val="00072B0F"/>
    <w:rsid w:val="00080049"/>
    <w:rsid w:val="00080D36"/>
    <w:rsid w:val="00082E5D"/>
    <w:rsid w:val="00083198"/>
    <w:rsid w:val="00085109"/>
    <w:rsid w:val="00086981"/>
    <w:rsid w:val="00091094"/>
    <w:rsid w:val="0009191E"/>
    <w:rsid w:val="0009396C"/>
    <w:rsid w:val="00095712"/>
    <w:rsid w:val="0009665C"/>
    <w:rsid w:val="000970E4"/>
    <w:rsid w:val="000A079D"/>
    <w:rsid w:val="000A1060"/>
    <w:rsid w:val="000A44B8"/>
    <w:rsid w:val="000B0133"/>
    <w:rsid w:val="000B061A"/>
    <w:rsid w:val="000B12B5"/>
    <w:rsid w:val="000B56F9"/>
    <w:rsid w:val="000B67DD"/>
    <w:rsid w:val="000B71B0"/>
    <w:rsid w:val="000C4A4D"/>
    <w:rsid w:val="000C697F"/>
    <w:rsid w:val="000C7D4D"/>
    <w:rsid w:val="000D08D3"/>
    <w:rsid w:val="000D1330"/>
    <w:rsid w:val="000D2ED6"/>
    <w:rsid w:val="000D525F"/>
    <w:rsid w:val="000D64DF"/>
    <w:rsid w:val="000D7843"/>
    <w:rsid w:val="000E0CBF"/>
    <w:rsid w:val="000E12E3"/>
    <w:rsid w:val="000E293E"/>
    <w:rsid w:val="000E31A5"/>
    <w:rsid w:val="000E3ABD"/>
    <w:rsid w:val="000E3DA5"/>
    <w:rsid w:val="000F023B"/>
    <w:rsid w:val="000F0393"/>
    <w:rsid w:val="000F1E08"/>
    <w:rsid w:val="000F236A"/>
    <w:rsid w:val="000F3382"/>
    <w:rsid w:val="000F3566"/>
    <w:rsid w:val="000F37E6"/>
    <w:rsid w:val="000F3C2D"/>
    <w:rsid w:val="000F4F9E"/>
    <w:rsid w:val="000F52B0"/>
    <w:rsid w:val="000F5861"/>
    <w:rsid w:val="000F6056"/>
    <w:rsid w:val="000F6193"/>
    <w:rsid w:val="00100A12"/>
    <w:rsid w:val="001015CE"/>
    <w:rsid w:val="00105054"/>
    <w:rsid w:val="001056E9"/>
    <w:rsid w:val="00107A1A"/>
    <w:rsid w:val="00107D8D"/>
    <w:rsid w:val="00111EE4"/>
    <w:rsid w:val="001157AB"/>
    <w:rsid w:val="00116998"/>
    <w:rsid w:val="0011749D"/>
    <w:rsid w:val="00117C66"/>
    <w:rsid w:val="00124DE8"/>
    <w:rsid w:val="00126EB2"/>
    <w:rsid w:val="001347F5"/>
    <w:rsid w:val="00136071"/>
    <w:rsid w:val="00137695"/>
    <w:rsid w:val="001417BC"/>
    <w:rsid w:val="00146A97"/>
    <w:rsid w:val="00147536"/>
    <w:rsid w:val="001549C3"/>
    <w:rsid w:val="00157067"/>
    <w:rsid w:val="001571E6"/>
    <w:rsid w:val="0015785A"/>
    <w:rsid w:val="00157C7F"/>
    <w:rsid w:val="00160775"/>
    <w:rsid w:val="00162733"/>
    <w:rsid w:val="0016330D"/>
    <w:rsid w:val="001637F0"/>
    <w:rsid w:val="0016479F"/>
    <w:rsid w:val="00165931"/>
    <w:rsid w:val="00167AE8"/>
    <w:rsid w:val="0017046A"/>
    <w:rsid w:val="0017058E"/>
    <w:rsid w:val="00170709"/>
    <w:rsid w:val="00173605"/>
    <w:rsid w:val="00173CD3"/>
    <w:rsid w:val="0017579F"/>
    <w:rsid w:val="00175C05"/>
    <w:rsid w:val="00177AED"/>
    <w:rsid w:val="001811C2"/>
    <w:rsid w:val="00183053"/>
    <w:rsid w:val="00184ED0"/>
    <w:rsid w:val="00187CF2"/>
    <w:rsid w:val="00192325"/>
    <w:rsid w:val="001931CA"/>
    <w:rsid w:val="00195001"/>
    <w:rsid w:val="00195D68"/>
    <w:rsid w:val="001A2CC7"/>
    <w:rsid w:val="001A6C39"/>
    <w:rsid w:val="001B1AC5"/>
    <w:rsid w:val="001B2394"/>
    <w:rsid w:val="001B61B0"/>
    <w:rsid w:val="001B7696"/>
    <w:rsid w:val="001C0E69"/>
    <w:rsid w:val="001C0ED1"/>
    <w:rsid w:val="001C2BB9"/>
    <w:rsid w:val="001C3EA8"/>
    <w:rsid w:val="001C4997"/>
    <w:rsid w:val="001C58C4"/>
    <w:rsid w:val="001C5EC5"/>
    <w:rsid w:val="001D0091"/>
    <w:rsid w:val="001D1F95"/>
    <w:rsid w:val="001D2188"/>
    <w:rsid w:val="001D5704"/>
    <w:rsid w:val="001E1912"/>
    <w:rsid w:val="001E20A1"/>
    <w:rsid w:val="001E23B4"/>
    <w:rsid w:val="001E44AA"/>
    <w:rsid w:val="001E64DA"/>
    <w:rsid w:val="001E67B5"/>
    <w:rsid w:val="001F400C"/>
    <w:rsid w:val="00201A6E"/>
    <w:rsid w:val="00203206"/>
    <w:rsid w:val="0020688D"/>
    <w:rsid w:val="00210507"/>
    <w:rsid w:val="002111ED"/>
    <w:rsid w:val="00212AB4"/>
    <w:rsid w:val="00216E7A"/>
    <w:rsid w:val="002259EA"/>
    <w:rsid w:val="002261A8"/>
    <w:rsid w:val="00232BBD"/>
    <w:rsid w:val="002340B2"/>
    <w:rsid w:val="00235373"/>
    <w:rsid w:val="00236C89"/>
    <w:rsid w:val="00240287"/>
    <w:rsid w:val="002422BF"/>
    <w:rsid w:val="00243043"/>
    <w:rsid w:val="00243C78"/>
    <w:rsid w:val="0024516E"/>
    <w:rsid w:val="00245C70"/>
    <w:rsid w:val="00245FD8"/>
    <w:rsid w:val="00247560"/>
    <w:rsid w:val="00247D07"/>
    <w:rsid w:val="00251D9E"/>
    <w:rsid w:val="00252FC7"/>
    <w:rsid w:val="00253A9A"/>
    <w:rsid w:val="00254295"/>
    <w:rsid w:val="00256D52"/>
    <w:rsid w:val="00257488"/>
    <w:rsid w:val="00257CE4"/>
    <w:rsid w:val="00262C3C"/>
    <w:rsid w:val="00265540"/>
    <w:rsid w:val="0026776A"/>
    <w:rsid w:val="00267C0D"/>
    <w:rsid w:val="00270727"/>
    <w:rsid w:val="0027575C"/>
    <w:rsid w:val="00280934"/>
    <w:rsid w:val="00280C31"/>
    <w:rsid w:val="00280DDC"/>
    <w:rsid w:val="00283122"/>
    <w:rsid w:val="00283F8B"/>
    <w:rsid w:val="00285815"/>
    <w:rsid w:val="002858AC"/>
    <w:rsid w:val="00285A48"/>
    <w:rsid w:val="00285A88"/>
    <w:rsid w:val="0029103B"/>
    <w:rsid w:val="002914DC"/>
    <w:rsid w:val="002922D9"/>
    <w:rsid w:val="00292555"/>
    <w:rsid w:val="002929D1"/>
    <w:rsid w:val="00292AFA"/>
    <w:rsid w:val="00294531"/>
    <w:rsid w:val="0029722C"/>
    <w:rsid w:val="002975AA"/>
    <w:rsid w:val="002A0BE4"/>
    <w:rsid w:val="002A147D"/>
    <w:rsid w:val="002A2C54"/>
    <w:rsid w:val="002A32ED"/>
    <w:rsid w:val="002A7671"/>
    <w:rsid w:val="002A783E"/>
    <w:rsid w:val="002B1E17"/>
    <w:rsid w:val="002B1ED6"/>
    <w:rsid w:val="002B262F"/>
    <w:rsid w:val="002B2BE9"/>
    <w:rsid w:val="002B3954"/>
    <w:rsid w:val="002B3C75"/>
    <w:rsid w:val="002C1DE0"/>
    <w:rsid w:val="002C605E"/>
    <w:rsid w:val="002C6C1B"/>
    <w:rsid w:val="002C72DB"/>
    <w:rsid w:val="002C7E7E"/>
    <w:rsid w:val="002C7FA6"/>
    <w:rsid w:val="002D1600"/>
    <w:rsid w:val="002D30DF"/>
    <w:rsid w:val="002D4D42"/>
    <w:rsid w:val="002D5258"/>
    <w:rsid w:val="002D7681"/>
    <w:rsid w:val="002E1880"/>
    <w:rsid w:val="002E1F37"/>
    <w:rsid w:val="002E32C6"/>
    <w:rsid w:val="002E3EF5"/>
    <w:rsid w:val="002F3065"/>
    <w:rsid w:val="002F3D7B"/>
    <w:rsid w:val="002F40A3"/>
    <w:rsid w:val="002F5204"/>
    <w:rsid w:val="002F58ED"/>
    <w:rsid w:val="00301769"/>
    <w:rsid w:val="00306991"/>
    <w:rsid w:val="00306A30"/>
    <w:rsid w:val="00310A22"/>
    <w:rsid w:val="0031535F"/>
    <w:rsid w:val="00317DDA"/>
    <w:rsid w:val="00320125"/>
    <w:rsid w:val="003205B1"/>
    <w:rsid w:val="00323529"/>
    <w:rsid w:val="00323A9D"/>
    <w:rsid w:val="0032554A"/>
    <w:rsid w:val="00326143"/>
    <w:rsid w:val="00327DED"/>
    <w:rsid w:val="00327F52"/>
    <w:rsid w:val="00332B6C"/>
    <w:rsid w:val="00332E5A"/>
    <w:rsid w:val="00335431"/>
    <w:rsid w:val="00337B81"/>
    <w:rsid w:val="00340962"/>
    <w:rsid w:val="0034214C"/>
    <w:rsid w:val="0034634F"/>
    <w:rsid w:val="003477D3"/>
    <w:rsid w:val="00354C6E"/>
    <w:rsid w:val="00355974"/>
    <w:rsid w:val="00355DCC"/>
    <w:rsid w:val="00356EE4"/>
    <w:rsid w:val="003601F6"/>
    <w:rsid w:val="00360C05"/>
    <w:rsid w:val="00360F55"/>
    <w:rsid w:val="00363216"/>
    <w:rsid w:val="003645C0"/>
    <w:rsid w:val="00364879"/>
    <w:rsid w:val="00365BA8"/>
    <w:rsid w:val="00373032"/>
    <w:rsid w:val="00375696"/>
    <w:rsid w:val="0037635C"/>
    <w:rsid w:val="00381B8B"/>
    <w:rsid w:val="00381C7A"/>
    <w:rsid w:val="003823CF"/>
    <w:rsid w:val="00385426"/>
    <w:rsid w:val="00385E4F"/>
    <w:rsid w:val="00390B8E"/>
    <w:rsid w:val="0039117A"/>
    <w:rsid w:val="003919C4"/>
    <w:rsid w:val="00391CCA"/>
    <w:rsid w:val="0039384F"/>
    <w:rsid w:val="00393C2D"/>
    <w:rsid w:val="00394279"/>
    <w:rsid w:val="003968B1"/>
    <w:rsid w:val="003A1793"/>
    <w:rsid w:val="003A1F26"/>
    <w:rsid w:val="003A64BB"/>
    <w:rsid w:val="003A6E77"/>
    <w:rsid w:val="003A7717"/>
    <w:rsid w:val="003B0055"/>
    <w:rsid w:val="003B25A7"/>
    <w:rsid w:val="003B59EC"/>
    <w:rsid w:val="003B604A"/>
    <w:rsid w:val="003B67F3"/>
    <w:rsid w:val="003B78AD"/>
    <w:rsid w:val="003C1614"/>
    <w:rsid w:val="003C31B6"/>
    <w:rsid w:val="003C3229"/>
    <w:rsid w:val="003C3BDF"/>
    <w:rsid w:val="003C4DD3"/>
    <w:rsid w:val="003C5803"/>
    <w:rsid w:val="003C682F"/>
    <w:rsid w:val="003C6AA6"/>
    <w:rsid w:val="003C745D"/>
    <w:rsid w:val="003C78D6"/>
    <w:rsid w:val="003D05FC"/>
    <w:rsid w:val="003D32F6"/>
    <w:rsid w:val="003D49BC"/>
    <w:rsid w:val="003D6FD3"/>
    <w:rsid w:val="003D7234"/>
    <w:rsid w:val="003E226A"/>
    <w:rsid w:val="003E3C3D"/>
    <w:rsid w:val="003E5430"/>
    <w:rsid w:val="003E5B0E"/>
    <w:rsid w:val="003E5B66"/>
    <w:rsid w:val="003E6528"/>
    <w:rsid w:val="003E69EB"/>
    <w:rsid w:val="003F2F48"/>
    <w:rsid w:val="003F4243"/>
    <w:rsid w:val="003F4713"/>
    <w:rsid w:val="003F4B41"/>
    <w:rsid w:val="003F4D92"/>
    <w:rsid w:val="003F5498"/>
    <w:rsid w:val="003F54C5"/>
    <w:rsid w:val="003F5C4C"/>
    <w:rsid w:val="003F603F"/>
    <w:rsid w:val="003F7276"/>
    <w:rsid w:val="003F790D"/>
    <w:rsid w:val="003F7CBC"/>
    <w:rsid w:val="00400123"/>
    <w:rsid w:val="0040042A"/>
    <w:rsid w:val="0040063A"/>
    <w:rsid w:val="00402D86"/>
    <w:rsid w:val="00407EAA"/>
    <w:rsid w:val="004141C4"/>
    <w:rsid w:val="00414E81"/>
    <w:rsid w:val="00415539"/>
    <w:rsid w:val="00417299"/>
    <w:rsid w:val="00417705"/>
    <w:rsid w:val="0042038B"/>
    <w:rsid w:val="00421E28"/>
    <w:rsid w:val="004226D5"/>
    <w:rsid w:val="00427349"/>
    <w:rsid w:val="00430671"/>
    <w:rsid w:val="00430F4B"/>
    <w:rsid w:val="0043296C"/>
    <w:rsid w:val="004346C8"/>
    <w:rsid w:val="004360CF"/>
    <w:rsid w:val="00437685"/>
    <w:rsid w:val="004410F7"/>
    <w:rsid w:val="0044141D"/>
    <w:rsid w:val="00441EEC"/>
    <w:rsid w:val="00443701"/>
    <w:rsid w:val="00445185"/>
    <w:rsid w:val="00446673"/>
    <w:rsid w:val="00447449"/>
    <w:rsid w:val="004518B9"/>
    <w:rsid w:val="00451F28"/>
    <w:rsid w:val="00455C77"/>
    <w:rsid w:val="00455F7E"/>
    <w:rsid w:val="00457392"/>
    <w:rsid w:val="004578BC"/>
    <w:rsid w:val="0046022B"/>
    <w:rsid w:val="004609D9"/>
    <w:rsid w:val="0046138C"/>
    <w:rsid w:val="00462010"/>
    <w:rsid w:val="0046662E"/>
    <w:rsid w:val="00466704"/>
    <w:rsid w:val="004707C3"/>
    <w:rsid w:val="0047157A"/>
    <w:rsid w:val="00471AB6"/>
    <w:rsid w:val="00473DA3"/>
    <w:rsid w:val="00474DD4"/>
    <w:rsid w:val="0047743E"/>
    <w:rsid w:val="00481ECC"/>
    <w:rsid w:val="00482D77"/>
    <w:rsid w:val="00484BEC"/>
    <w:rsid w:val="00484E0F"/>
    <w:rsid w:val="00494222"/>
    <w:rsid w:val="0049436C"/>
    <w:rsid w:val="004A1582"/>
    <w:rsid w:val="004A2653"/>
    <w:rsid w:val="004A6B9D"/>
    <w:rsid w:val="004B2FBA"/>
    <w:rsid w:val="004B3355"/>
    <w:rsid w:val="004B36B6"/>
    <w:rsid w:val="004B4A26"/>
    <w:rsid w:val="004B54D0"/>
    <w:rsid w:val="004C0039"/>
    <w:rsid w:val="004C1807"/>
    <w:rsid w:val="004C3AA4"/>
    <w:rsid w:val="004C5CC0"/>
    <w:rsid w:val="004C6249"/>
    <w:rsid w:val="004D1098"/>
    <w:rsid w:val="004D139B"/>
    <w:rsid w:val="004E035D"/>
    <w:rsid w:val="004E365D"/>
    <w:rsid w:val="004E6011"/>
    <w:rsid w:val="004F1FB8"/>
    <w:rsid w:val="004F33D5"/>
    <w:rsid w:val="004F66CC"/>
    <w:rsid w:val="004F675C"/>
    <w:rsid w:val="00501F16"/>
    <w:rsid w:val="005036C8"/>
    <w:rsid w:val="00510E89"/>
    <w:rsid w:val="00511291"/>
    <w:rsid w:val="00511C2E"/>
    <w:rsid w:val="0051325B"/>
    <w:rsid w:val="0051372C"/>
    <w:rsid w:val="00514D2C"/>
    <w:rsid w:val="005164DE"/>
    <w:rsid w:val="00516F1F"/>
    <w:rsid w:val="00524A81"/>
    <w:rsid w:val="00527BC4"/>
    <w:rsid w:val="00530E30"/>
    <w:rsid w:val="00531402"/>
    <w:rsid w:val="005347F3"/>
    <w:rsid w:val="0053706A"/>
    <w:rsid w:val="00542A64"/>
    <w:rsid w:val="00543313"/>
    <w:rsid w:val="00547526"/>
    <w:rsid w:val="005565D8"/>
    <w:rsid w:val="00557FE0"/>
    <w:rsid w:val="005606E6"/>
    <w:rsid w:val="005612FA"/>
    <w:rsid w:val="0056145E"/>
    <w:rsid w:val="00562966"/>
    <w:rsid w:val="00563384"/>
    <w:rsid w:val="00564832"/>
    <w:rsid w:val="00570A86"/>
    <w:rsid w:val="0057207A"/>
    <w:rsid w:val="00572C57"/>
    <w:rsid w:val="005746E8"/>
    <w:rsid w:val="005751C3"/>
    <w:rsid w:val="00577166"/>
    <w:rsid w:val="005773A2"/>
    <w:rsid w:val="005801E2"/>
    <w:rsid w:val="0058061C"/>
    <w:rsid w:val="005809BF"/>
    <w:rsid w:val="00581F15"/>
    <w:rsid w:val="00582A76"/>
    <w:rsid w:val="00583309"/>
    <w:rsid w:val="00584DF3"/>
    <w:rsid w:val="005852E4"/>
    <w:rsid w:val="00587536"/>
    <w:rsid w:val="005877BE"/>
    <w:rsid w:val="005903B4"/>
    <w:rsid w:val="00590467"/>
    <w:rsid w:val="005911E9"/>
    <w:rsid w:val="00592BF8"/>
    <w:rsid w:val="00596D8E"/>
    <w:rsid w:val="005A01D6"/>
    <w:rsid w:val="005A0412"/>
    <w:rsid w:val="005A2658"/>
    <w:rsid w:val="005A38AE"/>
    <w:rsid w:val="005A516F"/>
    <w:rsid w:val="005A5ED0"/>
    <w:rsid w:val="005A6DE9"/>
    <w:rsid w:val="005B10CE"/>
    <w:rsid w:val="005B495B"/>
    <w:rsid w:val="005B5A36"/>
    <w:rsid w:val="005B5C35"/>
    <w:rsid w:val="005B6304"/>
    <w:rsid w:val="005C0295"/>
    <w:rsid w:val="005C0ADD"/>
    <w:rsid w:val="005C0E5D"/>
    <w:rsid w:val="005C3703"/>
    <w:rsid w:val="005C43DB"/>
    <w:rsid w:val="005C48DD"/>
    <w:rsid w:val="005C4C52"/>
    <w:rsid w:val="005C5B7B"/>
    <w:rsid w:val="005D064D"/>
    <w:rsid w:val="005D3E62"/>
    <w:rsid w:val="005D635E"/>
    <w:rsid w:val="005D7CF8"/>
    <w:rsid w:val="005E1FB4"/>
    <w:rsid w:val="005E208E"/>
    <w:rsid w:val="005E301B"/>
    <w:rsid w:val="005E388E"/>
    <w:rsid w:val="005E517B"/>
    <w:rsid w:val="005E698F"/>
    <w:rsid w:val="005E758B"/>
    <w:rsid w:val="005E7C46"/>
    <w:rsid w:val="005E7E78"/>
    <w:rsid w:val="005F37A6"/>
    <w:rsid w:val="005F4B2D"/>
    <w:rsid w:val="005F4F7B"/>
    <w:rsid w:val="005F5F33"/>
    <w:rsid w:val="005F66A7"/>
    <w:rsid w:val="005F6B88"/>
    <w:rsid w:val="005F7F55"/>
    <w:rsid w:val="006004A1"/>
    <w:rsid w:val="006007D7"/>
    <w:rsid w:val="00600A53"/>
    <w:rsid w:val="00600E1A"/>
    <w:rsid w:val="00601200"/>
    <w:rsid w:val="0060220C"/>
    <w:rsid w:val="0060317B"/>
    <w:rsid w:val="0060419F"/>
    <w:rsid w:val="00604A71"/>
    <w:rsid w:val="006063C0"/>
    <w:rsid w:val="0060771A"/>
    <w:rsid w:val="00611C43"/>
    <w:rsid w:val="00614283"/>
    <w:rsid w:val="0061459E"/>
    <w:rsid w:val="00615140"/>
    <w:rsid w:val="0061542A"/>
    <w:rsid w:val="00617912"/>
    <w:rsid w:val="00621135"/>
    <w:rsid w:val="00621C04"/>
    <w:rsid w:val="006242D6"/>
    <w:rsid w:val="00626324"/>
    <w:rsid w:val="00631731"/>
    <w:rsid w:val="00632D6A"/>
    <w:rsid w:val="00633DBE"/>
    <w:rsid w:val="00637961"/>
    <w:rsid w:val="00647061"/>
    <w:rsid w:val="00650895"/>
    <w:rsid w:val="00652202"/>
    <w:rsid w:val="00653455"/>
    <w:rsid w:val="0065400D"/>
    <w:rsid w:val="006540DE"/>
    <w:rsid w:val="00654887"/>
    <w:rsid w:val="006563FC"/>
    <w:rsid w:val="00656927"/>
    <w:rsid w:val="00657DF5"/>
    <w:rsid w:val="006618D0"/>
    <w:rsid w:val="00664626"/>
    <w:rsid w:val="006648A4"/>
    <w:rsid w:val="0066599C"/>
    <w:rsid w:val="00665A5E"/>
    <w:rsid w:val="006665A7"/>
    <w:rsid w:val="006701E6"/>
    <w:rsid w:val="0067056E"/>
    <w:rsid w:val="006710BC"/>
    <w:rsid w:val="00671513"/>
    <w:rsid w:val="00671587"/>
    <w:rsid w:val="00676C8F"/>
    <w:rsid w:val="00676CE4"/>
    <w:rsid w:val="00680372"/>
    <w:rsid w:val="0068064D"/>
    <w:rsid w:val="0068151A"/>
    <w:rsid w:val="006816B8"/>
    <w:rsid w:val="00682202"/>
    <w:rsid w:val="00683719"/>
    <w:rsid w:val="00684040"/>
    <w:rsid w:val="00684122"/>
    <w:rsid w:val="0068476B"/>
    <w:rsid w:val="00684BD8"/>
    <w:rsid w:val="00685F43"/>
    <w:rsid w:val="00692879"/>
    <w:rsid w:val="00692F17"/>
    <w:rsid w:val="006945B2"/>
    <w:rsid w:val="00694EEB"/>
    <w:rsid w:val="0069583B"/>
    <w:rsid w:val="006968BC"/>
    <w:rsid w:val="00697E91"/>
    <w:rsid w:val="006A06E6"/>
    <w:rsid w:val="006B0DF9"/>
    <w:rsid w:val="006B380D"/>
    <w:rsid w:val="006B4FE9"/>
    <w:rsid w:val="006B7671"/>
    <w:rsid w:val="006B79F6"/>
    <w:rsid w:val="006C198A"/>
    <w:rsid w:val="006C2445"/>
    <w:rsid w:val="006C4A32"/>
    <w:rsid w:val="006C4FF1"/>
    <w:rsid w:val="006C51DD"/>
    <w:rsid w:val="006C55CD"/>
    <w:rsid w:val="006C658D"/>
    <w:rsid w:val="006C75E7"/>
    <w:rsid w:val="006D11E2"/>
    <w:rsid w:val="006D1E71"/>
    <w:rsid w:val="006D1F0A"/>
    <w:rsid w:val="006D69F5"/>
    <w:rsid w:val="006E1CF8"/>
    <w:rsid w:val="006E1D60"/>
    <w:rsid w:val="006E306D"/>
    <w:rsid w:val="006E6123"/>
    <w:rsid w:val="006E6A54"/>
    <w:rsid w:val="006F08BC"/>
    <w:rsid w:val="006F1812"/>
    <w:rsid w:val="006F3D14"/>
    <w:rsid w:val="006F45C0"/>
    <w:rsid w:val="006F483E"/>
    <w:rsid w:val="006F4CD4"/>
    <w:rsid w:val="006F52F0"/>
    <w:rsid w:val="006F6BA8"/>
    <w:rsid w:val="00700BCB"/>
    <w:rsid w:val="00704036"/>
    <w:rsid w:val="00704110"/>
    <w:rsid w:val="00706AAA"/>
    <w:rsid w:val="00706D7B"/>
    <w:rsid w:val="007075D2"/>
    <w:rsid w:val="00707609"/>
    <w:rsid w:val="00712274"/>
    <w:rsid w:val="00715F30"/>
    <w:rsid w:val="00716079"/>
    <w:rsid w:val="0071701B"/>
    <w:rsid w:val="00721BB1"/>
    <w:rsid w:val="00724E1C"/>
    <w:rsid w:val="00724FD1"/>
    <w:rsid w:val="00725C16"/>
    <w:rsid w:val="0072703B"/>
    <w:rsid w:val="00730013"/>
    <w:rsid w:val="00731320"/>
    <w:rsid w:val="0073313D"/>
    <w:rsid w:val="007332BD"/>
    <w:rsid w:val="00734BDF"/>
    <w:rsid w:val="0073505D"/>
    <w:rsid w:val="007353C6"/>
    <w:rsid w:val="00736DEB"/>
    <w:rsid w:val="00736E13"/>
    <w:rsid w:val="00737E35"/>
    <w:rsid w:val="0074110D"/>
    <w:rsid w:val="00741A8E"/>
    <w:rsid w:val="00741FDE"/>
    <w:rsid w:val="00742229"/>
    <w:rsid w:val="007445D0"/>
    <w:rsid w:val="007448C4"/>
    <w:rsid w:val="00746DB7"/>
    <w:rsid w:val="0075190B"/>
    <w:rsid w:val="00752C07"/>
    <w:rsid w:val="00754296"/>
    <w:rsid w:val="00754776"/>
    <w:rsid w:val="00754ADE"/>
    <w:rsid w:val="00755E4F"/>
    <w:rsid w:val="00760517"/>
    <w:rsid w:val="007605FF"/>
    <w:rsid w:val="007627EB"/>
    <w:rsid w:val="00762B2F"/>
    <w:rsid w:val="007632D5"/>
    <w:rsid w:val="00764B5B"/>
    <w:rsid w:val="0076633D"/>
    <w:rsid w:val="0076733D"/>
    <w:rsid w:val="007673B6"/>
    <w:rsid w:val="00770114"/>
    <w:rsid w:val="00770458"/>
    <w:rsid w:val="00770CB0"/>
    <w:rsid w:val="00772231"/>
    <w:rsid w:val="007730B8"/>
    <w:rsid w:val="007752D0"/>
    <w:rsid w:val="00777687"/>
    <w:rsid w:val="00783839"/>
    <w:rsid w:val="00783F41"/>
    <w:rsid w:val="00790DD8"/>
    <w:rsid w:val="00790E59"/>
    <w:rsid w:val="0079292E"/>
    <w:rsid w:val="00792EAC"/>
    <w:rsid w:val="007938E9"/>
    <w:rsid w:val="0079559F"/>
    <w:rsid w:val="007975D5"/>
    <w:rsid w:val="00797FC0"/>
    <w:rsid w:val="007A04CD"/>
    <w:rsid w:val="007A08E8"/>
    <w:rsid w:val="007A08F6"/>
    <w:rsid w:val="007A3576"/>
    <w:rsid w:val="007A47C3"/>
    <w:rsid w:val="007A53C0"/>
    <w:rsid w:val="007A5E9A"/>
    <w:rsid w:val="007A6E82"/>
    <w:rsid w:val="007A7442"/>
    <w:rsid w:val="007B1109"/>
    <w:rsid w:val="007B1147"/>
    <w:rsid w:val="007B55B7"/>
    <w:rsid w:val="007B61B1"/>
    <w:rsid w:val="007C2F13"/>
    <w:rsid w:val="007C4508"/>
    <w:rsid w:val="007C5018"/>
    <w:rsid w:val="007C5907"/>
    <w:rsid w:val="007C5AAF"/>
    <w:rsid w:val="007C7D1E"/>
    <w:rsid w:val="007D0E7D"/>
    <w:rsid w:val="007D2983"/>
    <w:rsid w:val="007D2A1F"/>
    <w:rsid w:val="007D3D2D"/>
    <w:rsid w:val="007D6C43"/>
    <w:rsid w:val="007E0DE0"/>
    <w:rsid w:val="007E10F3"/>
    <w:rsid w:val="007E1FA3"/>
    <w:rsid w:val="007E2ACB"/>
    <w:rsid w:val="007E3B96"/>
    <w:rsid w:val="007E3F73"/>
    <w:rsid w:val="007E45C3"/>
    <w:rsid w:val="007E4AF7"/>
    <w:rsid w:val="007E4E56"/>
    <w:rsid w:val="007E5C83"/>
    <w:rsid w:val="007F07B3"/>
    <w:rsid w:val="007F281A"/>
    <w:rsid w:val="007F309E"/>
    <w:rsid w:val="007F32EB"/>
    <w:rsid w:val="007F4915"/>
    <w:rsid w:val="007F61C2"/>
    <w:rsid w:val="007F7AC2"/>
    <w:rsid w:val="00800EE3"/>
    <w:rsid w:val="0080158E"/>
    <w:rsid w:val="0080171F"/>
    <w:rsid w:val="00802253"/>
    <w:rsid w:val="00802371"/>
    <w:rsid w:val="00802429"/>
    <w:rsid w:val="00804042"/>
    <w:rsid w:val="0080553C"/>
    <w:rsid w:val="008118AE"/>
    <w:rsid w:val="00815958"/>
    <w:rsid w:val="0081651A"/>
    <w:rsid w:val="008205D4"/>
    <w:rsid w:val="008237F2"/>
    <w:rsid w:val="0082387A"/>
    <w:rsid w:val="00823BFA"/>
    <w:rsid w:val="00824F93"/>
    <w:rsid w:val="008253FF"/>
    <w:rsid w:val="00827A92"/>
    <w:rsid w:val="00831002"/>
    <w:rsid w:val="00832116"/>
    <w:rsid w:val="00833668"/>
    <w:rsid w:val="00833A84"/>
    <w:rsid w:val="008343F4"/>
    <w:rsid w:val="00837D12"/>
    <w:rsid w:val="0084181A"/>
    <w:rsid w:val="00842921"/>
    <w:rsid w:val="0084549D"/>
    <w:rsid w:val="00845DD6"/>
    <w:rsid w:val="00854266"/>
    <w:rsid w:val="00854EC0"/>
    <w:rsid w:val="008630D6"/>
    <w:rsid w:val="0086311B"/>
    <w:rsid w:val="00866697"/>
    <w:rsid w:val="00866768"/>
    <w:rsid w:val="00866C7C"/>
    <w:rsid w:val="008674D0"/>
    <w:rsid w:val="008676A1"/>
    <w:rsid w:val="00867DFF"/>
    <w:rsid w:val="00870608"/>
    <w:rsid w:val="00871568"/>
    <w:rsid w:val="00873B42"/>
    <w:rsid w:val="00874D4A"/>
    <w:rsid w:val="0087595C"/>
    <w:rsid w:val="00882A34"/>
    <w:rsid w:val="00882F30"/>
    <w:rsid w:val="008833AD"/>
    <w:rsid w:val="008833E9"/>
    <w:rsid w:val="00883AA6"/>
    <w:rsid w:val="00885B0B"/>
    <w:rsid w:val="008964FB"/>
    <w:rsid w:val="00897C04"/>
    <w:rsid w:val="00897F2A"/>
    <w:rsid w:val="008A044C"/>
    <w:rsid w:val="008A299D"/>
    <w:rsid w:val="008A38FF"/>
    <w:rsid w:val="008B20D4"/>
    <w:rsid w:val="008B2650"/>
    <w:rsid w:val="008B2BBA"/>
    <w:rsid w:val="008B545E"/>
    <w:rsid w:val="008B70F0"/>
    <w:rsid w:val="008C1526"/>
    <w:rsid w:val="008C1569"/>
    <w:rsid w:val="008C46A2"/>
    <w:rsid w:val="008C517C"/>
    <w:rsid w:val="008C53D4"/>
    <w:rsid w:val="008D1BB4"/>
    <w:rsid w:val="008D42B7"/>
    <w:rsid w:val="008D44BD"/>
    <w:rsid w:val="008D6D42"/>
    <w:rsid w:val="008D7B8F"/>
    <w:rsid w:val="008D7C2B"/>
    <w:rsid w:val="008E13B8"/>
    <w:rsid w:val="008E2468"/>
    <w:rsid w:val="008E36F2"/>
    <w:rsid w:val="008E499F"/>
    <w:rsid w:val="008E5A9B"/>
    <w:rsid w:val="008E754E"/>
    <w:rsid w:val="008F3F7A"/>
    <w:rsid w:val="008F583D"/>
    <w:rsid w:val="008F5FCA"/>
    <w:rsid w:val="008F7198"/>
    <w:rsid w:val="008F7417"/>
    <w:rsid w:val="00900C0A"/>
    <w:rsid w:val="009024F4"/>
    <w:rsid w:val="009054A6"/>
    <w:rsid w:val="0090568C"/>
    <w:rsid w:val="00910B31"/>
    <w:rsid w:val="00911E7B"/>
    <w:rsid w:val="00912161"/>
    <w:rsid w:val="009124DC"/>
    <w:rsid w:val="0091269F"/>
    <w:rsid w:val="00913921"/>
    <w:rsid w:val="009143C8"/>
    <w:rsid w:val="00914418"/>
    <w:rsid w:val="00921075"/>
    <w:rsid w:val="00921C52"/>
    <w:rsid w:val="00925F04"/>
    <w:rsid w:val="00926603"/>
    <w:rsid w:val="00930C04"/>
    <w:rsid w:val="00931A43"/>
    <w:rsid w:val="009344D3"/>
    <w:rsid w:val="009348C9"/>
    <w:rsid w:val="00934B70"/>
    <w:rsid w:val="00935D36"/>
    <w:rsid w:val="00935E60"/>
    <w:rsid w:val="00936FFA"/>
    <w:rsid w:val="00940951"/>
    <w:rsid w:val="00940E4A"/>
    <w:rsid w:val="009418DB"/>
    <w:rsid w:val="00943B44"/>
    <w:rsid w:val="00943C73"/>
    <w:rsid w:val="00945ED6"/>
    <w:rsid w:val="009479FF"/>
    <w:rsid w:val="00947F55"/>
    <w:rsid w:val="0095006D"/>
    <w:rsid w:val="009517D5"/>
    <w:rsid w:val="009522EA"/>
    <w:rsid w:val="00954542"/>
    <w:rsid w:val="00955078"/>
    <w:rsid w:val="009554E0"/>
    <w:rsid w:val="00955550"/>
    <w:rsid w:val="00956EA0"/>
    <w:rsid w:val="00957900"/>
    <w:rsid w:val="009607CB"/>
    <w:rsid w:val="009609B6"/>
    <w:rsid w:val="00961EBA"/>
    <w:rsid w:val="00963205"/>
    <w:rsid w:val="009647C5"/>
    <w:rsid w:val="00965C4D"/>
    <w:rsid w:val="00966433"/>
    <w:rsid w:val="009727FB"/>
    <w:rsid w:val="00973CF6"/>
    <w:rsid w:val="00974FC3"/>
    <w:rsid w:val="00975B03"/>
    <w:rsid w:val="00975D38"/>
    <w:rsid w:val="00977881"/>
    <w:rsid w:val="00985FCD"/>
    <w:rsid w:val="009866CF"/>
    <w:rsid w:val="00991BC7"/>
    <w:rsid w:val="009952CA"/>
    <w:rsid w:val="0099532D"/>
    <w:rsid w:val="0099751A"/>
    <w:rsid w:val="009A005F"/>
    <w:rsid w:val="009A0233"/>
    <w:rsid w:val="009A1ADE"/>
    <w:rsid w:val="009A31EB"/>
    <w:rsid w:val="009A5983"/>
    <w:rsid w:val="009A5AD1"/>
    <w:rsid w:val="009B254C"/>
    <w:rsid w:val="009C1713"/>
    <w:rsid w:val="009C21CF"/>
    <w:rsid w:val="009C352A"/>
    <w:rsid w:val="009C41F8"/>
    <w:rsid w:val="009C4784"/>
    <w:rsid w:val="009C73A9"/>
    <w:rsid w:val="009C7999"/>
    <w:rsid w:val="009C7BFA"/>
    <w:rsid w:val="009D0257"/>
    <w:rsid w:val="009D0728"/>
    <w:rsid w:val="009D118C"/>
    <w:rsid w:val="009D1B83"/>
    <w:rsid w:val="009D2097"/>
    <w:rsid w:val="009D3886"/>
    <w:rsid w:val="009D40E0"/>
    <w:rsid w:val="009E12BE"/>
    <w:rsid w:val="009E3307"/>
    <w:rsid w:val="009E75FE"/>
    <w:rsid w:val="009F0634"/>
    <w:rsid w:val="009F1E3B"/>
    <w:rsid w:val="009F2C58"/>
    <w:rsid w:val="009F391D"/>
    <w:rsid w:val="009F5739"/>
    <w:rsid w:val="00A010CE"/>
    <w:rsid w:val="00A02764"/>
    <w:rsid w:val="00A0296C"/>
    <w:rsid w:val="00A038F7"/>
    <w:rsid w:val="00A05252"/>
    <w:rsid w:val="00A07FF6"/>
    <w:rsid w:val="00A1184C"/>
    <w:rsid w:val="00A12D6C"/>
    <w:rsid w:val="00A13D5D"/>
    <w:rsid w:val="00A16917"/>
    <w:rsid w:val="00A17B30"/>
    <w:rsid w:val="00A20C51"/>
    <w:rsid w:val="00A21E75"/>
    <w:rsid w:val="00A221FD"/>
    <w:rsid w:val="00A25166"/>
    <w:rsid w:val="00A25B47"/>
    <w:rsid w:val="00A263B1"/>
    <w:rsid w:val="00A26B12"/>
    <w:rsid w:val="00A26D62"/>
    <w:rsid w:val="00A27483"/>
    <w:rsid w:val="00A27D16"/>
    <w:rsid w:val="00A300A9"/>
    <w:rsid w:val="00A30821"/>
    <w:rsid w:val="00A33253"/>
    <w:rsid w:val="00A34191"/>
    <w:rsid w:val="00A3517A"/>
    <w:rsid w:val="00A40271"/>
    <w:rsid w:val="00A408F1"/>
    <w:rsid w:val="00A417AF"/>
    <w:rsid w:val="00A43F5A"/>
    <w:rsid w:val="00A43F93"/>
    <w:rsid w:val="00A4562D"/>
    <w:rsid w:val="00A46AD0"/>
    <w:rsid w:val="00A513DE"/>
    <w:rsid w:val="00A52202"/>
    <w:rsid w:val="00A534DF"/>
    <w:rsid w:val="00A54240"/>
    <w:rsid w:val="00A55520"/>
    <w:rsid w:val="00A55903"/>
    <w:rsid w:val="00A567C4"/>
    <w:rsid w:val="00A56C77"/>
    <w:rsid w:val="00A57129"/>
    <w:rsid w:val="00A6533C"/>
    <w:rsid w:val="00A6674E"/>
    <w:rsid w:val="00A675CC"/>
    <w:rsid w:val="00A70712"/>
    <w:rsid w:val="00A70C1C"/>
    <w:rsid w:val="00A719F0"/>
    <w:rsid w:val="00A723D4"/>
    <w:rsid w:val="00A73CFA"/>
    <w:rsid w:val="00A75C53"/>
    <w:rsid w:val="00A75E78"/>
    <w:rsid w:val="00A75F2C"/>
    <w:rsid w:val="00A76F5E"/>
    <w:rsid w:val="00A7728D"/>
    <w:rsid w:val="00A777B2"/>
    <w:rsid w:val="00A817E7"/>
    <w:rsid w:val="00A83563"/>
    <w:rsid w:val="00A87962"/>
    <w:rsid w:val="00A87BC3"/>
    <w:rsid w:val="00A91E21"/>
    <w:rsid w:val="00A9269D"/>
    <w:rsid w:val="00A94155"/>
    <w:rsid w:val="00A94B47"/>
    <w:rsid w:val="00AA0672"/>
    <w:rsid w:val="00AA7049"/>
    <w:rsid w:val="00AB0997"/>
    <w:rsid w:val="00AB193C"/>
    <w:rsid w:val="00AB262A"/>
    <w:rsid w:val="00AC0C01"/>
    <w:rsid w:val="00AC10A4"/>
    <w:rsid w:val="00AC1948"/>
    <w:rsid w:val="00AC25BD"/>
    <w:rsid w:val="00AC2AAB"/>
    <w:rsid w:val="00AC370F"/>
    <w:rsid w:val="00AC3F8D"/>
    <w:rsid w:val="00AC6119"/>
    <w:rsid w:val="00AC61F7"/>
    <w:rsid w:val="00AD06A5"/>
    <w:rsid w:val="00AD37A6"/>
    <w:rsid w:val="00AD3E65"/>
    <w:rsid w:val="00AD598F"/>
    <w:rsid w:val="00AD5D59"/>
    <w:rsid w:val="00AD732A"/>
    <w:rsid w:val="00AD74DF"/>
    <w:rsid w:val="00AE05EC"/>
    <w:rsid w:val="00AE0B65"/>
    <w:rsid w:val="00AE1C65"/>
    <w:rsid w:val="00AE1D13"/>
    <w:rsid w:val="00AE2BDA"/>
    <w:rsid w:val="00AE3B72"/>
    <w:rsid w:val="00AE4A2D"/>
    <w:rsid w:val="00AE510F"/>
    <w:rsid w:val="00AE7C38"/>
    <w:rsid w:val="00AE7F15"/>
    <w:rsid w:val="00AF139E"/>
    <w:rsid w:val="00AF2125"/>
    <w:rsid w:val="00AF2DB3"/>
    <w:rsid w:val="00B00B6F"/>
    <w:rsid w:val="00B0226E"/>
    <w:rsid w:val="00B03C46"/>
    <w:rsid w:val="00B05716"/>
    <w:rsid w:val="00B06AC7"/>
    <w:rsid w:val="00B06F98"/>
    <w:rsid w:val="00B12086"/>
    <w:rsid w:val="00B121F8"/>
    <w:rsid w:val="00B12997"/>
    <w:rsid w:val="00B17EC7"/>
    <w:rsid w:val="00B23188"/>
    <w:rsid w:val="00B25071"/>
    <w:rsid w:val="00B261F4"/>
    <w:rsid w:val="00B31C4F"/>
    <w:rsid w:val="00B335E6"/>
    <w:rsid w:val="00B360D0"/>
    <w:rsid w:val="00B3713E"/>
    <w:rsid w:val="00B37EC9"/>
    <w:rsid w:val="00B43F18"/>
    <w:rsid w:val="00B44DB6"/>
    <w:rsid w:val="00B4607E"/>
    <w:rsid w:val="00B500AB"/>
    <w:rsid w:val="00B52E78"/>
    <w:rsid w:val="00B53F83"/>
    <w:rsid w:val="00B54FA5"/>
    <w:rsid w:val="00B570FF"/>
    <w:rsid w:val="00B60A3C"/>
    <w:rsid w:val="00B6597D"/>
    <w:rsid w:val="00B66485"/>
    <w:rsid w:val="00B67219"/>
    <w:rsid w:val="00B71C55"/>
    <w:rsid w:val="00B7206A"/>
    <w:rsid w:val="00B73FC2"/>
    <w:rsid w:val="00B7435B"/>
    <w:rsid w:val="00B75901"/>
    <w:rsid w:val="00B75E0A"/>
    <w:rsid w:val="00B77121"/>
    <w:rsid w:val="00B77774"/>
    <w:rsid w:val="00B80984"/>
    <w:rsid w:val="00B80DC0"/>
    <w:rsid w:val="00B8206D"/>
    <w:rsid w:val="00B8507C"/>
    <w:rsid w:val="00B87D5E"/>
    <w:rsid w:val="00B90908"/>
    <w:rsid w:val="00B9180C"/>
    <w:rsid w:val="00B93196"/>
    <w:rsid w:val="00B93676"/>
    <w:rsid w:val="00B95AA6"/>
    <w:rsid w:val="00B97214"/>
    <w:rsid w:val="00BA04DC"/>
    <w:rsid w:val="00BA0F93"/>
    <w:rsid w:val="00BA30DB"/>
    <w:rsid w:val="00BA5E51"/>
    <w:rsid w:val="00BA7490"/>
    <w:rsid w:val="00BB1466"/>
    <w:rsid w:val="00BB34B3"/>
    <w:rsid w:val="00BB48FD"/>
    <w:rsid w:val="00BB4F95"/>
    <w:rsid w:val="00BB5293"/>
    <w:rsid w:val="00BB5B4D"/>
    <w:rsid w:val="00BB5BD3"/>
    <w:rsid w:val="00BB6739"/>
    <w:rsid w:val="00BB74D8"/>
    <w:rsid w:val="00BC0E4F"/>
    <w:rsid w:val="00BC3B45"/>
    <w:rsid w:val="00BD777E"/>
    <w:rsid w:val="00BD78EA"/>
    <w:rsid w:val="00BE09B7"/>
    <w:rsid w:val="00BE154E"/>
    <w:rsid w:val="00BE71F5"/>
    <w:rsid w:val="00BE7F73"/>
    <w:rsid w:val="00BF10B4"/>
    <w:rsid w:val="00BF1947"/>
    <w:rsid w:val="00BF351E"/>
    <w:rsid w:val="00BF3900"/>
    <w:rsid w:val="00BF41A8"/>
    <w:rsid w:val="00BF5049"/>
    <w:rsid w:val="00BF6E28"/>
    <w:rsid w:val="00C01FAC"/>
    <w:rsid w:val="00C0430F"/>
    <w:rsid w:val="00C051AB"/>
    <w:rsid w:val="00C051C9"/>
    <w:rsid w:val="00C10EDE"/>
    <w:rsid w:val="00C12A10"/>
    <w:rsid w:val="00C1390D"/>
    <w:rsid w:val="00C1610D"/>
    <w:rsid w:val="00C1666E"/>
    <w:rsid w:val="00C211DB"/>
    <w:rsid w:val="00C216B5"/>
    <w:rsid w:val="00C21CE7"/>
    <w:rsid w:val="00C25FBF"/>
    <w:rsid w:val="00C30AB8"/>
    <w:rsid w:val="00C338AE"/>
    <w:rsid w:val="00C35296"/>
    <w:rsid w:val="00C42F85"/>
    <w:rsid w:val="00C4626A"/>
    <w:rsid w:val="00C4692E"/>
    <w:rsid w:val="00C46F83"/>
    <w:rsid w:val="00C51877"/>
    <w:rsid w:val="00C51932"/>
    <w:rsid w:val="00C53544"/>
    <w:rsid w:val="00C54957"/>
    <w:rsid w:val="00C5533A"/>
    <w:rsid w:val="00C57471"/>
    <w:rsid w:val="00C71980"/>
    <w:rsid w:val="00C7351D"/>
    <w:rsid w:val="00C768EA"/>
    <w:rsid w:val="00C76D61"/>
    <w:rsid w:val="00C77D7C"/>
    <w:rsid w:val="00C80D15"/>
    <w:rsid w:val="00C80FD3"/>
    <w:rsid w:val="00C8625E"/>
    <w:rsid w:val="00C92C12"/>
    <w:rsid w:val="00C952F1"/>
    <w:rsid w:val="00C97C83"/>
    <w:rsid w:val="00CA27D3"/>
    <w:rsid w:val="00CA2913"/>
    <w:rsid w:val="00CA3B25"/>
    <w:rsid w:val="00CA3EA8"/>
    <w:rsid w:val="00CA4769"/>
    <w:rsid w:val="00CA6322"/>
    <w:rsid w:val="00CB2398"/>
    <w:rsid w:val="00CB2476"/>
    <w:rsid w:val="00CB476F"/>
    <w:rsid w:val="00CB5BA2"/>
    <w:rsid w:val="00CB5D81"/>
    <w:rsid w:val="00CB6176"/>
    <w:rsid w:val="00CB7F64"/>
    <w:rsid w:val="00CC244E"/>
    <w:rsid w:val="00CC364A"/>
    <w:rsid w:val="00CC3FB0"/>
    <w:rsid w:val="00CC59B7"/>
    <w:rsid w:val="00CC7701"/>
    <w:rsid w:val="00CD2508"/>
    <w:rsid w:val="00CD2B1A"/>
    <w:rsid w:val="00CD49A7"/>
    <w:rsid w:val="00CD7196"/>
    <w:rsid w:val="00CD7E2A"/>
    <w:rsid w:val="00CE293A"/>
    <w:rsid w:val="00CE3770"/>
    <w:rsid w:val="00CE3CB0"/>
    <w:rsid w:val="00CE401F"/>
    <w:rsid w:val="00CE469B"/>
    <w:rsid w:val="00CE4C18"/>
    <w:rsid w:val="00CE5042"/>
    <w:rsid w:val="00CE73C6"/>
    <w:rsid w:val="00CF0C22"/>
    <w:rsid w:val="00CF2EE8"/>
    <w:rsid w:val="00CF4440"/>
    <w:rsid w:val="00CF5977"/>
    <w:rsid w:val="00CF6874"/>
    <w:rsid w:val="00D00C18"/>
    <w:rsid w:val="00D02611"/>
    <w:rsid w:val="00D0311B"/>
    <w:rsid w:val="00D03504"/>
    <w:rsid w:val="00D056FA"/>
    <w:rsid w:val="00D07A1C"/>
    <w:rsid w:val="00D07B0E"/>
    <w:rsid w:val="00D116BF"/>
    <w:rsid w:val="00D226B7"/>
    <w:rsid w:val="00D303E2"/>
    <w:rsid w:val="00D34871"/>
    <w:rsid w:val="00D35DF8"/>
    <w:rsid w:val="00D35E1B"/>
    <w:rsid w:val="00D40F06"/>
    <w:rsid w:val="00D41B03"/>
    <w:rsid w:val="00D4421B"/>
    <w:rsid w:val="00D45437"/>
    <w:rsid w:val="00D46C54"/>
    <w:rsid w:val="00D525A2"/>
    <w:rsid w:val="00D55C29"/>
    <w:rsid w:val="00D562D5"/>
    <w:rsid w:val="00D73120"/>
    <w:rsid w:val="00D7442B"/>
    <w:rsid w:val="00D751F4"/>
    <w:rsid w:val="00D82A1E"/>
    <w:rsid w:val="00D83713"/>
    <w:rsid w:val="00D85496"/>
    <w:rsid w:val="00D90F55"/>
    <w:rsid w:val="00D94247"/>
    <w:rsid w:val="00D944B1"/>
    <w:rsid w:val="00D94C17"/>
    <w:rsid w:val="00D94F58"/>
    <w:rsid w:val="00D9718F"/>
    <w:rsid w:val="00D9749A"/>
    <w:rsid w:val="00DA40F6"/>
    <w:rsid w:val="00DA4706"/>
    <w:rsid w:val="00DA6E63"/>
    <w:rsid w:val="00DB1B3A"/>
    <w:rsid w:val="00DB4AAC"/>
    <w:rsid w:val="00DB501E"/>
    <w:rsid w:val="00DB626F"/>
    <w:rsid w:val="00DB70CE"/>
    <w:rsid w:val="00DC0EDE"/>
    <w:rsid w:val="00DC20FF"/>
    <w:rsid w:val="00DC225F"/>
    <w:rsid w:val="00DC5538"/>
    <w:rsid w:val="00DC6101"/>
    <w:rsid w:val="00DD2282"/>
    <w:rsid w:val="00DD2E0E"/>
    <w:rsid w:val="00DD39B0"/>
    <w:rsid w:val="00DD39EE"/>
    <w:rsid w:val="00DD6693"/>
    <w:rsid w:val="00DD67EE"/>
    <w:rsid w:val="00DE2847"/>
    <w:rsid w:val="00DE2F2B"/>
    <w:rsid w:val="00DE3F2C"/>
    <w:rsid w:val="00DE4E91"/>
    <w:rsid w:val="00DE5D14"/>
    <w:rsid w:val="00DE6AB4"/>
    <w:rsid w:val="00DF0C7D"/>
    <w:rsid w:val="00DF0E29"/>
    <w:rsid w:val="00DF1542"/>
    <w:rsid w:val="00DF1AAD"/>
    <w:rsid w:val="00DF29FF"/>
    <w:rsid w:val="00DF2BB7"/>
    <w:rsid w:val="00DF6067"/>
    <w:rsid w:val="00DF695A"/>
    <w:rsid w:val="00E019DE"/>
    <w:rsid w:val="00E01CB0"/>
    <w:rsid w:val="00E022A8"/>
    <w:rsid w:val="00E05925"/>
    <w:rsid w:val="00E06BF9"/>
    <w:rsid w:val="00E07421"/>
    <w:rsid w:val="00E078F6"/>
    <w:rsid w:val="00E11AD0"/>
    <w:rsid w:val="00E11F7C"/>
    <w:rsid w:val="00E125DE"/>
    <w:rsid w:val="00E12C4E"/>
    <w:rsid w:val="00E132B1"/>
    <w:rsid w:val="00E137C0"/>
    <w:rsid w:val="00E14185"/>
    <w:rsid w:val="00E1560A"/>
    <w:rsid w:val="00E17978"/>
    <w:rsid w:val="00E215F9"/>
    <w:rsid w:val="00E21EE2"/>
    <w:rsid w:val="00E22DD5"/>
    <w:rsid w:val="00E25ADC"/>
    <w:rsid w:val="00E27EE7"/>
    <w:rsid w:val="00E300FA"/>
    <w:rsid w:val="00E3309A"/>
    <w:rsid w:val="00E33D63"/>
    <w:rsid w:val="00E34ACD"/>
    <w:rsid w:val="00E35FC4"/>
    <w:rsid w:val="00E362BF"/>
    <w:rsid w:val="00E46E09"/>
    <w:rsid w:val="00E50E98"/>
    <w:rsid w:val="00E51E06"/>
    <w:rsid w:val="00E54C5E"/>
    <w:rsid w:val="00E54D5F"/>
    <w:rsid w:val="00E55573"/>
    <w:rsid w:val="00E57BD7"/>
    <w:rsid w:val="00E61D8D"/>
    <w:rsid w:val="00E63A5F"/>
    <w:rsid w:val="00E65250"/>
    <w:rsid w:val="00E72D52"/>
    <w:rsid w:val="00E73DF1"/>
    <w:rsid w:val="00E74779"/>
    <w:rsid w:val="00E7533E"/>
    <w:rsid w:val="00E765B9"/>
    <w:rsid w:val="00E76BD5"/>
    <w:rsid w:val="00E77F51"/>
    <w:rsid w:val="00E856D0"/>
    <w:rsid w:val="00E87E40"/>
    <w:rsid w:val="00E92A45"/>
    <w:rsid w:val="00E9311D"/>
    <w:rsid w:val="00E95550"/>
    <w:rsid w:val="00EA6F34"/>
    <w:rsid w:val="00EB5993"/>
    <w:rsid w:val="00EC062D"/>
    <w:rsid w:val="00EC246D"/>
    <w:rsid w:val="00EC58B2"/>
    <w:rsid w:val="00EC6AFE"/>
    <w:rsid w:val="00ED1F7F"/>
    <w:rsid w:val="00ED726C"/>
    <w:rsid w:val="00EE018D"/>
    <w:rsid w:val="00EE1019"/>
    <w:rsid w:val="00EE108F"/>
    <w:rsid w:val="00EE2107"/>
    <w:rsid w:val="00EE379B"/>
    <w:rsid w:val="00EE43D6"/>
    <w:rsid w:val="00EE5044"/>
    <w:rsid w:val="00EE5C40"/>
    <w:rsid w:val="00EE6BFB"/>
    <w:rsid w:val="00EE74A9"/>
    <w:rsid w:val="00EF5DA1"/>
    <w:rsid w:val="00F00A79"/>
    <w:rsid w:val="00F039DA"/>
    <w:rsid w:val="00F04C94"/>
    <w:rsid w:val="00F04F47"/>
    <w:rsid w:val="00F06C11"/>
    <w:rsid w:val="00F071FD"/>
    <w:rsid w:val="00F07C53"/>
    <w:rsid w:val="00F14129"/>
    <w:rsid w:val="00F14C98"/>
    <w:rsid w:val="00F1642E"/>
    <w:rsid w:val="00F16ABC"/>
    <w:rsid w:val="00F16C69"/>
    <w:rsid w:val="00F2095E"/>
    <w:rsid w:val="00F224BC"/>
    <w:rsid w:val="00F2412C"/>
    <w:rsid w:val="00F2524C"/>
    <w:rsid w:val="00F30008"/>
    <w:rsid w:val="00F32118"/>
    <w:rsid w:val="00F40825"/>
    <w:rsid w:val="00F42695"/>
    <w:rsid w:val="00F431E7"/>
    <w:rsid w:val="00F43833"/>
    <w:rsid w:val="00F44641"/>
    <w:rsid w:val="00F450BF"/>
    <w:rsid w:val="00F50A1B"/>
    <w:rsid w:val="00F53135"/>
    <w:rsid w:val="00F539EE"/>
    <w:rsid w:val="00F5568F"/>
    <w:rsid w:val="00F56638"/>
    <w:rsid w:val="00F576C5"/>
    <w:rsid w:val="00F57B1C"/>
    <w:rsid w:val="00F61292"/>
    <w:rsid w:val="00F63938"/>
    <w:rsid w:val="00F645DF"/>
    <w:rsid w:val="00F64D3D"/>
    <w:rsid w:val="00F65887"/>
    <w:rsid w:val="00F65B69"/>
    <w:rsid w:val="00F6682F"/>
    <w:rsid w:val="00F67CDC"/>
    <w:rsid w:val="00F700A1"/>
    <w:rsid w:val="00F70FB9"/>
    <w:rsid w:val="00F720DF"/>
    <w:rsid w:val="00F722F6"/>
    <w:rsid w:val="00F7396E"/>
    <w:rsid w:val="00F76AA7"/>
    <w:rsid w:val="00F77440"/>
    <w:rsid w:val="00F77E0E"/>
    <w:rsid w:val="00F82480"/>
    <w:rsid w:val="00F8277B"/>
    <w:rsid w:val="00F83B40"/>
    <w:rsid w:val="00F843B7"/>
    <w:rsid w:val="00F856BC"/>
    <w:rsid w:val="00F861CE"/>
    <w:rsid w:val="00F87F77"/>
    <w:rsid w:val="00F90FCC"/>
    <w:rsid w:val="00F912A2"/>
    <w:rsid w:val="00F92A55"/>
    <w:rsid w:val="00F961EE"/>
    <w:rsid w:val="00FA02FE"/>
    <w:rsid w:val="00FA1997"/>
    <w:rsid w:val="00FA220F"/>
    <w:rsid w:val="00FA439A"/>
    <w:rsid w:val="00FA4A8D"/>
    <w:rsid w:val="00FA6733"/>
    <w:rsid w:val="00FA79EA"/>
    <w:rsid w:val="00FB0B33"/>
    <w:rsid w:val="00FB1DA2"/>
    <w:rsid w:val="00FB3616"/>
    <w:rsid w:val="00FB4A91"/>
    <w:rsid w:val="00FB50B8"/>
    <w:rsid w:val="00FB63C3"/>
    <w:rsid w:val="00FB762B"/>
    <w:rsid w:val="00FC0274"/>
    <w:rsid w:val="00FC0FED"/>
    <w:rsid w:val="00FC1828"/>
    <w:rsid w:val="00FC2B72"/>
    <w:rsid w:val="00FC6103"/>
    <w:rsid w:val="00FC6EA0"/>
    <w:rsid w:val="00FC728A"/>
    <w:rsid w:val="00FD0099"/>
    <w:rsid w:val="00FD30D8"/>
    <w:rsid w:val="00FD4185"/>
    <w:rsid w:val="00FD72B1"/>
    <w:rsid w:val="00FE0888"/>
    <w:rsid w:val="00FE59F3"/>
    <w:rsid w:val="00FE639F"/>
    <w:rsid w:val="00FE7134"/>
    <w:rsid w:val="00FE7828"/>
    <w:rsid w:val="00FF6F0A"/>
    <w:rsid w:val="00FF74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rsid w:val="008674D0"/>
    <w:pPr>
      <w:widowControl w:val="0"/>
      <w:outlineLvl w:val="3"/>
    </w:pPr>
    <w:rPr>
      <w:rFonts w:ascii="Courier" w:hAnsi="Courier"/>
      <w:snapToGrid w:val="0"/>
      <w:lang w:val="en-US" w:eastAsia="en-US"/>
    </w:rPr>
  </w:style>
  <w:style w:type="paragraph" w:styleId="Heading5">
    <w:name w:val="heading 5"/>
    <w:basedOn w:val="Normal"/>
    <w:next w:val="Normal"/>
    <w:qFormat/>
    <w:rsid w:val="008674D0"/>
    <w:pPr>
      <w:widowControl w:val="0"/>
      <w:outlineLvl w:val="4"/>
    </w:pPr>
    <w:rPr>
      <w:rFonts w:ascii="Courier" w:hAnsi="Courier"/>
      <w:snapToGrid w:val="0"/>
      <w:lang w:val="en-US" w:eastAsia="en-US"/>
    </w:rPr>
  </w:style>
  <w:style w:type="paragraph" w:styleId="Heading6">
    <w:name w:val="heading 6"/>
    <w:basedOn w:val="Normal"/>
    <w:next w:val="Normal"/>
    <w:qFormat/>
    <w:rsid w:val="008674D0"/>
    <w:pPr>
      <w:widowControl w:val="0"/>
      <w:outlineLvl w:val="5"/>
    </w:pPr>
    <w:rPr>
      <w:rFonts w:ascii="Courier" w:hAnsi="Courier"/>
      <w:snapToGrid w:val="0"/>
      <w:lang w:val="en-US" w:eastAsia="en-US"/>
    </w:rPr>
  </w:style>
  <w:style w:type="paragraph" w:styleId="Heading7">
    <w:name w:val="heading 7"/>
    <w:basedOn w:val="Normal"/>
    <w:next w:val="Normal"/>
    <w:qFormat/>
    <w:rsid w:val="008674D0"/>
    <w:pPr>
      <w:widowControl w:val="0"/>
      <w:outlineLvl w:val="6"/>
    </w:pPr>
    <w:rPr>
      <w:rFonts w:ascii="Courier" w:hAnsi="Courier"/>
      <w:snapToGrid w:val="0"/>
      <w:lang w:val="en-US" w:eastAsia="en-US"/>
    </w:rPr>
  </w:style>
  <w:style w:type="paragraph" w:styleId="Heading8">
    <w:name w:val="heading 8"/>
    <w:basedOn w:val="Normal"/>
    <w:next w:val="Normal"/>
    <w:qFormat/>
    <w:rsid w:val="008674D0"/>
    <w:pPr>
      <w:widowControl w:val="0"/>
      <w:outlineLvl w:val="7"/>
    </w:pPr>
    <w:rPr>
      <w:rFonts w:ascii="Courier" w:hAnsi="Courier"/>
      <w:snapToGrid w:val="0"/>
      <w:lang w:val="en-US" w:eastAsia="en-US"/>
    </w:rPr>
  </w:style>
  <w:style w:type="paragraph" w:styleId="Heading9">
    <w:name w:val="heading 9"/>
    <w:basedOn w:val="Normal"/>
    <w:next w:val="Normal"/>
    <w:qFormat/>
    <w:rsid w:val="008674D0"/>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Char">
    <w:name w:val="Ju_Para Char"/>
    <w:basedOn w:val="Normal"/>
    <w:link w:val="JuParaCharChar"/>
    <w:rsid w:val="007D2983"/>
    <w:pPr>
      <w:ind w:firstLine="284"/>
      <w:jc w:val="both"/>
    </w:pPr>
  </w:style>
  <w:style w:type="paragraph" w:customStyle="1" w:styleId="JuHIRoman">
    <w:name w:val="Ju_H_I_Roman"/>
    <w:basedOn w:val="JuHHead"/>
    <w:next w:val="JuParaChar"/>
    <w:rsid w:val="007D2983"/>
    <w:pPr>
      <w:tabs>
        <w:tab w:val="left" w:pos="357"/>
      </w:tabs>
      <w:spacing w:before="360"/>
      <w:ind w:left="357" w:hanging="357"/>
    </w:pPr>
    <w:rPr>
      <w:sz w:val="24"/>
    </w:rPr>
  </w:style>
  <w:style w:type="paragraph" w:customStyle="1" w:styleId="JuHHead">
    <w:name w:val="Ju_H_Head"/>
    <w:basedOn w:val="Normal"/>
    <w:next w:val="JuPara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Char"/>
    <w:rsid w:val="007D2983"/>
    <w:pPr>
      <w:tabs>
        <w:tab w:val="clear" w:pos="357"/>
        <w:tab w:val="left" w:pos="584"/>
      </w:tabs>
      <w:ind w:left="584" w:hanging="352"/>
    </w:pPr>
    <w:rPr>
      <w:b/>
    </w:rPr>
  </w:style>
  <w:style w:type="paragraph" w:customStyle="1" w:styleId="JuQuot">
    <w:name w:val="Ju_Quot"/>
    <w:basedOn w:val="JuParaChar"/>
    <w:rsid w:val="007D2983"/>
    <w:pPr>
      <w:spacing w:before="120" w:after="120"/>
      <w:ind w:left="425" w:firstLine="142"/>
    </w:pPr>
    <w:rPr>
      <w:sz w:val="20"/>
    </w:rPr>
  </w:style>
  <w:style w:type="paragraph" w:customStyle="1" w:styleId="JuSigned">
    <w:name w:val="Ju_Signed"/>
    <w:basedOn w:val="Normal"/>
    <w:next w:val="JuParaLast"/>
    <w:rsid w:val="00E95550"/>
    <w:pPr>
      <w:tabs>
        <w:tab w:val="center" w:pos="851"/>
        <w:tab w:val="center" w:pos="6407"/>
      </w:tabs>
      <w:spacing w:before="720"/>
    </w:pPr>
  </w:style>
  <w:style w:type="paragraph" w:customStyle="1" w:styleId="JuParaLast">
    <w:name w:val="Ju_Para_Last"/>
    <w:basedOn w:val="JuParaChar"/>
    <w:next w:val="JuParaChar"/>
    <w:rsid w:val="007D2983"/>
    <w:pPr>
      <w:spacing w:before="240"/>
    </w:pPr>
  </w:style>
  <w:style w:type="paragraph" w:customStyle="1" w:styleId="JuCase">
    <w:name w:val="Ju_Case"/>
    <w:basedOn w:val="JuParaChar"/>
    <w:next w:val="JuParaChar"/>
    <w:rsid w:val="007D2983"/>
    <w:rPr>
      <w:b/>
    </w:rPr>
  </w:style>
  <w:style w:type="paragraph" w:customStyle="1" w:styleId="JuList">
    <w:name w:val="Ju_List"/>
    <w:basedOn w:val="JuPara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Char"/>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Char"/>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Char"/>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Char"/>
    <w:rsid w:val="007D2983"/>
    <w:pPr>
      <w:tabs>
        <w:tab w:val="clear" w:pos="1372"/>
      </w:tabs>
      <w:ind w:left="1236" w:firstLine="0"/>
    </w:pPr>
    <w:rPr>
      <w:i/>
    </w:rPr>
  </w:style>
  <w:style w:type="paragraph" w:customStyle="1" w:styleId="JuHalpha">
    <w:name w:val="Ju_H_alpha"/>
    <w:basedOn w:val="JuHi"/>
    <w:next w:val="JuParaChar"/>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sid w:val="008674D0"/>
    <w:rPr>
      <w:sz w:val="16"/>
    </w:rPr>
  </w:style>
  <w:style w:type="paragraph" w:styleId="CommentText">
    <w:name w:val="annotation text"/>
    <w:basedOn w:val="Normal"/>
    <w:semiHidden/>
    <w:rsid w:val="008674D0"/>
    <w:rPr>
      <w:sz w:val="20"/>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Char"/>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Char"/>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Char"/>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styleId="Emphasis">
    <w:name w:val="Emphasis"/>
    <w:basedOn w:val="DefaultParagraphFont"/>
    <w:qFormat/>
    <w:rsid w:val="005911E9"/>
    <w:rPr>
      <w:i/>
    </w:rPr>
  </w:style>
  <w:style w:type="character" w:customStyle="1" w:styleId="JuParaCharChar">
    <w:name w:val="Ju_Para Char Char"/>
    <w:basedOn w:val="DefaultParagraphFont"/>
    <w:link w:val="JuParaChar"/>
    <w:rsid w:val="002975AA"/>
    <w:rPr>
      <w:sz w:val="24"/>
      <w:lang w:val="en-GB" w:eastAsia="fr-FR" w:bidi="ar-SA"/>
    </w:rPr>
  </w:style>
  <w:style w:type="paragraph" w:customStyle="1" w:styleId="ju-005fpara">
    <w:name w:val="ju-005fpara"/>
    <w:basedOn w:val="Normal"/>
    <w:rsid w:val="00056651"/>
    <w:pPr>
      <w:suppressAutoHyphens w:val="0"/>
      <w:spacing w:before="100" w:beforeAutospacing="1" w:after="100" w:afterAutospacing="1"/>
    </w:pPr>
    <w:rPr>
      <w:szCs w:val="24"/>
      <w:lang w:val="fr-FR"/>
    </w:rPr>
  </w:style>
  <w:style w:type="character" w:customStyle="1" w:styleId="ju-005fpara--char">
    <w:name w:val="ju-005fpara--char"/>
    <w:basedOn w:val="DefaultParagraphFont"/>
    <w:rsid w:val="00056651"/>
  </w:style>
  <w:style w:type="paragraph" w:customStyle="1" w:styleId="JuPara">
    <w:name w:val="Ju_Para"/>
    <w:aliases w:val="ECHR_Para"/>
    <w:basedOn w:val="Normal"/>
    <w:link w:val="JuParaChar1"/>
    <w:uiPriority w:val="12"/>
    <w:qFormat/>
    <w:rsid w:val="009517D5"/>
    <w:pPr>
      <w:ind w:firstLine="284"/>
      <w:jc w:val="both"/>
    </w:pPr>
    <w:rPr>
      <w:lang w:val="fr-FR"/>
    </w:rPr>
  </w:style>
  <w:style w:type="paragraph" w:styleId="NormalWeb">
    <w:name w:val="Normal (Web)"/>
    <w:basedOn w:val="Normal"/>
    <w:rsid w:val="00E17978"/>
    <w:pPr>
      <w:suppressAutoHyphens w:val="0"/>
      <w:spacing w:before="100" w:beforeAutospacing="1" w:after="100" w:afterAutospacing="1"/>
    </w:pPr>
    <w:rPr>
      <w:szCs w:val="24"/>
      <w:lang w:val="fr-FR"/>
    </w:rPr>
  </w:style>
  <w:style w:type="character" w:styleId="Strong">
    <w:name w:val="Strong"/>
    <w:basedOn w:val="DefaultParagraphFont"/>
    <w:qFormat/>
    <w:rsid w:val="00E17978"/>
    <w:rPr>
      <w:b/>
      <w:bCs/>
    </w:rPr>
  </w:style>
  <w:style w:type="character" w:styleId="Hyperlink">
    <w:name w:val="Hyperlink"/>
    <w:basedOn w:val="DefaultParagraphFont"/>
    <w:rsid w:val="00E17978"/>
    <w:rPr>
      <w:color w:val="0000FF"/>
      <w:u w:val="single"/>
    </w:rPr>
  </w:style>
  <w:style w:type="paragraph" w:customStyle="1" w:styleId="Normal1">
    <w:name w:val="Normal1"/>
    <w:basedOn w:val="Normal"/>
    <w:rsid w:val="00E17978"/>
    <w:pPr>
      <w:suppressAutoHyphens w:val="0"/>
      <w:spacing w:before="100" w:beforeAutospacing="1" w:after="100" w:afterAutospacing="1"/>
    </w:pPr>
    <w:rPr>
      <w:szCs w:val="24"/>
      <w:lang w:val="fr-FR"/>
    </w:rPr>
  </w:style>
  <w:style w:type="character" w:customStyle="1" w:styleId="normal--char">
    <w:name w:val="normal--char"/>
    <w:basedOn w:val="DefaultParagraphFont"/>
    <w:rsid w:val="00E17978"/>
  </w:style>
  <w:style w:type="character" w:customStyle="1" w:styleId="JuParaChar1">
    <w:name w:val="Ju_Para Char1"/>
    <w:basedOn w:val="DefaultParagraphFont"/>
    <w:link w:val="JuPara"/>
    <w:rsid w:val="00B8206D"/>
    <w:rPr>
      <w:sz w:val="24"/>
      <w:lang w:val="fr-FR" w:eastAsia="fr-FR" w:bidi="ar-SA"/>
    </w:rPr>
  </w:style>
  <w:style w:type="character" w:styleId="FollowedHyperlink">
    <w:name w:val="FollowedHyperlink"/>
    <w:basedOn w:val="DefaultParagraphFont"/>
    <w:rsid w:val="00B3713E"/>
    <w:rPr>
      <w:color w:val="800080"/>
      <w:u w:val="single"/>
    </w:rPr>
  </w:style>
  <w:style w:type="character" w:customStyle="1" w:styleId="ECHRParaChar">
    <w:name w:val="ECHR_Para Char"/>
    <w:uiPriority w:val="12"/>
    <w:rsid w:val="00BD78EA"/>
    <w:rPr>
      <w:rFonts w:eastAsia="MS Mincho"/>
      <w:sz w:val="24"/>
      <w:lang w:val="bg-BG" w:eastAsia="bg-BG"/>
    </w:rPr>
  </w:style>
  <w:style w:type="paragraph" w:styleId="EndnoteText">
    <w:name w:val="endnote text"/>
    <w:basedOn w:val="Normal"/>
    <w:link w:val="EndnoteTextChar"/>
    <w:semiHidden/>
    <w:unhideWhenUsed/>
    <w:rsid w:val="00323A9D"/>
    <w:rPr>
      <w:sz w:val="20"/>
    </w:rPr>
  </w:style>
  <w:style w:type="character" w:customStyle="1" w:styleId="EndnoteTextChar">
    <w:name w:val="Endnote Text Char"/>
    <w:basedOn w:val="DefaultParagraphFont"/>
    <w:link w:val="EndnoteText"/>
    <w:semiHidden/>
    <w:rsid w:val="00323A9D"/>
    <w:rPr>
      <w:lang w:val="en-GB" w:eastAsia="fr-FR"/>
    </w:rPr>
  </w:style>
  <w:style w:type="character" w:styleId="EndnoteReference">
    <w:name w:val="endnote reference"/>
    <w:basedOn w:val="DefaultParagraphFont"/>
    <w:semiHidden/>
    <w:unhideWhenUsed/>
    <w:rsid w:val="00323A9D"/>
    <w:rPr>
      <w:vertAlign w:val="superscript"/>
    </w:rPr>
  </w:style>
  <w:style w:type="character" w:styleId="PlaceholderText">
    <w:name w:val="Placeholder Text"/>
    <w:basedOn w:val="DefaultParagraphFont"/>
    <w:uiPriority w:val="99"/>
    <w:semiHidden/>
    <w:rsid w:val="006E1C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4854">
      <w:bodyDiv w:val="1"/>
      <w:marLeft w:val="0"/>
      <w:marRight w:val="0"/>
      <w:marTop w:val="0"/>
      <w:marBottom w:val="0"/>
      <w:divBdr>
        <w:top w:val="none" w:sz="0" w:space="0" w:color="auto"/>
        <w:left w:val="none" w:sz="0" w:space="0" w:color="auto"/>
        <w:bottom w:val="none" w:sz="0" w:space="0" w:color="auto"/>
        <w:right w:val="none" w:sz="0" w:space="0" w:color="auto"/>
      </w:divBdr>
    </w:div>
    <w:div w:id="12834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exportugal.com/LexPortugal/LexPortugal.asp?SHOWHTML=06000599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24430</Words>
  <Characters>139254</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163358</CharactersWithSpaces>
  <SharedDoc>false</SharedDoc>
  <HLinks>
    <vt:vector size="42" baseType="variant">
      <vt:variant>
        <vt:i4>2752566</vt:i4>
      </vt:variant>
      <vt:variant>
        <vt:i4>18</vt:i4>
      </vt:variant>
      <vt:variant>
        <vt:i4>0</vt:i4>
      </vt:variant>
      <vt:variant>
        <vt:i4>5</vt:i4>
      </vt:variant>
      <vt:variant>
        <vt:lpwstr>http://www.lexportugal.com/LexPortugal/LexPortugal.asp?SHOWHTML=0600059984</vt:lpwstr>
      </vt:variant>
      <vt:variant>
        <vt:lpwstr/>
      </vt:variant>
      <vt:variant>
        <vt:i4>917586</vt:i4>
      </vt:variant>
      <vt:variant>
        <vt:i4>15</vt:i4>
      </vt:variant>
      <vt:variant>
        <vt:i4>0</vt:i4>
      </vt:variant>
      <vt:variant>
        <vt:i4>5</vt:i4>
      </vt:variant>
      <vt:variant>
        <vt:lpwstr>http://en.wikipedia.org/wiki/Lithuanians</vt:lpwstr>
      </vt:variant>
      <vt:variant>
        <vt:lpwstr/>
      </vt:variant>
      <vt:variant>
        <vt:i4>7340095</vt:i4>
      </vt:variant>
      <vt:variant>
        <vt:i4>12</vt:i4>
      </vt:variant>
      <vt:variant>
        <vt:i4>0</vt:i4>
      </vt:variant>
      <vt:variant>
        <vt:i4>5</vt:i4>
      </vt:variant>
      <vt:variant>
        <vt:lpwstr>http://en.wikipedia.org/wiki/Poles</vt:lpwstr>
      </vt:variant>
      <vt:variant>
        <vt:lpwstr/>
      </vt:variant>
      <vt:variant>
        <vt:i4>7733296</vt:i4>
      </vt:variant>
      <vt:variant>
        <vt:i4>9</vt:i4>
      </vt:variant>
      <vt:variant>
        <vt:i4>0</vt:i4>
      </vt:variant>
      <vt:variant>
        <vt:i4>5</vt:i4>
      </vt:variant>
      <vt:variant>
        <vt:lpwstr>http://en.wikipedia.org/wiki/Ukrainians</vt:lpwstr>
      </vt:variant>
      <vt:variant>
        <vt:lpwstr/>
      </vt:variant>
      <vt:variant>
        <vt:i4>131139</vt:i4>
      </vt:variant>
      <vt:variant>
        <vt:i4>6</vt:i4>
      </vt:variant>
      <vt:variant>
        <vt:i4>0</vt:i4>
      </vt:variant>
      <vt:variant>
        <vt:i4>5</vt:i4>
      </vt:variant>
      <vt:variant>
        <vt:lpwstr>http://en.wikipedia.org/wiki/Belarusians</vt:lpwstr>
      </vt:variant>
      <vt:variant>
        <vt:lpwstr/>
      </vt:variant>
      <vt:variant>
        <vt:i4>1638482</vt:i4>
      </vt:variant>
      <vt:variant>
        <vt:i4>3</vt:i4>
      </vt:variant>
      <vt:variant>
        <vt:i4>0</vt:i4>
      </vt:variant>
      <vt:variant>
        <vt:i4>5</vt:i4>
      </vt:variant>
      <vt:variant>
        <vt:lpwstr>http://en.wikipedia.org/wiki/Russians</vt:lpwstr>
      </vt:variant>
      <vt:variant>
        <vt:lpwstr/>
      </vt:variant>
      <vt:variant>
        <vt:i4>67</vt:i4>
      </vt:variant>
      <vt:variant>
        <vt:i4>0</vt:i4>
      </vt:variant>
      <vt:variant>
        <vt:i4>0</vt:i4>
      </vt:variant>
      <vt:variant>
        <vt:i4>5</vt:i4>
      </vt:variant>
      <vt:variant>
        <vt:lpwstr>http://en.wikipedia.org/wiki/Latvians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2016-05-27T08:45:00Z</dcterms:created>
  <dcterms:modified xsi:type="dcterms:W3CDTF">2016-05-27T08:45:00Z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