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968E" w14:textId="77777777" w:rsidR="00314B21" w:rsidRPr="00AC38DE" w:rsidRDefault="00314B21" w:rsidP="0098410D">
      <w:pPr>
        <w:jc w:val="center"/>
      </w:pPr>
    </w:p>
    <w:p w14:paraId="6B088C04" w14:textId="2624CD46" w:rsidR="0098410D" w:rsidRPr="00ED2791" w:rsidRDefault="000F3485" w:rsidP="0011320E">
      <w:pPr>
        <w:pStyle w:val="DecHTitle"/>
        <w:keepNext w:val="0"/>
        <w:keepLines w:val="0"/>
        <w:rPr>
          <w:lang w:val="bg-BG"/>
        </w:rPr>
      </w:pPr>
      <w:r>
        <w:t>ТРЕТ</w:t>
      </w:r>
      <w:r w:rsidR="00412084">
        <w:rPr>
          <w:lang w:val="bg-BG"/>
        </w:rPr>
        <w:t>А СЕКЦИЯ</w:t>
      </w:r>
    </w:p>
    <w:p w14:paraId="41F06BC4" w14:textId="4BEE97BD" w:rsidR="008E6217" w:rsidRPr="00AC38DE" w:rsidRDefault="000F3485" w:rsidP="0011320E">
      <w:pPr>
        <w:pStyle w:val="JuTitle"/>
        <w:keepNext w:val="0"/>
        <w:keepLines w:val="0"/>
      </w:pPr>
      <w:r w:rsidRPr="00AC38DE">
        <w:rPr>
          <w:color w:val="000000" w:themeColor="text1"/>
        </w:rPr>
        <w:t xml:space="preserve">ДЕЛО </w:t>
      </w:r>
      <w:r w:rsidR="002F2B60">
        <w:rPr>
          <w:lang w:val="bg-BG"/>
        </w:rPr>
        <w:t>ЗЕЛЕН</w:t>
      </w:r>
      <w:r w:rsidR="00ED2791">
        <w:t xml:space="preserve"> АЛИАНС</w:t>
      </w:r>
      <w:r w:rsidR="00304BC9">
        <w:t xml:space="preserve"> С</w:t>
      </w:r>
      <w:r w:rsidR="002F2B60">
        <w:rPr>
          <w:lang w:val="bg-BG"/>
        </w:rPr>
        <w:t>РЕЩ</w:t>
      </w:r>
      <w:r w:rsidR="00304BC9">
        <w:t>У БЪЛГАРИЯ</w:t>
      </w:r>
    </w:p>
    <w:p w14:paraId="3F6310D9" w14:textId="77777777" w:rsidR="00D74888" w:rsidRPr="00AC38DE" w:rsidRDefault="000F3485" w:rsidP="0011320E">
      <w:pPr>
        <w:pStyle w:val="ECHRCoverTitle4"/>
        <w:keepNext w:val="0"/>
        <w:keepLines w:val="0"/>
      </w:pPr>
      <w:r w:rsidRPr="00AC38DE">
        <w:t>(</w:t>
      </w:r>
      <w:r w:rsidR="00304BC9" w:rsidRPr="00AC38DE">
        <w:t>Жалба №</w:t>
      </w:r>
      <w:r w:rsidR="00304BC9">
        <w:t xml:space="preserve"> 6580/22</w:t>
      </w:r>
      <w:r w:rsidRPr="00AC38DE">
        <w:t>)</w:t>
      </w:r>
    </w:p>
    <w:p w14:paraId="568A3C15" w14:textId="77777777" w:rsidR="0098410D" w:rsidRPr="00AC38DE" w:rsidRDefault="0098410D" w:rsidP="0011320E">
      <w:pPr>
        <w:pStyle w:val="DecHCase"/>
        <w:keepNext w:val="0"/>
        <w:keepLines w:val="0"/>
      </w:pPr>
    </w:p>
    <w:p w14:paraId="102FD703" w14:textId="77777777" w:rsidR="0098410D" w:rsidRPr="00AC38DE" w:rsidRDefault="0098410D" w:rsidP="0011320E">
      <w:pPr>
        <w:pStyle w:val="DecHCase"/>
        <w:keepNext w:val="0"/>
        <w:keepLines w:val="0"/>
      </w:pPr>
    </w:p>
    <w:p w14:paraId="1658385A" w14:textId="77777777" w:rsidR="0098410D" w:rsidRPr="00AC38DE" w:rsidRDefault="000F3485" w:rsidP="0011320E">
      <w:pPr>
        <w:pStyle w:val="DecHCase"/>
        <w:keepNext w:val="0"/>
        <w:keepLines w:val="0"/>
      </w:pPr>
      <w:r w:rsidRPr="00AC38DE">
        <w:t>РЕШЕНИЕ</w:t>
      </w:r>
    </w:p>
    <w:p w14:paraId="51769941" w14:textId="62987B0E" w:rsidR="0011320E" w:rsidRDefault="000F3485" w:rsidP="00113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C5503">
        <w:t xml:space="preserve">Чл. 8 </w:t>
      </w:r>
      <w:r w:rsidRPr="00255AF3">
        <w:t xml:space="preserve">• </w:t>
      </w:r>
      <w:r w:rsidR="00412084">
        <w:rPr>
          <w:lang w:val="bg-BG"/>
        </w:rPr>
        <w:t>Жилище</w:t>
      </w:r>
      <w:r w:rsidRPr="00255AF3">
        <w:t xml:space="preserve"> • Кореспонденция • Недостатъци в правната рамка, позволяващи проникването на „</w:t>
      </w:r>
      <w:r w:rsidR="00636119">
        <w:rPr>
          <w:lang w:val="bg-BG"/>
        </w:rPr>
        <w:t>служители</w:t>
      </w:r>
      <w:r w:rsidR="00D838E2">
        <w:t xml:space="preserve"> на</w:t>
      </w:r>
      <w:r w:rsidRPr="00255AF3">
        <w:t xml:space="preserve"> прикритие“ в частни организации и „свободни професии“ • Прилагане по аналогия на принципите на съдебната практика, разработени във връзка с тайното наблюдение • Дейността на „</w:t>
      </w:r>
      <w:r w:rsidR="00636119">
        <w:rPr>
          <w:lang w:val="bg-BG"/>
        </w:rPr>
        <w:t>служител</w:t>
      </w:r>
      <w:r w:rsidRPr="00255AF3">
        <w:t xml:space="preserve"> </w:t>
      </w:r>
      <w:r w:rsidR="00D838E2">
        <w:rPr>
          <w:lang w:val="bg-BG"/>
        </w:rPr>
        <w:t>на</w:t>
      </w:r>
      <w:r w:rsidRPr="00255AF3">
        <w:t xml:space="preserve"> прикритие“ може да </w:t>
      </w:r>
      <w:r w:rsidR="00D838E2">
        <w:rPr>
          <w:lang w:val="bg-BG"/>
        </w:rPr>
        <w:t>бъде намеса в</w:t>
      </w:r>
      <w:r w:rsidRPr="00255AF3">
        <w:t xml:space="preserve"> правата на сдружение</w:t>
      </w:r>
      <w:r w:rsidR="00FE0C4F">
        <w:rPr>
          <w:lang w:val="bg-BG"/>
        </w:rPr>
        <w:t>то</w:t>
      </w:r>
      <w:r w:rsidR="00D838E2">
        <w:rPr>
          <w:lang w:val="bg-BG"/>
        </w:rPr>
        <w:t>-жалбоподател</w:t>
      </w:r>
      <w:r w:rsidRPr="00255AF3">
        <w:t xml:space="preserve"> • Самото съществуване на съответните разпоредби представлява нарушение на правата на </w:t>
      </w:r>
      <w:r w:rsidR="00CB7CC7" w:rsidRPr="00255AF3">
        <w:t>сдружение</w:t>
      </w:r>
      <w:r w:rsidR="00CB7CC7">
        <w:rPr>
          <w:lang w:val="bg-BG"/>
        </w:rPr>
        <w:t>то-жалбоподател</w:t>
      </w:r>
      <w:r w:rsidR="00CB7CC7" w:rsidRPr="00255AF3">
        <w:t xml:space="preserve"> </w:t>
      </w:r>
      <w:r w:rsidRPr="00255AF3">
        <w:t xml:space="preserve">• </w:t>
      </w:r>
      <w:r w:rsidRPr="005A3AAF">
        <w:t xml:space="preserve">Абстрактно </w:t>
      </w:r>
      <w:r w:rsidRPr="00255AF3">
        <w:t xml:space="preserve">разглеждане </w:t>
      </w:r>
      <w:r w:rsidRPr="005A3AAF">
        <w:t xml:space="preserve">на правната рамка </w:t>
      </w:r>
      <w:r w:rsidRPr="00255AF3">
        <w:t xml:space="preserve">• Липса на минимални гаранции срещу произвол и злоупотреба • </w:t>
      </w:r>
      <w:r>
        <w:t>Неизпълнено</w:t>
      </w:r>
      <w:r w:rsidRPr="00CC5503">
        <w:t xml:space="preserve"> изискване за качество на закона</w:t>
      </w:r>
    </w:p>
    <w:p w14:paraId="4DE2342B" w14:textId="77777777" w:rsidR="0011320E" w:rsidRPr="0011320E" w:rsidRDefault="0011320E" w:rsidP="00113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</w:p>
    <w:p w14:paraId="79F8427D" w14:textId="63BADFC8" w:rsidR="0011320E" w:rsidRDefault="00CB7CC7" w:rsidP="00113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0"/>
          <w:szCs w:val="20"/>
        </w:rPr>
        <w:t xml:space="preserve">Изготвено от </w:t>
      </w:r>
      <w:r>
        <w:rPr>
          <w:sz w:val="20"/>
          <w:szCs w:val="20"/>
          <w:lang w:val="bg-BG"/>
        </w:rPr>
        <w:t>Регистратурата</w:t>
      </w:r>
      <w:r w:rsidR="000F3485" w:rsidRPr="0011320E">
        <w:rPr>
          <w:sz w:val="20"/>
          <w:szCs w:val="20"/>
        </w:rPr>
        <w:t>. Не обвързва Съда</w:t>
      </w:r>
      <w:r w:rsidR="000F3485" w:rsidRPr="0011320E">
        <w:t>.</w:t>
      </w:r>
    </w:p>
    <w:p w14:paraId="441BB2B1" w14:textId="77777777" w:rsidR="0011320E" w:rsidRDefault="0011320E" w:rsidP="0011320E">
      <w:pPr>
        <w:pStyle w:val="DecHCase"/>
        <w:keepNext w:val="0"/>
        <w:keepLines w:val="0"/>
      </w:pPr>
    </w:p>
    <w:p w14:paraId="75A2FEBF" w14:textId="77777777" w:rsidR="0098410D" w:rsidRPr="00AC38DE" w:rsidRDefault="000F3485" w:rsidP="0011320E">
      <w:pPr>
        <w:pStyle w:val="DecHCase"/>
        <w:keepNext w:val="0"/>
        <w:keepLines w:val="0"/>
      </w:pPr>
      <w:r w:rsidRPr="00AC38DE">
        <w:t>СТРАСБУРГ</w:t>
      </w:r>
    </w:p>
    <w:p w14:paraId="5C2E2D95" w14:textId="6533C36E" w:rsidR="00E27264" w:rsidRDefault="000F3485" w:rsidP="00E27264">
      <w:pPr>
        <w:pStyle w:val="DecHCase"/>
        <w:keepNext w:val="0"/>
        <w:keepLines w:val="0"/>
      </w:pPr>
      <w:r>
        <w:t>17 февруари 2026 г.</w:t>
      </w:r>
    </w:p>
    <w:p w14:paraId="0DDD51D1" w14:textId="2F2D31BA" w:rsidR="00E27264" w:rsidRDefault="00E27264" w:rsidP="00E27264">
      <w:pPr>
        <w:pStyle w:val="JuPara"/>
        <w:jc w:val="center"/>
        <w:rPr>
          <w:b/>
          <w:color w:val="FF0000"/>
          <w:u w:val="single"/>
          <w:lang w:val="bg-BG"/>
        </w:rPr>
      </w:pPr>
      <w:r w:rsidRPr="00E27264">
        <w:rPr>
          <w:b/>
          <w:color w:val="FF0000"/>
          <w:u w:val="single"/>
          <w:lang w:val="bg-BG"/>
        </w:rPr>
        <w:t>ОКОНЧАТЕЛНО</w:t>
      </w:r>
    </w:p>
    <w:p w14:paraId="73D96D9B" w14:textId="77777777" w:rsidR="00E27264" w:rsidRPr="00E27264" w:rsidRDefault="00E27264" w:rsidP="00E27264">
      <w:pPr>
        <w:pStyle w:val="JuPara"/>
        <w:jc w:val="center"/>
        <w:rPr>
          <w:b/>
          <w:color w:val="FF0000"/>
          <w:u w:val="single"/>
          <w:lang w:val="bg-BG"/>
        </w:rPr>
      </w:pPr>
    </w:p>
    <w:p w14:paraId="0C6725CB" w14:textId="6FA9CE40" w:rsidR="00E27264" w:rsidRDefault="00E27264" w:rsidP="00E27264">
      <w:pPr>
        <w:pStyle w:val="JuPara"/>
        <w:jc w:val="center"/>
        <w:rPr>
          <w:color w:val="FF0000"/>
          <w:lang w:val="bg-BG"/>
        </w:rPr>
      </w:pPr>
      <w:r w:rsidRPr="00E27264">
        <w:rPr>
          <w:color w:val="FF0000"/>
          <w:lang w:val="bg-BG"/>
        </w:rPr>
        <w:t>17/05/2026</w:t>
      </w:r>
    </w:p>
    <w:p w14:paraId="605A5300" w14:textId="77777777" w:rsidR="00494057" w:rsidRPr="00E27264" w:rsidRDefault="00494057" w:rsidP="00E27264">
      <w:pPr>
        <w:pStyle w:val="JuPara"/>
        <w:jc w:val="center"/>
        <w:rPr>
          <w:color w:val="FF0000"/>
          <w:lang w:val="bg-BG"/>
        </w:rPr>
      </w:pPr>
    </w:p>
    <w:p w14:paraId="5C6137E8" w14:textId="7FC68A9A" w:rsidR="002422B6" w:rsidRPr="00E27264" w:rsidRDefault="000F3485" w:rsidP="00494057">
      <w:pPr>
        <w:jc w:val="center"/>
        <w:rPr>
          <w:i/>
          <w:sz w:val="22"/>
          <w:lang w:val="bg-BG"/>
        </w:rPr>
      </w:pPr>
      <w:r w:rsidRPr="00E27264">
        <w:rPr>
          <w:i/>
          <w:sz w:val="22"/>
          <w:lang w:val="bg-BG"/>
        </w:rPr>
        <w:t xml:space="preserve">Настоящото решение </w:t>
      </w:r>
      <w:r w:rsidR="00494057">
        <w:rPr>
          <w:i/>
          <w:sz w:val="22"/>
          <w:lang w:val="bg-BG"/>
        </w:rPr>
        <w:t>е станало окончателно</w:t>
      </w:r>
      <w:r w:rsidR="00304BC9" w:rsidRPr="00E27264">
        <w:rPr>
          <w:i/>
          <w:sz w:val="22"/>
          <w:lang w:val="bg-BG"/>
        </w:rPr>
        <w:t xml:space="preserve"> при условията, </w:t>
      </w:r>
      <w:r w:rsidR="00494057">
        <w:rPr>
          <w:i/>
          <w:sz w:val="22"/>
          <w:lang w:val="bg-BG"/>
        </w:rPr>
        <w:t>предвидени</w:t>
      </w:r>
      <w:r w:rsidR="00304BC9" w:rsidRPr="00E27264">
        <w:rPr>
          <w:i/>
          <w:sz w:val="22"/>
          <w:lang w:val="bg-BG"/>
        </w:rPr>
        <w:t xml:space="preserve"> в член 44</w:t>
      </w:r>
      <w:r w:rsidR="00494057">
        <w:rPr>
          <w:i/>
          <w:sz w:val="22"/>
          <w:lang w:val="bg-BG"/>
        </w:rPr>
        <w:t xml:space="preserve"> §</w:t>
      </w:r>
      <w:r w:rsidR="00304BC9" w:rsidRPr="00E27264">
        <w:rPr>
          <w:i/>
          <w:sz w:val="22"/>
          <w:lang w:val="bg-BG"/>
        </w:rPr>
        <w:t xml:space="preserve"> 2 от Конвенцията. То </w:t>
      </w:r>
      <w:r w:rsidRPr="00E27264">
        <w:rPr>
          <w:i/>
          <w:sz w:val="22"/>
          <w:lang w:val="bg-BG"/>
        </w:rPr>
        <w:t>мож</w:t>
      </w:r>
      <w:r w:rsidR="00494057">
        <w:rPr>
          <w:i/>
          <w:sz w:val="22"/>
          <w:lang w:val="bg-BG"/>
        </w:rPr>
        <w:t>е да бъде предмет на редакционни</w:t>
      </w:r>
      <w:r w:rsidRPr="00E27264">
        <w:rPr>
          <w:i/>
          <w:sz w:val="22"/>
          <w:lang w:val="bg-BG"/>
        </w:rPr>
        <w:t xml:space="preserve"> </w:t>
      </w:r>
      <w:r w:rsidR="00494057">
        <w:rPr>
          <w:i/>
          <w:sz w:val="22"/>
          <w:lang w:val="bg-BG"/>
        </w:rPr>
        <w:t>промени</w:t>
      </w:r>
      <w:r w:rsidRPr="00E27264">
        <w:rPr>
          <w:i/>
          <w:sz w:val="22"/>
          <w:lang w:val="bg-BG"/>
        </w:rPr>
        <w:t>.</w:t>
      </w:r>
    </w:p>
    <w:p w14:paraId="18AAAF3A" w14:textId="77777777" w:rsidR="00314B21" w:rsidRPr="00E27264" w:rsidRDefault="00314B21" w:rsidP="0011320E">
      <w:pPr>
        <w:rPr>
          <w:iCs/>
          <w:sz w:val="22"/>
          <w:lang w:val="bg-BG"/>
        </w:rPr>
        <w:sectPr w:rsidR="00314B21" w:rsidRPr="00E27264" w:rsidSect="00E27264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1135" w:right="2274" w:bottom="2274" w:left="2274" w:header="709" w:footer="720" w:gutter="0"/>
          <w:pgNumType w:start="1"/>
          <w:cols w:space="720"/>
          <w:noEndnote/>
          <w:titlePg/>
        </w:sectPr>
      </w:pPr>
    </w:p>
    <w:p w14:paraId="671105C8" w14:textId="77777777" w:rsidR="00314B21" w:rsidRPr="00E27264" w:rsidRDefault="000F3485" w:rsidP="00314B21">
      <w:pPr>
        <w:pStyle w:val="TOCHeading"/>
        <w:rPr>
          <w:lang w:val="bg-BG"/>
        </w:rPr>
      </w:pPr>
      <w:r w:rsidRPr="00E27264">
        <w:rPr>
          <w:lang w:val="bg-BG"/>
        </w:rPr>
        <w:lastRenderedPageBreak/>
        <w:t>СЪДЪРЖАНИЕ</w:t>
      </w:r>
    </w:p>
    <w:p w14:paraId="79E8CC88" w14:textId="44317225" w:rsidR="009178E0" w:rsidRDefault="000F3485">
      <w:pPr>
        <w:pStyle w:val="TOC1"/>
        <w:rPr>
          <w:rFonts w:eastAsiaTheme="minorEastAsia"/>
          <w:b w:val="0"/>
          <w:noProof/>
          <w:sz w:val="22"/>
          <w:szCs w:val="22"/>
          <w:lang w:val="bg-BG" w:eastAsia="bg-BG"/>
        </w:rPr>
      </w:pPr>
      <w:r>
        <w:fldChar w:fldCharType="begin"/>
      </w:r>
      <w:r>
        <w:instrText xml:space="preserve"> TOC \o "1-8" \h \z \u </w:instrText>
      </w:r>
      <w:r>
        <w:fldChar w:fldCharType="separate"/>
      </w:r>
      <w:hyperlink w:anchor="_Toc232688237" w:history="1">
        <w:r w:rsidR="009178E0" w:rsidRPr="00BA43F2">
          <w:rPr>
            <w:rStyle w:val="Hyperlink"/>
            <w:noProof/>
          </w:rPr>
          <w:t>ВЪВЕДЕНИЕ</w:t>
        </w:r>
        <w:r w:rsidR="009178E0">
          <w:rPr>
            <w:noProof/>
            <w:webHidden/>
          </w:rPr>
          <w:tab/>
        </w:r>
        <w:r w:rsidR="009178E0">
          <w:rPr>
            <w:noProof/>
            <w:webHidden/>
          </w:rPr>
          <w:fldChar w:fldCharType="begin"/>
        </w:r>
        <w:r w:rsidR="009178E0">
          <w:rPr>
            <w:noProof/>
            <w:webHidden/>
          </w:rPr>
          <w:instrText xml:space="preserve"> PAGEREF _Toc232688237 \h </w:instrText>
        </w:r>
        <w:r w:rsidR="009178E0">
          <w:rPr>
            <w:noProof/>
            <w:webHidden/>
          </w:rPr>
        </w:r>
        <w:r w:rsidR="009178E0">
          <w:rPr>
            <w:noProof/>
            <w:webHidden/>
          </w:rPr>
          <w:fldChar w:fldCharType="separate"/>
        </w:r>
        <w:r w:rsidR="009178E0">
          <w:rPr>
            <w:noProof/>
            <w:webHidden/>
          </w:rPr>
          <w:t>1</w:t>
        </w:r>
        <w:r w:rsidR="009178E0">
          <w:rPr>
            <w:noProof/>
            <w:webHidden/>
          </w:rPr>
          <w:fldChar w:fldCharType="end"/>
        </w:r>
      </w:hyperlink>
    </w:p>
    <w:p w14:paraId="72FB7D88" w14:textId="3C4AE9EC" w:rsidR="009178E0" w:rsidRDefault="009178E0">
      <w:pPr>
        <w:pStyle w:val="TOC1"/>
        <w:rPr>
          <w:rFonts w:eastAsiaTheme="minorEastAsia"/>
          <w:b w:val="0"/>
          <w:noProof/>
          <w:sz w:val="22"/>
          <w:szCs w:val="22"/>
          <w:lang w:val="bg-BG" w:eastAsia="bg-BG"/>
        </w:rPr>
      </w:pPr>
      <w:hyperlink w:anchor="_Toc232688238" w:history="1">
        <w:r w:rsidRPr="00BA43F2">
          <w:rPr>
            <w:rStyle w:val="Hyperlink"/>
            <w:noProof/>
          </w:rPr>
          <w:t>ФАКТИ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50BD28D" w14:textId="5550F5A2" w:rsidR="009178E0" w:rsidRDefault="009178E0">
      <w:pPr>
        <w:pStyle w:val="TOC2"/>
        <w:tabs>
          <w:tab w:val="left" w:pos="68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39" w:history="1">
        <w:r w:rsidRPr="00BA43F2">
          <w:rPr>
            <w:rStyle w:val="Hyperlink"/>
            <w:noProof/>
          </w:rPr>
          <w:t>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СДРУЖЕНИЕТО-жалбоподател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19946B6" w14:textId="207B7221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0" w:history="1">
        <w:r w:rsidRPr="00BA43F2">
          <w:rPr>
            <w:rStyle w:val="Hyperlink"/>
            <w:noProof/>
          </w:rPr>
          <w:t>II.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ПРАВИЛАТА ЗА „</w:t>
        </w:r>
        <w:r w:rsidRPr="00BA43F2">
          <w:rPr>
            <w:rStyle w:val="Hyperlink"/>
            <w:noProof/>
            <w:lang w:val="bg-BG"/>
          </w:rPr>
          <w:t>служители НА</w:t>
        </w:r>
        <w:r w:rsidRPr="00BA43F2">
          <w:rPr>
            <w:rStyle w:val="Hyperlink"/>
            <w:noProof/>
          </w:rPr>
          <w:t xml:space="preserve"> </w:t>
        </w:r>
        <w:r w:rsidRPr="00BA43F2">
          <w:rPr>
            <w:rStyle w:val="Hyperlink"/>
            <w:noProof/>
            <w:lang w:val="bg-BG"/>
          </w:rPr>
          <w:t>прикритие</w:t>
        </w:r>
        <w:r w:rsidRPr="00BA43F2">
          <w:rPr>
            <w:rStyle w:val="Hyperlink"/>
            <w:noProof/>
          </w:rPr>
          <w:t>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3A85A4" w14:textId="24D1769D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1" w:history="1">
        <w:r w:rsidRPr="00BA43F2">
          <w:rPr>
            <w:rStyle w:val="Hyperlink"/>
            <w:noProof/>
          </w:rPr>
          <w:t>A.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 xml:space="preserve">Както са били </w:t>
        </w:r>
        <w:r w:rsidRPr="00BA43F2">
          <w:rPr>
            <w:rStyle w:val="Hyperlink"/>
            <w:noProof/>
            <w:lang w:val="bg-BG"/>
          </w:rPr>
          <w:t>приети</w:t>
        </w:r>
        <w:r w:rsidRPr="00BA43F2">
          <w:rPr>
            <w:rStyle w:val="Hyperlink"/>
            <w:noProof/>
          </w:rPr>
          <w:t xml:space="preserve"> първоначално през 2008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25B008" w14:textId="5E877CCC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2" w:history="1">
        <w:r w:rsidRPr="00BA43F2">
          <w:rPr>
            <w:rStyle w:val="Hyperlink"/>
            <w:noProof/>
          </w:rPr>
          <w:t>B.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Измененията от 2018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DEF960" w14:textId="102D2E34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3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Предложение на Агенцията за тези изменения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11A2E0" w14:textId="4863D8B9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4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Обществено обсъждане на предложението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A264C2" w14:textId="633E1AC9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5" w:history="1">
        <w:r w:rsidRPr="00BA43F2">
          <w:rPr>
            <w:rStyle w:val="Hyperlink"/>
            <w:noProof/>
          </w:rPr>
          <w:t>(a)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Коментари на Българския хелзинкски комитет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004A35" w14:textId="08676AC9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6" w:history="1">
        <w:r w:rsidRPr="00BA43F2">
          <w:rPr>
            <w:rStyle w:val="Hyperlink"/>
            <w:noProof/>
          </w:rPr>
          <w:t>(b)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Коментари на Висшия адвокатски съвет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32BA406" w14:textId="68064135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7" w:history="1">
        <w:r w:rsidRPr="00BA43F2">
          <w:rPr>
            <w:rStyle w:val="Hyperlink"/>
            <w:noProof/>
          </w:rPr>
          <w:t>(c)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Отговор на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C407309" w14:textId="3BD788D9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8" w:history="1">
        <w:r w:rsidRPr="00BA43F2">
          <w:rPr>
            <w:rStyle w:val="Hyperlink"/>
            <w:noProof/>
          </w:rPr>
          <w:t>(d)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Приемане на измененията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8A2005" w14:textId="42A8BD97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49" w:history="1">
        <w:r w:rsidRPr="00BA43F2">
          <w:rPr>
            <w:rStyle w:val="Hyperlink"/>
            <w:noProof/>
          </w:rPr>
          <w:t>3.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Текст на измененията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FB547A" w14:textId="76ECC07E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0" w:history="1">
        <w:r w:rsidRPr="00BA43F2">
          <w:rPr>
            <w:rStyle w:val="Hyperlink"/>
            <w:noProof/>
            <w:lang w:val="bg-BG"/>
          </w:rPr>
          <w:t>III.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СЪДЕБЕН КОНТРОЛ НА ИЗМЕНЕНИЯТА В ПРАВИЛНИКА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E4C57A" w14:textId="66DF6A39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1" w:history="1">
        <w:r w:rsidRPr="00BA43F2">
          <w:rPr>
            <w:rStyle w:val="Hyperlink"/>
            <w:noProof/>
          </w:rPr>
          <w:t>A.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 xml:space="preserve">На </w:t>
        </w:r>
        <w:r w:rsidRPr="00BA43F2">
          <w:rPr>
            <w:rStyle w:val="Hyperlink"/>
            <w:noProof/>
          </w:rPr>
          <w:t>първа инстанция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78CE96" w14:textId="06F18B86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2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Ход на производството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09A0E4F" w14:textId="4A383154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3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Решение на Върховния административен съд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23C0EA" w14:textId="1D319114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4" w:history="1">
        <w:r w:rsidRPr="00BA43F2">
          <w:rPr>
            <w:rStyle w:val="Hyperlink"/>
            <w:noProof/>
          </w:rPr>
          <w:t>B.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При обжалване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ACD782" w14:textId="57EE3D57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5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Ход на производството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8D44B81" w14:textId="3AF28F19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6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Решение на Върховния административен съд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614CF6" w14:textId="15E0B3BE" w:rsidR="009178E0" w:rsidRDefault="009178E0">
      <w:pPr>
        <w:pStyle w:val="TOC1"/>
        <w:rPr>
          <w:rFonts w:eastAsiaTheme="minorEastAsia"/>
          <w:b w:val="0"/>
          <w:noProof/>
          <w:sz w:val="22"/>
          <w:szCs w:val="22"/>
          <w:lang w:val="bg-BG" w:eastAsia="bg-BG"/>
        </w:rPr>
      </w:pPr>
      <w:hyperlink w:anchor="_Toc232688257" w:history="1">
        <w:r w:rsidRPr="00BA43F2">
          <w:rPr>
            <w:rStyle w:val="Hyperlink"/>
            <w:noProof/>
          </w:rPr>
          <w:t>ПРИЛОЖИМА ПРАВ</w:t>
        </w:r>
        <w:r w:rsidRPr="00BA43F2">
          <w:rPr>
            <w:rStyle w:val="Hyperlink"/>
            <w:noProof/>
          </w:rPr>
          <w:t>Н</w:t>
        </w:r>
        <w:r w:rsidRPr="00BA43F2">
          <w:rPr>
            <w:rStyle w:val="Hyperlink"/>
            <w:noProof/>
          </w:rPr>
          <w:t>А РАМКА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6D23C93" w14:textId="3F871308" w:rsidR="009178E0" w:rsidRDefault="009178E0">
      <w:pPr>
        <w:pStyle w:val="TOC2"/>
        <w:tabs>
          <w:tab w:val="left" w:pos="68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8" w:history="1">
        <w:r w:rsidRPr="00BA43F2">
          <w:rPr>
            <w:rStyle w:val="Hyperlink"/>
            <w:noProof/>
          </w:rPr>
          <w:t>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ЗАКОН ОТ 2007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6AD0FC" w14:textId="42324B86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59" w:history="1">
        <w:r w:rsidRPr="00BA43F2">
          <w:rPr>
            <w:rStyle w:val="Hyperlink"/>
            <w:noProof/>
          </w:rPr>
          <w:t>A.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Агенцията, нейните задачи и правомощия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E01781" w14:textId="3D7F9119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0" w:history="1">
        <w:r w:rsidRPr="00BA43F2">
          <w:rPr>
            <w:rStyle w:val="Hyperlink"/>
            <w:noProof/>
            <w:lang w:val="bg-BG"/>
          </w:rPr>
          <w:t>B.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„Служители на прикритие“, използвани от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F2A666" w14:textId="1A55E5F7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1" w:history="1">
        <w:r w:rsidRPr="00BA43F2">
          <w:rPr>
            <w:rStyle w:val="Hyperlink"/>
            <w:noProof/>
          </w:rPr>
          <w:t>C.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Информатори, наети от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8E67E88" w14:textId="69E30084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2" w:history="1">
        <w:r w:rsidRPr="00BA43F2">
          <w:rPr>
            <w:rStyle w:val="Hyperlink"/>
            <w:noProof/>
          </w:rPr>
          <w:t>D.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Обработка на данни от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D90FB54" w14:textId="0C6607F2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3" w:history="1">
        <w:r w:rsidRPr="00BA43F2">
          <w:rPr>
            <w:rStyle w:val="Hyperlink"/>
            <w:noProof/>
          </w:rPr>
          <w:t>E.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Общ надзор върху работата на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E0689C6" w14:textId="21AE4F9A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4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От Парламента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BE05CFA" w14:textId="46FCC68E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5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От правителството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95BB9D0" w14:textId="2980C4F0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6" w:history="1">
        <w:r w:rsidRPr="00BA43F2">
          <w:rPr>
            <w:rStyle w:val="Hyperlink"/>
            <w:noProof/>
          </w:rPr>
          <w:t>3.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От президента на републиката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EF435FB" w14:textId="79BA4961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7" w:history="1">
        <w:r w:rsidRPr="00BA43F2">
          <w:rPr>
            <w:rStyle w:val="Hyperlink"/>
            <w:noProof/>
          </w:rPr>
          <w:t>F.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Достъп до лични данни, обработвани от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9C7BAB9" w14:textId="63BAFF9A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8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 xml:space="preserve">Съответни законови </w:t>
        </w:r>
        <w:r w:rsidRPr="00BA43F2">
          <w:rPr>
            <w:rStyle w:val="Hyperlink"/>
            <w:noProof/>
            <w:lang w:val="bg-BG"/>
          </w:rPr>
          <w:t xml:space="preserve">и позакнови </w:t>
        </w:r>
        <w:r w:rsidRPr="00BA43F2">
          <w:rPr>
            <w:rStyle w:val="Hyperlink"/>
            <w:noProof/>
          </w:rPr>
          <w:t>разпоредби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E530B32" w14:textId="78C6FE11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69" w:history="1">
        <w:r w:rsidRPr="00BA43F2">
          <w:rPr>
            <w:rStyle w:val="Hyperlink"/>
            <w:noProof/>
            <w:lang w:val="bg-BG"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Съдебна практика на българските съдилища по тези разпоредби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2E15BA7" w14:textId="7C638352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0" w:history="1">
        <w:r w:rsidRPr="00BA43F2">
          <w:rPr>
            <w:rStyle w:val="Hyperlink"/>
            <w:noProof/>
          </w:rPr>
          <w:t>(a)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Дело от 2012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A85CB04" w14:textId="1B974673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1" w:history="1">
        <w:r w:rsidRPr="00BA43F2">
          <w:rPr>
            <w:rStyle w:val="Hyperlink"/>
            <w:noProof/>
          </w:rPr>
          <w:t>(b)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 xml:space="preserve">Дело </w:t>
        </w:r>
        <w:r w:rsidRPr="00BA43F2">
          <w:rPr>
            <w:rStyle w:val="Hyperlink"/>
            <w:noProof/>
            <w:lang w:val="bg-BG"/>
          </w:rPr>
          <w:t xml:space="preserve">от </w:t>
        </w:r>
        <w:r w:rsidRPr="00BA43F2">
          <w:rPr>
            <w:rStyle w:val="Hyperlink"/>
            <w:noProof/>
          </w:rPr>
          <w:t>2014-18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9CA3EE2" w14:textId="2C01AD4C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2" w:history="1">
        <w:r w:rsidRPr="00BA43F2">
          <w:rPr>
            <w:rStyle w:val="Hyperlink"/>
            <w:noProof/>
            <w:lang w:val="bg-BG"/>
          </w:rPr>
          <w:t>(c)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Първо дело от 2021-22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EDB2331" w14:textId="4BDF6CB4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3" w:history="1">
        <w:r w:rsidRPr="00BA43F2">
          <w:rPr>
            <w:rStyle w:val="Hyperlink"/>
            <w:noProof/>
          </w:rPr>
          <w:t>(d)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Втор</w:t>
        </w:r>
        <w:r w:rsidRPr="00BA43F2">
          <w:rPr>
            <w:rStyle w:val="Hyperlink"/>
            <w:noProof/>
          </w:rPr>
          <w:t>о</w:t>
        </w:r>
        <w:r w:rsidRPr="00BA43F2">
          <w:rPr>
            <w:rStyle w:val="Hyperlink"/>
            <w:noProof/>
          </w:rPr>
          <w:t xml:space="preserve"> дело от 2021-22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7E1E664" w14:textId="1DC19066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4" w:history="1">
        <w:r w:rsidRPr="00BA43F2">
          <w:rPr>
            <w:rStyle w:val="Hyperlink"/>
            <w:noProof/>
          </w:rPr>
          <w:t>(e)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Дело 2024</w:t>
        </w:r>
        <w:r w:rsidRPr="00BA43F2">
          <w:rPr>
            <w:rStyle w:val="Hyperlink"/>
            <w:noProof/>
            <w:lang w:val="bg-BG"/>
          </w:rPr>
          <w:t xml:space="preserve">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0507121" w14:textId="7AF7C3C6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5" w:history="1">
        <w:r w:rsidRPr="00BA43F2">
          <w:rPr>
            <w:rStyle w:val="Hyperlink"/>
            <w:noProof/>
            <w:lang w:val="bg-BG"/>
          </w:rPr>
          <w:t>G.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Надзор върху обработването на лични данни от Агенцията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910E0EB" w14:textId="5AC0D464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6" w:history="1">
        <w:r w:rsidRPr="00BA43F2">
          <w:rPr>
            <w:rStyle w:val="Hyperlink"/>
            <w:noProof/>
            <w:lang w:val="bg-BG"/>
          </w:rPr>
          <w:t>II.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ЗАКОН ЗА СПЕЦИАЛНИТЕ РАЗУЗНАВАТЕЛНИ средства ОТ 1997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79180B8" w14:textId="1B328D2C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7" w:history="1">
        <w:r w:rsidRPr="00BA43F2">
          <w:rPr>
            <w:rStyle w:val="Hyperlink"/>
            <w:noProof/>
            <w:lang w:val="bg-BG"/>
          </w:rPr>
          <w:t>III.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ЗАКОН ЗА УПРАВЛЕНИЕ И ФУНКЦИОНИРАНЕ НА СИСТЕМАТА ЗА ЗАЩИТА НА НАЦИОНАЛНАТА СИГУРНОСТ ОТ 2015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403FB85" w14:textId="031B0EE1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8" w:history="1">
        <w:r w:rsidRPr="00BA43F2">
          <w:rPr>
            <w:rStyle w:val="Hyperlink"/>
            <w:noProof/>
            <w:lang w:val="bg-BG"/>
          </w:rPr>
          <w:t>IV.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ЗАКОН ЗА ЗАЩИТА НА ЛИЧНИТЕ ДАННИ ОТ 2002 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7D4EDA4" w14:textId="782A6BBB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79" w:history="1">
        <w:r w:rsidRPr="00BA43F2">
          <w:rPr>
            <w:rStyle w:val="Hyperlink"/>
            <w:noProof/>
          </w:rPr>
          <w:t>A.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Обхват на приложение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EAD7BA0" w14:textId="5045CCF5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0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Ratione personae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06C9B2B" w14:textId="2A10E699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1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Прилагане към обработката за целите на националната сигурност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18985A2" w14:textId="060DC42E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2" w:history="1">
        <w:r w:rsidRPr="00BA43F2">
          <w:rPr>
            <w:rStyle w:val="Hyperlink"/>
            <w:noProof/>
            <w:lang w:val="bg-BG"/>
          </w:rPr>
          <w:t>B.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Право на достъп до лични данни и ограничения на това право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3D8567E" w14:textId="1EBEE7C0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3" w:history="1">
        <w:r w:rsidRPr="00BA43F2">
          <w:rPr>
            <w:rStyle w:val="Hyperlink"/>
            <w:noProof/>
            <w:lang w:val="bg-BG"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 xml:space="preserve">По отношение на обработката, попадаща в обхвата на </w:t>
        </w:r>
        <w:r w:rsidRPr="00BA43F2">
          <w:rPr>
            <w:rStyle w:val="Hyperlink"/>
            <w:noProof/>
          </w:rPr>
          <w:t>GDPR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D7AF3EC" w14:textId="1260609D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4" w:history="1">
        <w:r w:rsidRPr="00BA43F2">
          <w:rPr>
            <w:rStyle w:val="Hyperlink"/>
            <w:noProof/>
            <w:lang w:val="bg-BG"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По отношение на обработката от органите за целите на правоприлагането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0EC5789" w14:textId="33F86718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5" w:history="1">
        <w:r w:rsidRPr="00BA43F2">
          <w:rPr>
            <w:rStyle w:val="Hyperlink"/>
            <w:noProof/>
          </w:rPr>
          <w:t>C.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Надзорен орган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5E70274" w14:textId="56778161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6" w:history="1">
        <w:r w:rsidRPr="00BA43F2">
          <w:rPr>
            <w:rStyle w:val="Hyperlink"/>
            <w:noProof/>
          </w:rPr>
          <w:t>D.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Правни средства за</w:t>
        </w:r>
        <w:r w:rsidRPr="00BA43F2">
          <w:rPr>
            <w:rStyle w:val="Hyperlink"/>
            <w:noProof/>
          </w:rPr>
          <w:t xml:space="preserve"> защита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A55F442" w14:textId="0D2D39DB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7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По отношение на обработката, попадаща в обхвата на GDPR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E8852D4" w14:textId="42E33F79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8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По отношение на обработката от органите за целите на правоприлагането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EDE7A77" w14:textId="6E339FD1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89" w:history="1">
        <w:r w:rsidRPr="00BA43F2">
          <w:rPr>
            <w:rStyle w:val="Hyperlink"/>
            <w:noProof/>
          </w:rPr>
          <w:t>V.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АДМИНИСТРАТИВНОПРОЦЕСУАЛЕН КОДЕКС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80CECD7" w14:textId="2FE738BB" w:rsidR="009178E0" w:rsidRDefault="009178E0">
      <w:pPr>
        <w:pStyle w:val="TOC1"/>
        <w:rPr>
          <w:rFonts w:eastAsiaTheme="minorEastAsia"/>
          <w:b w:val="0"/>
          <w:noProof/>
          <w:sz w:val="22"/>
          <w:szCs w:val="22"/>
          <w:lang w:val="bg-BG" w:eastAsia="bg-BG"/>
        </w:rPr>
      </w:pPr>
      <w:hyperlink w:anchor="_Toc232688290" w:history="1">
        <w:r w:rsidRPr="00BA43F2">
          <w:rPr>
            <w:rStyle w:val="Hyperlink"/>
            <w:noProof/>
            <w:lang w:val="bg-BG"/>
          </w:rPr>
          <w:t>ПРАВОТО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2E6C422" w14:textId="762EEF7E" w:rsidR="009178E0" w:rsidRDefault="009178E0">
      <w:pPr>
        <w:pStyle w:val="TOC2"/>
        <w:tabs>
          <w:tab w:val="left" w:pos="68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1" w:history="1">
        <w:r w:rsidRPr="00BA43F2">
          <w:rPr>
            <w:rStyle w:val="Hyperlink"/>
            <w:noProof/>
          </w:rPr>
          <w:t>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ТВЪРДЯНО</w:t>
        </w:r>
        <w:r w:rsidRPr="00BA43F2">
          <w:rPr>
            <w:rStyle w:val="Hyperlink"/>
            <w:noProof/>
          </w:rPr>
          <w:t xml:space="preserve"> НАРУШЕНИЕ НА ЧЛЕН 8 ОТ КОНВЕНЦИЯТА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9FEFF87" w14:textId="1463FA54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2" w:history="1">
        <w:r w:rsidRPr="00BA43F2">
          <w:rPr>
            <w:rStyle w:val="Hyperlink"/>
            <w:noProof/>
          </w:rPr>
          <w:t>A.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Допустимост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69DBA35" w14:textId="2CB7AD51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3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Изложенията на страните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BFD46C3" w14:textId="5FCB3E5E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4" w:history="1">
        <w:r w:rsidRPr="00BA43F2">
          <w:rPr>
            <w:rStyle w:val="Hyperlink"/>
            <w:noProof/>
          </w:rPr>
          <w:t>(a)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Статут на жертва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E9099ED" w14:textId="11F8E7A3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5" w:history="1">
        <w:r w:rsidRPr="00BA43F2">
          <w:rPr>
            <w:rStyle w:val="Hyperlink"/>
            <w:noProof/>
          </w:rPr>
          <w:t>(b)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Изчерпване на вътрешните правни средства за защита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C6E194D" w14:textId="4C3467B0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6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 xml:space="preserve">Преценката </w:t>
        </w:r>
        <w:r w:rsidRPr="00BA43F2">
          <w:rPr>
            <w:rStyle w:val="Hyperlink"/>
            <w:noProof/>
          </w:rPr>
          <w:t>на Съда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6CD70B8" w14:textId="48CBF5DF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7" w:history="1">
        <w:r w:rsidRPr="00BA43F2">
          <w:rPr>
            <w:rStyle w:val="Hyperlink"/>
            <w:noProof/>
          </w:rPr>
          <w:t>(a)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Статут на жертва и изчерпване на вътрешните правни средства за защита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26A2333" w14:textId="094BEBC4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8" w:history="1">
        <w:r w:rsidRPr="00BA43F2">
          <w:rPr>
            <w:rStyle w:val="Hyperlink"/>
            <w:noProof/>
          </w:rPr>
          <w:t>(b)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Заключение относно допустимостта на жалбата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CD54BFE" w14:textId="472D4862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299" w:history="1">
        <w:r w:rsidRPr="00BA43F2">
          <w:rPr>
            <w:rStyle w:val="Hyperlink"/>
            <w:noProof/>
          </w:rPr>
          <w:t>B.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По с</w:t>
        </w:r>
        <w:r w:rsidRPr="00BA43F2">
          <w:rPr>
            <w:rStyle w:val="Hyperlink"/>
            <w:noProof/>
          </w:rPr>
          <w:t>ъщество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4DD141D7" w14:textId="3F135A29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0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Статут на жертва и наличието на намеса в правата, защитени съгласно член 8 от Конвенцията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FD7A49A" w14:textId="7897CB01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1" w:history="1">
        <w:r w:rsidRPr="00BA43F2">
          <w:rPr>
            <w:rStyle w:val="Hyperlink"/>
            <w:noProof/>
          </w:rPr>
          <w:t>(a)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Становищата</w:t>
        </w:r>
        <w:r w:rsidRPr="00BA43F2">
          <w:rPr>
            <w:rStyle w:val="Hyperlink"/>
            <w:noProof/>
          </w:rPr>
          <w:t xml:space="preserve"> на страните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ED29D6F" w14:textId="4082D326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2" w:history="1">
        <w:r w:rsidRPr="00BA43F2">
          <w:rPr>
            <w:rStyle w:val="Hyperlink"/>
            <w:noProof/>
            <w:lang w:bidi="en-US"/>
          </w:rPr>
          <w:t>(i)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 w:bidi="en-US"/>
          </w:rPr>
          <w:t>Сдружението-жалбоподател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0EE7DF9" w14:textId="23712706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3" w:history="1">
        <w:r w:rsidRPr="00BA43F2">
          <w:rPr>
            <w:rStyle w:val="Hyperlink"/>
            <w:noProof/>
            <w:lang w:bidi="en-US"/>
          </w:rPr>
          <w:t>(ii)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Правителството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8637A58" w14:textId="37562016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4" w:history="1">
        <w:r w:rsidRPr="00BA43F2">
          <w:rPr>
            <w:rStyle w:val="Hyperlink"/>
            <w:noProof/>
          </w:rPr>
          <w:t>(b)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 xml:space="preserve">Преценката </w:t>
        </w:r>
        <w:r w:rsidRPr="00BA43F2">
          <w:rPr>
            <w:rStyle w:val="Hyperlink"/>
            <w:noProof/>
          </w:rPr>
          <w:t>на Съда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B596759" w14:textId="1E064EEB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5" w:history="1">
        <w:r w:rsidRPr="00BA43F2">
          <w:rPr>
            <w:rStyle w:val="Hyperlink"/>
            <w:noProof/>
            <w:lang w:bidi="en-US"/>
          </w:rPr>
          <w:t>(i)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 xml:space="preserve">Може ли </w:t>
        </w:r>
        <w:r w:rsidRPr="00BA43F2">
          <w:rPr>
            <w:rStyle w:val="Hyperlink"/>
            <w:noProof/>
            <w:lang w:val="bg-BG" w:bidi="en-US"/>
          </w:rPr>
          <w:t>работата</w:t>
        </w:r>
        <w:r w:rsidRPr="00BA43F2">
          <w:rPr>
            <w:rStyle w:val="Hyperlink"/>
            <w:noProof/>
            <w:lang w:bidi="en-US"/>
          </w:rPr>
          <w:t xml:space="preserve"> на „</w:t>
        </w:r>
        <w:r w:rsidRPr="00BA43F2">
          <w:rPr>
            <w:rStyle w:val="Hyperlink"/>
            <w:noProof/>
            <w:lang w:val="bg-BG" w:bidi="en-US"/>
          </w:rPr>
          <w:t>служител на прикритие</w:t>
        </w:r>
        <w:r w:rsidRPr="00BA43F2">
          <w:rPr>
            <w:rStyle w:val="Hyperlink"/>
            <w:noProof/>
            <w:lang w:bidi="en-US"/>
          </w:rPr>
          <w:t xml:space="preserve">“ да </w:t>
        </w:r>
        <w:r w:rsidRPr="00BA43F2">
          <w:rPr>
            <w:rStyle w:val="Hyperlink"/>
            <w:noProof/>
            <w:lang w:val="bg-BG" w:bidi="en-US"/>
          </w:rPr>
          <w:t>бъде намеса в</w:t>
        </w:r>
        <w:r w:rsidRPr="00BA43F2">
          <w:rPr>
            <w:rStyle w:val="Hyperlink"/>
            <w:noProof/>
            <w:lang w:bidi="en-US"/>
          </w:rPr>
          <w:t xml:space="preserve"> правата на </w:t>
        </w:r>
        <w:r w:rsidRPr="00BA43F2">
          <w:rPr>
            <w:rStyle w:val="Hyperlink"/>
            <w:noProof/>
            <w:lang w:val="bg-BG" w:bidi="en-US"/>
          </w:rPr>
          <w:t>сдружението</w:t>
        </w:r>
        <w:r w:rsidRPr="00BA43F2">
          <w:rPr>
            <w:rStyle w:val="Hyperlink"/>
            <w:noProof/>
            <w:lang w:bidi="en-US"/>
          </w:rPr>
          <w:t>-</w:t>
        </w:r>
        <w:r w:rsidRPr="00BA43F2">
          <w:rPr>
            <w:rStyle w:val="Hyperlink"/>
            <w:noProof/>
            <w:lang w:val="bg-BG" w:bidi="en-US"/>
          </w:rPr>
          <w:t>жалбоподател</w:t>
        </w:r>
        <w:r w:rsidRPr="00BA43F2">
          <w:rPr>
            <w:rStyle w:val="Hyperlink"/>
            <w:noProof/>
            <w:lang w:bidi="en-US"/>
          </w:rPr>
          <w:t xml:space="preserve"> </w:t>
        </w:r>
        <w:r w:rsidRPr="00BA43F2">
          <w:rPr>
            <w:rStyle w:val="Hyperlink"/>
            <w:noProof/>
            <w:lang w:val="bg-BG" w:bidi="en-US"/>
          </w:rPr>
          <w:t>по</w:t>
        </w:r>
        <w:r w:rsidRPr="00BA43F2">
          <w:rPr>
            <w:rStyle w:val="Hyperlink"/>
            <w:noProof/>
            <w:lang w:bidi="en-US"/>
          </w:rPr>
          <w:t xml:space="preserve"> член 8 от Конвенцията?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FDE91F5" w14:textId="3F8B97C7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6" w:history="1">
        <w:r w:rsidRPr="00BA43F2">
          <w:rPr>
            <w:rStyle w:val="Hyperlink"/>
            <w:noProof/>
            <w:lang w:bidi="en-US"/>
          </w:rPr>
          <w:t>(ii)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 xml:space="preserve">Може ли </w:t>
        </w:r>
        <w:r w:rsidRPr="00BA43F2">
          <w:rPr>
            <w:rStyle w:val="Hyperlink"/>
            <w:noProof/>
            <w:lang w:val="bg-BG" w:bidi="en-US"/>
          </w:rPr>
          <w:t>сдружението-жалбоподател</w:t>
        </w:r>
        <w:r w:rsidRPr="00BA43F2">
          <w:rPr>
            <w:rStyle w:val="Hyperlink"/>
            <w:noProof/>
            <w:lang w:bidi="en-US"/>
          </w:rPr>
          <w:t xml:space="preserve"> да твърди, че е жертва на намеса в тези права само поради съществуването на разпоредбите относно „служител на прикритие“?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8922890" w14:textId="1AC722AB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7" w:history="1">
        <w:r w:rsidRPr="00BA43F2">
          <w:rPr>
            <w:rStyle w:val="Hyperlink"/>
            <w:noProof/>
            <w:lang w:bidi="en-US"/>
          </w:rPr>
          <w:t>(α)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Общи принципи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5A2AFDDE" w14:textId="542F6ABE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08" w:history="1">
        <w:r w:rsidRPr="00BA43F2">
          <w:rPr>
            <w:rStyle w:val="Hyperlink"/>
            <w:noProof/>
            <w:lang w:bidi="en-US"/>
          </w:rPr>
          <w:t>(β)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Прилагане на тези принципи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E5A1A85" w14:textId="37D297F1" w:rsidR="009178E0" w:rsidRDefault="009178E0">
      <w:pPr>
        <w:pStyle w:val="TOC8"/>
        <w:rPr>
          <w:rFonts w:asciiTheme="minorHAnsi" w:eastAsiaTheme="minorEastAsia" w:hAnsiTheme="minorHAnsi" w:cstheme="minorBidi"/>
          <w:sz w:val="22"/>
          <w:szCs w:val="22"/>
          <w:lang w:val="bg-BG" w:eastAsia="bg-BG" w:bidi="ar-SA"/>
        </w:rPr>
      </w:pPr>
      <w:hyperlink w:anchor="_Toc232688309" w:history="1">
        <w:r w:rsidRPr="00BA43F2">
          <w:rPr>
            <w:rStyle w:val="Hyperlink"/>
          </w:rPr>
          <w:t>‒</w:t>
        </w:r>
        <w:r>
          <w:rPr>
            <w:rFonts w:asciiTheme="minorHAnsi" w:eastAsiaTheme="minorEastAsia" w:hAnsiTheme="minorHAnsi" w:cstheme="minorBidi"/>
            <w:sz w:val="22"/>
            <w:szCs w:val="22"/>
            <w:lang w:val="bg-BG" w:eastAsia="bg-BG" w:bidi="ar-SA"/>
          </w:rPr>
          <w:tab/>
        </w:r>
        <w:r w:rsidRPr="00BA43F2">
          <w:rPr>
            <w:rStyle w:val="Hyperlink"/>
          </w:rPr>
          <w:t xml:space="preserve">Обхват на приложимото </w:t>
        </w:r>
        <w:r w:rsidRPr="00BA43F2">
          <w:rPr>
            <w:rStyle w:val="Hyperlink"/>
            <w:lang w:val="bg-BG"/>
          </w:rPr>
          <w:t>право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_Toc232688309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21B8373C" w14:textId="5109DBEE" w:rsidR="009178E0" w:rsidRDefault="009178E0">
      <w:pPr>
        <w:pStyle w:val="TOC8"/>
        <w:rPr>
          <w:rFonts w:asciiTheme="minorHAnsi" w:eastAsiaTheme="minorEastAsia" w:hAnsiTheme="minorHAnsi" w:cstheme="minorBidi"/>
          <w:sz w:val="22"/>
          <w:szCs w:val="22"/>
          <w:lang w:val="bg-BG" w:eastAsia="bg-BG" w:bidi="ar-SA"/>
        </w:rPr>
      </w:pPr>
      <w:hyperlink w:anchor="_Toc232688310" w:history="1">
        <w:r w:rsidRPr="00BA43F2">
          <w:rPr>
            <w:rStyle w:val="Hyperlink"/>
          </w:rPr>
          <w:t>‒</w:t>
        </w:r>
        <w:r>
          <w:rPr>
            <w:rFonts w:asciiTheme="minorHAnsi" w:eastAsiaTheme="minorEastAsia" w:hAnsiTheme="minorHAnsi" w:cstheme="minorBidi"/>
            <w:sz w:val="22"/>
            <w:szCs w:val="22"/>
            <w:lang w:val="bg-BG" w:eastAsia="bg-BG" w:bidi="ar-SA"/>
          </w:rPr>
          <w:tab/>
        </w:r>
        <w:r w:rsidRPr="00BA43F2">
          <w:rPr>
            <w:rStyle w:val="Hyperlink"/>
          </w:rPr>
          <w:t>Наличие на ефективн</w:t>
        </w:r>
        <w:r w:rsidRPr="00BA43F2">
          <w:rPr>
            <w:rStyle w:val="Hyperlink"/>
            <w:lang w:val="bg-BG"/>
          </w:rPr>
          <w:t>и средства за</w:t>
        </w:r>
        <w:r w:rsidRPr="00BA43F2">
          <w:rPr>
            <w:rStyle w:val="Hyperlink"/>
          </w:rPr>
          <w:t xml:space="preserve"> правна защита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_Toc232688310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32BC73F" w14:textId="61224F55" w:rsidR="009178E0" w:rsidRDefault="009178E0">
      <w:pPr>
        <w:pStyle w:val="TOC8"/>
        <w:rPr>
          <w:rFonts w:asciiTheme="minorHAnsi" w:eastAsiaTheme="minorEastAsia" w:hAnsiTheme="minorHAnsi" w:cstheme="minorBidi"/>
          <w:sz w:val="22"/>
          <w:szCs w:val="22"/>
          <w:lang w:val="bg-BG" w:eastAsia="bg-BG" w:bidi="ar-SA"/>
        </w:rPr>
      </w:pPr>
      <w:hyperlink w:anchor="_Toc232688311" w:history="1">
        <w:r w:rsidRPr="00BA43F2">
          <w:rPr>
            <w:rStyle w:val="Hyperlink"/>
          </w:rPr>
          <w:t>‒</w:t>
        </w:r>
        <w:r>
          <w:rPr>
            <w:rFonts w:asciiTheme="minorHAnsi" w:eastAsiaTheme="minorEastAsia" w:hAnsiTheme="minorHAnsi" w:cstheme="minorBidi"/>
            <w:sz w:val="22"/>
            <w:szCs w:val="22"/>
            <w:lang w:val="bg-BG" w:eastAsia="bg-BG" w:bidi="ar-SA"/>
          </w:rPr>
          <w:tab/>
        </w:r>
        <w:r w:rsidRPr="00BA43F2">
          <w:rPr>
            <w:rStyle w:val="Hyperlink"/>
          </w:rPr>
          <w:t>Заключение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_Toc232688311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1879C8C" w14:textId="61B2E936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2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Обосновка на намесата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3A8D6679" w14:textId="3502BA14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3" w:history="1">
        <w:r w:rsidRPr="00BA43F2">
          <w:rPr>
            <w:rStyle w:val="Hyperlink"/>
            <w:noProof/>
          </w:rPr>
          <w:t>(a)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Становищата</w:t>
        </w:r>
        <w:r w:rsidRPr="00BA43F2">
          <w:rPr>
            <w:rStyle w:val="Hyperlink"/>
            <w:noProof/>
          </w:rPr>
          <w:t xml:space="preserve"> на страните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5DA111F6" w14:textId="2732CC1E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4" w:history="1">
        <w:r w:rsidRPr="00BA43F2">
          <w:rPr>
            <w:rStyle w:val="Hyperlink"/>
            <w:noProof/>
            <w:lang w:bidi="en-US"/>
          </w:rPr>
          <w:t>(i)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 w:bidi="en-US"/>
          </w:rPr>
          <w:t>Сдружението-жалбоподател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73AFAB0" w14:textId="27EDA84F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5" w:history="1">
        <w:r w:rsidRPr="00BA43F2">
          <w:rPr>
            <w:rStyle w:val="Hyperlink"/>
            <w:noProof/>
            <w:lang w:bidi="en-US"/>
          </w:rPr>
          <w:t>(ii)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Правителството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7CAFF020" w14:textId="6B0C3298" w:rsidR="009178E0" w:rsidRDefault="009178E0">
      <w:pPr>
        <w:pStyle w:val="TOC5"/>
        <w:tabs>
          <w:tab w:val="left" w:pos="204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6" w:history="1">
        <w:r w:rsidRPr="00BA43F2">
          <w:rPr>
            <w:rStyle w:val="Hyperlink"/>
            <w:noProof/>
          </w:rPr>
          <w:t>(b)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 xml:space="preserve">Преценката </w:t>
        </w:r>
        <w:r w:rsidRPr="00BA43F2">
          <w:rPr>
            <w:rStyle w:val="Hyperlink"/>
            <w:noProof/>
          </w:rPr>
          <w:t>на Съда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049BF2B1" w14:textId="02E9B33E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7" w:history="1">
        <w:r w:rsidRPr="00BA43F2">
          <w:rPr>
            <w:rStyle w:val="Hyperlink"/>
            <w:noProof/>
            <w:lang w:bidi="en-US"/>
          </w:rPr>
          <w:t>(i)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Общи принципи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6DBA158A" w14:textId="69661F51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8" w:history="1">
        <w:r w:rsidRPr="00BA43F2">
          <w:rPr>
            <w:rStyle w:val="Hyperlink"/>
            <w:noProof/>
            <w:lang w:bidi="en-US"/>
          </w:rPr>
          <w:t>(α)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По отношение на нивото на гаранции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16D9338A" w14:textId="7BE38DA8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19" w:history="1">
        <w:r w:rsidRPr="00BA43F2">
          <w:rPr>
            <w:rStyle w:val="Hyperlink"/>
            <w:noProof/>
            <w:lang w:bidi="en-US"/>
          </w:rPr>
          <w:t>(β)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По отношение на начина на разглеждане на тези гаранции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259AF7E5" w14:textId="0B5FF914" w:rsidR="009178E0" w:rsidRDefault="009178E0">
      <w:pPr>
        <w:pStyle w:val="TOC6"/>
        <w:tabs>
          <w:tab w:val="left" w:pos="238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0" w:history="1">
        <w:r w:rsidRPr="00BA43F2">
          <w:rPr>
            <w:rStyle w:val="Hyperlink"/>
            <w:noProof/>
            <w:lang w:bidi="en-US"/>
          </w:rPr>
          <w:t>(ii)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Прилагане на тези принципи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524DFF6" w14:textId="19ED2247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1" w:history="1">
        <w:r w:rsidRPr="00BA43F2">
          <w:rPr>
            <w:rStyle w:val="Hyperlink"/>
            <w:noProof/>
            <w:lang w:bidi="en-US"/>
          </w:rPr>
          <w:t>(α)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Достъпност на закона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2B0BD0E" w14:textId="7F22591D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2" w:history="1">
        <w:r w:rsidRPr="00BA43F2">
          <w:rPr>
            <w:rStyle w:val="Hyperlink"/>
            <w:noProof/>
            <w:lang w:bidi="en-US"/>
          </w:rPr>
          <w:t>(β)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Основания, на които могат да се използват „</w:t>
        </w:r>
        <w:r w:rsidRPr="00BA43F2">
          <w:rPr>
            <w:rStyle w:val="Hyperlink"/>
            <w:noProof/>
            <w:lang w:val="bg-BG" w:bidi="en-US"/>
          </w:rPr>
          <w:t>служители на прикритие</w:t>
        </w:r>
        <w:r w:rsidRPr="00BA43F2">
          <w:rPr>
            <w:rStyle w:val="Hyperlink"/>
            <w:noProof/>
            <w:lang w:bidi="en-US"/>
          </w:rPr>
          <w:t>“, и лица, които могат да бъдат поставени под наблюдение от такива служители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41519003" w14:textId="5102CD6A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3" w:history="1">
        <w:r w:rsidRPr="00BA43F2">
          <w:rPr>
            <w:rStyle w:val="Hyperlink"/>
            <w:noProof/>
            <w:lang w:bidi="en-US"/>
          </w:rPr>
          <w:t>(γ)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 xml:space="preserve">Продължителност на </w:t>
        </w:r>
        <w:r w:rsidRPr="00BA43F2">
          <w:rPr>
            <w:rStyle w:val="Hyperlink"/>
            <w:noProof/>
            <w:lang w:val="bg-BG" w:bidi="en-US"/>
          </w:rPr>
          <w:t>разполагането</w:t>
        </w:r>
        <w:r w:rsidRPr="00BA43F2">
          <w:rPr>
            <w:rStyle w:val="Hyperlink"/>
            <w:noProof/>
            <w:lang w:bidi="en-US"/>
          </w:rPr>
          <w:t xml:space="preserve"> на „служители под прикритие“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710E9954" w14:textId="734E2E85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4" w:history="1">
        <w:r w:rsidRPr="00BA43F2">
          <w:rPr>
            <w:rStyle w:val="Hyperlink"/>
            <w:noProof/>
            <w:lang w:bidi="en-US"/>
          </w:rPr>
          <w:t>(δ)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 xml:space="preserve">Процедура за </w:t>
        </w:r>
        <w:r w:rsidRPr="00BA43F2">
          <w:rPr>
            <w:rStyle w:val="Hyperlink"/>
            <w:noProof/>
            <w:lang w:val="bg-BG" w:bidi="en-US"/>
          </w:rPr>
          <w:t>внедряване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581D2E57" w14:textId="5CB5F60C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5" w:history="1">
        <w:r w:rsidRPr="00BA43F2">
          <w:rPr>
            <w:rStyle w:val="Hyperlink"/>
            <w:noProof/>
            <w:lang w:val="bg-BG" w:bidi="en-US"/>
          </w:rPr>
          <w:t>(ε)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 w:bidi="en-US"/>
          </w:rPr>
          <w:t>Процедури за съхранение, достъп, проверка, използване, предаване и унищожаване на данни, получени в резултат на използването на „служители на прикритие“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2879F23" w14:textId="7D7C7FE2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6" w:history="1">
        <w:r w:rsidRPr="00BA43F2">
          <w:rPr>
            <w:rStyle w:val="Hyperlink"/>
            <w:noProof/>
            <w:lang w:bidi="en-US"/>
          </w:rPr>
          <w:t>(στ)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Надзор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57F0F242" w14:textId="386F2BF4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7" w:history="1">
        <w:r w:rsidRPr="00BA43F2">
          <w:rPr>
            <w:rStyle w:val="Hyperlink"/>
            <w:noProof/>
            <w:lang w:bidi="en-US"/>
          </w:rPr>
          <w:t>(ζ)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Уведомяване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18AA139" w14:textId="2B87CD2E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8" w:history="1">
        <w:r w:rsidRPr="00BA43F2">
          <w:rPr>
            <w:rStyle w:val="Hyperlink"/>
            <w:noProof/>
            <w:lang w:bidi="en-US"/>
          </w:rPr>
          <w:t>(η)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Средства за правна защита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E57D9FA" w14:textId="672F5220" w:rsidR="009178E0" w:rsidRDefault="009178E0">
      <w:pPr>
        <w:pStyle w:val="TOC7"/>
        <w:tabs>
          <w:tab w:val="left" w:pos="272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29" w:history="1">
        <w:r w:rsidRPr="00BA43F2">
          <w:rPr>
            <w:rStyle w:val="Hyperlink"/>
            <w:noProof/>
            <w:lang w:bidi="en-US"/>
          </w:rPr>
          <w:t>(θ)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bidi="en-US"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B523698" w14:textId="789CA2FF" w:rsidR="009178E0" w:rsidRDefault="009178E0">
      <w:pPr>
        <w:pStyle w:val="TOC2"/>
        <w:tabs>
          <w:tab w:val="left" w:pos="1020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30" w:history="1">
        <w:r w:rsidRPr="00BA43F2">
          <w:rPr>
            <w:rStyle w:val="Hyperlink"/>
            <w:noProof/>
          </w:rPr>
          <w:t>II.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ПРИЛ</w:t>
        </w:r>
        <w:r w:rsidRPr="00BA43F2">
          <w:rPr>
            <w:rStyle w:val="Hyperlink"/>
            <w:noProof/>
            <w:lang w:val="bg-BG"/>
          </w:rPr>
          <w:t xml:space="preserve">ОЖЕНИЕ </w:t>
        </w:r>
        <w:r w:rsidRPr="00BA43F2">
          <w:rPr>
            <w:rStyle w:val="Hyperlink"/>
            <w:noProof/>
          </w:rPr>
          <w:t>НА ЧЛЕН 41 ОТ КОНВЕНЦИЯТА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3C0538D7" w14:textId="0817F82E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31" w:history="1">
        <w:r w:rsidRPr="00BA43F2">
          <w:rPr>
            <w:rStyle w:val="Hyperlink"/>
            <w:noProof/>
          </w:rPr>
          <w:t>A.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Вреди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2F625EDB" w14:textId="7D841C6D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32" w:history="1">
        <w:r w:rsidRPr="00BA43F2">
          <w:rPr>
            <w:rStyle w:val="Hyperlink"/>
            <w:noProof/>
          </w:rPr>
          <w:t>1.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 xml:space="preserve">Искът на </w:t>
        </w:r>
        <w:r w:rsidRPr="00BA43F2">
          <w:rPr>
            <w:rStyle w:val="Hyperlink"/>
            <w:noProof/>
            <w:lang w:val="bg-BG"/>
          </w:rPr>
          <w:t>сдружението</w:t>
        </w:r>
        <w:r w:rsidRPr="00BA43F2">
          <w:rPr>
            <w:rStyle w:val="Hyperlink"/>
            <w:noProof/>
          </w:rPr>
          <w:t xml:space="preserve"> и коментарите на правителството по него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6BDDCDB9" w14:textId="0790773A" w:rsidR="009178E0" w:rsidRDefault="009178E0">
      <w:pPr>
        <w:pStyle w:val="TOC4"/>
        <w:tabs>
          <w:tab w:val="left" w:pos="170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33" w:history="1">
        <w:r w:rsidRPr="00BA43F2">
          <w:rPr>
            <w:rStyle w:val="Hyperlink"/>
            <w:noProof/>
          </w:rPr>
          <w:t>2.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</w:rPr>
          <w:t>Оценка на Съда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372A2E10" w14:textId="35B29E82" w:rsidR="009178E0" w:rsidRDefault="009178E0">
      <w:pPr>
        <w:pStyle w:val="TOC3"/>
        <w:tabs>
          <w:tab w:val="left" w:pos="1361"/>
        </w:tabs>
        <w:rPr>
          <w:rFonts w:eastAsiaTheme="minorEastAsia"/>
          <w:noProof/>
          <w:sz w:val="22"/>
          <w:szCs w:val="22"/>
          <w:lang w:val="bg-BG" w:eastAsia="bg-BG"/>
        </w:rPr>
      </w:pPr>
      <w:hyperlink w:anchor="_Toc232688334" w:history="1">
        <w:r w:rsidRPr="00BA43F2">
          <w:rPr>
            <w:rStyle w:val="Hyperlink"/>
            <w:noProof/>
          </w:rPr>
          <w:t>B.</w:t>
        </w:r>
        <w:r>
          <w:rPr>
            <w:rFonts w:eastAsiaTheme="minorEastAsia"/>
            <w:noProof/>
            <w:sz w:val="22"/>
            <w:szCs w:val="22"/>
            <w:lang w:val="bg-BG" w:eastAsia="bg-BG"/>
          </w:rPr>
          <w:tab/>
        </w:r>
        <w:r w:rsidRPr="00BA43F2">
          <w:rPr>
            <w:rStyle w:val="Hyperlink"/>
            <w:noProof/>
            <w:lang w:val="bg-BG"/>
          </w:rPr>
          <w:t>Р</w:t>
        </w:r>
        <w:r w:rsidRPr="00BA43F2">
          <w:rPr>
            <w:rStyle w:val="Hyperlink"/>
            <w:noProof/>
          </w:rPr>
          <w:t>азходи и разноски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835FF64" w14:textId="750DAE36" w:rsidR="009178E0" w:rsidRDefault="009178E0">
      <w:pPr>
        <w:pStyle w:val="TOC1"/>
        <w:rPr>
          <w:rFonts w:eastAsiaTheme="minorEastAsia"/>
          <w:b w:val="0"/>
          <w:noProof/>
          <w:sz w:val="22"/>
          <w:szCs w:val="22"/>
          <w:lang w:val="bg-BG" w:eastAsia="bg-BG"/>
        </w:rPr>
      </w:pPr>
      <w:hyperlink w:anchor="_Toc232688335" w:history="1">
        <w:r w:rsidRPr="00BA43F2">
          <w:rPr>
            <w:rStyle w:val="Hyperlink"/>
            <w:noProof/>
          </w:rPr>
          <w:t>ПО ТЕЗИ ПРИЧИНИ СЪДЪТ, ЕДИНОДУШНО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_Toc232688335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3B1495BB" w14:textId="0326932D" w:rsidR="00314B21" w:rsidRPr="00314B21" w:rsidRDefault="000F3485" w:rsidP="00314B21">
      <w:pPr>
        <w:rPr>
          <w:iCs/>
          <w:sz w:val="22"/>
        </w:rPr>
      </w:pPr>
      <w:r>
        <w:rPr>
          <w:b/>
          <w:sz w:val="22"/>
        </w:rPr>
        <w:fldChar w:fldCharType="end"/>
      </w:r>
    </w:p>
    <w:p w14:paraId="1FC10A7A" w14:textId="77777777" w:rsidR="0098410D" w:rsidRPr="00AC38DE" w:rsidRDefault="0098410D" w:rsidP="0098410D">
      <w:pPr>
        <w:sectPr w:rsidR="0098410D" w:rsidRPr="00AC38DE" w:rsidSect="00E4580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endnotePr>
            <w:numFmt w:val="decimal"/>
          </w:endnotePr>
          <w:type w:val="oddPage"/>
          <w:pgSz w:w="11906" w:h="16838" w:code="9"/>
          <w:pgMar w:top="2274" w:right="2274" w:bottom="2274" w:left="2274" w:header="1701" w:footer="720" w:gutter="0"/>
          <w:pgNumType w:fmt="lowerRoman" w:start="1"/>
          <w:cols w:space="720"/>
          <w:noEndnote/>
        </w:sectPr>
      </w:pPr>
    </w:p>
    <w:p w14:paraId="4BBBBCE4" w14:textId="77777777" w:rsidR="0098410D" w:rsidRPr="00AC38DE" w:rsidRDefault="000F3485" w:rsidP="002C5ADD">
      <w:pPr>
        <w:pStyle w:val="JuCase"/>
      </w:pPr>
      <w:r w:rsidRPr="00AC38DE">
        <w:lastRenderedPageBreak/>
        <w:t xml:space="preserve">По делото </w:t>
      </w:r>
      <w:r w:rsidR="00C07A01">
        <w:rPr>
          <w:lang w:val="bg-BG"/>
        </w:rPr>
        <w:t>Зелен Алианс</w:t>
      </w:r>
      <w:r w:rsidRPr="00AC38DE">
        <w:t xml:space="preserve"> </w:t>
      </w:r>
      <w:r w:rsidR="00304BC9">
        <w:t>с</w:t>
      </w:r>
      <w:r w:rsidR="00C07A01">
        <w:rPr>
          <w:lang w:val="bg-BG"/>
        </w:rPr>
        <w:t>/</w:t>
      </w:r>
      <w:r w:rsidR="00304BC9">
        <w:t>у България</w:t>
      </w:r>
    </w:p>
    <w:p w14:paraId="7C4A571C" w14:textId="58A499B6" w:rsidR="009F4C8F" w:rsidRPr="00AC38DE" w:rsidRDefault="000F3485" w:rsidP="009F4C8F">
      <w:pPr>
        <w:pStyle w:val="JuPara"/>
      </w:pPr>
      <w:r w:rsidRPr="00AC38DE">
        <w:t>Европейският съд по правата на човека (</w:t>
      </w:r>
      <w:r w:rsidR="00304BC9">
        <w:t>Трет</w:t>
      </w:r>
      <w:r w:rsidR="00D7639E">
        <w:rPr>
          <w:lang w:val="bg-BG"/>
        </w:rPr>
        <w:t>а секция</w:t>
      </w:r>
      <w:r w:rsidRPr="00AC38DE">
        <w:t>), заседаващ</w:t>
      </w:r>
      <w:r w:rsidR="00D7639E">
        <w:rPr>
          <w:lang w:val="bg-BG"/>
        </w:rPr>
        <w:t>а</w:t>
      </w:r>
      <w:r w:rsidRPr="00AC38DE">
        <w:t xml:space="preserve"> в </w:t>
      </w:r>
      <w:r w:rsidR="00304BC9">
        <w:t>състав</w:t>
      </w:r>
      <w:r w:rsidRPr="00AC38DE">
        <w:t>:</w:t>
      </w:r>
    </w:p>
    <w:p w14:paraId="4AFCB6AC" w14:textId="6D74DE7B" w:rsidR="00A92625" w:rsidRPr="00314B21" w:rsidRDefault="000F3485" w:rsidP="00314B21">
      <w:pPr>
        <w:pStyle w:val="JuJudges"/>
        <w:rPr>
          <w:iCs/>
        </w:rPr>
      </w:pPr>
      <w:r>
        <w:tab/>
        <w:t>Йоан</w:t>
      </w:r>
      <w:r w:rsidR="00D7639E">
        <w:rPr>
          <w:lang w:val="bg-BG"/>
        </w:rPr>
        <w:t>н</w:t>
      </w:r>
      <w:r>
        <w:t>ис Ктистакис</w:t>
      </w:r>
      <w:r w:rsidRPr="00314B21">
        <w:rPr>
          <w:iCs/>
        </w:rPr>
        <w:t xml:space="preserve">, </w:t>
      </w:r>
      <w:r>
        <w:rPr>
          <w:i/>
        </w:rPr>
        <w:t>председател</w:t>
      </w:r>
      <w:r>
        <w:t>,</w:t>
      </w:r>
      <w:r>
        <w:br/>
      </w:r>
      <w:r>
        <w:tab/>
        <w:t>Петер Роосма,</w:t>
      </w:r>
      <w:r>
        <w:br/>
      </w:r>
      <w:r>
        <w:tab/>
        <w:t>Дариан Павли,</w:t>
      </w:r>
      <w:r>
        <w:br/>
      </w:r>
      <w:r>
        <w:tab/>
        <w:t>Уна Ни Райфърти,</w:t>
      </w:r>
      <w:r>
        <w:br/>
      </w:r>
      <w:r>
        <w:tab/>
        <w:t>Матея Джурович</w:t>
      </w:r>
      <w:r w:rsidRPr="00314B21">
        <w:rPr>
          <w:iCs/>
        </w:rPr>
        <w:t>,</w:t>
      </w:r>
      <w:r>
        <w:t xml:space="preserve"> </w:t>
      </w:r>
      <w:r>
        <w:br/>
      </w:r>
      <w:r>
        <w:tab/>
        <w:t>Василка Санчин</w:t>
      </w:r>
      <w:r w:rsidRPr="00314B21">
        <w:rPr>
          <w:iCs/>
        </w:rPr>
        <w:t xml:space="preserve">, </w:t>
      </w:r>
      <w:r>
        <w:rPr>
          <w:i/>
        </w:rPr>
        <w:t>съдии</w:t>
      </w:r>
      <w:r>
        <w:t>,</w:t>
      </w:r>
      <w:r>
        <w:br/>
      </w:r>
      <w:r w:rsidRPr="00314B21">
        <w:tab/>
        <w:t>Мира Райчева</w:t>
      </w:r>
      <w:r w:rsidRPr="00A56A00">
        <w:rPr>
          <w:iCs/>
        </w:rPr>
        <w:t xml:space="preserve">, </w:t>
      </w:r>
      <w:r w:rsidRPr="00314B21">
        <w:rPr>
          <w:i/>
        </w:rPr>
        <w:t>съдия</w:t>
      </w:r>
      <w:r w:rsidRPr="00314B21">
        <w:rPr>
          <w:iCs/>
        </w:rPr>
        <w:t xml:space="preserve"> ad hoc</w:t>
      </w:r>
      <w:r w:rsidRPr="00314B21">
        <w:t>,</w:t>
      </w:r>
      <w:r w:rsidRPr="00314B21">
        <w:br/>
      </w:r>
      <w:r w:rsidR="009F4C8F" w:rsidRPr="00AC38DE">
        <w:t xml:space="preserve">и </w:t>
      </w:r>
      <w:r w:rsidR="00304BC9">
        <w:t>Милан Блашко</w:t>
      </w:r>
      <w:r w:rsidRPr="005C2C62">
        <w:t xml:space="preserve">, </w:t>
      </w:r>
      <w:r w:rsidR="00E744E0" w:rsidRPr="005C2C62">
        <w:rPr>
          <w:i/>
          <w:iCs/>
        </w:rPr>
        <w:t>секретар</w:t>
      </w:r>
      <w:r w:rsidR="00E744E0" w:rsidRPr="005C2C62">
        <w:rPr>
          <w:i/>
        </w:rPr>
        <w:t xml:space="preserve"> на секцията</w:t>
      </w:r>
      <w:r w:rsidR="008F2465" w:rsidRPr="00314B21">
        <w:rPr>
          <w:iCs/>
        </w:rPr>
        <w:t>,</w:t>
      </w:r>
    </w:p>
    <w:p w14:paraId="5BF8B4BB" w14:textId="77777777" w:rsidR="00304BC9" w:rsidRPr="0040384C" w:rsidRDefault="000F3485" w:rsidP="00304BC9">
      <w:pPr>
        <w:pStyle w:val="JuPara"/>
      </w:pPr>
      <w:r w:rsidRPr="0040384C">
        <w:t>Като взеха предвид:</w:t>
      </w:r>
    </w:p>
    <w:p w14:paraId="6F3A5860" w14:textId="11812018" w:rsidR="00304BC9" w:rsidRPr="0040384C" w:rsidRDefault="000F3485" w:rsidP="00304BC9">
      <w:pPr>
        <w:pStyle w:val="JuPara"/>
      </w:pPr>
      <w:r w:rsidRPr="0040384C">
        <w:t>жалбата (№</w:t>
      </w:r>
      <w:r>
        <w:t xml:space="preserve"> 6580/22</w:t>
      </w:r>
      <w:r w:rsidRPr="0040384C">
        <w:t xml:space="preserve">) срещу </w:t>
      </w:r>
      <w:r>
        <w:t>Република България</w:t>
      </w:r>
      <w:r w:rsidRPr="0040384C">
        <w:t>, подадена пред Съда съгласно член</w:t>
      </w:r>
      <w:r w:rsidR="00D7639E">
        <w:t xml:space="preserve"> 34 от Конвенцията за защита </w:t>
      </w:r>
      <w:r w:rsidRPr="0040384C">
        <w:t xml:space="preserve">правата на човека и основните свободи („Конвенцията“) от </w:t>
      </w:r>
      <w:r w:rsidR="000853BA">
        <w:rPr>
          <w:lang w:val="bg-BG"/>
        </w:rPr>
        <w:t>сдружение</w:t>
      </w:r>
      <w:r>
        <w:t xml:space="preserve"> със седалище в България, „Зелен алианс</w:t>
      </w:r>
      <w:r w:rsidRPr="0040384C">
        <w:t>“ (</w:t>
      </w:r>
      <w:r>
        <w:t>„</w:t>
      </w:r>
      <w:r w:rsidR="003E4D51">
        <w:rPr>
          <w:lang w:val="bg-BG"/>
        </w:rPr>
        <w:t>сдружение</w:t>
      </w:r>
      <w:r w:rsidR="00041130">
        <w:rPr>
          <w:lang w:val="bg-BG"/>
        </w:rPr>
        <w:t>-жалбоподател</w:t>
      </w:r>
      <w:r w:rsidRPr="0040384C">
        <w:t xml:space="preserve">“ </w:t>
      </w:r>
      <w:r>
        <w:t>или „</w:t>
      </w:r>
      <w:r w:rsidR="003E4D51">
        <w:rPr>
          <w:lang w:val="bg-BG"/>
        </w:rPr>
        <w:t>сдружението</w:t>
      </w:r>
      <w:r>
        <w:t>“</w:t>
      </w:r>
      <w:r w:rsidRPr="0040384C">
        <w:t>), на</w:t>
      </w:r>
      <w:r>
        <w:t xml:space="preserve"> 19 януари 2022 г</w:t>
      </w:r>
      <w:r w:rsidRPr="0040384C">
        <w:t>.;</w:t>
      </w:r>
    </w:p>
    <w:p w14:paraId="2C5D510A" w14:textId="77777777" w:rsidR="00304BC9" w:rsidRDefault="000F3485" w:rsidP="00304BC9">
      <w:pPr>
        <w:pStyle w:val="JuPara"/>
      </w:pPr>
      <w:r w:rsidRPr="007C6978">
        <w:t xml:space="preserve">решението да се </w:t>
      </w:r>
      <w:r>
        <w:t>уведоми</w:t>
      </w:r>
      <w:r w:rsidRPr="007C6978">
        <w:t xml:space="preserve"> </w:t>
      </w:r>
      <w:r>
        <w:t>българското</w:t>
      </w:r>
      <w:r w:rsidRPr="007C6978">
        <w:t xml:space="preserve"> правителство („правителството“) за </w:t>
      </w:r>
      <w:r>
        <w:t>жалбата</w:t>
      </w:r>
      <w:r w:rsidRPr="007C6978">
        <w:t>;</w:t>
      </w:r>
    </w:p>
    <w:p w14:paraId="12FAB158" w14:textId="77777777" w:rsidR="00304BC9" w:rsidRDefault="00041130" w:rsidP="00304BC9">
      <w:pPr>
        <w:pStyle w:val="JuPara"/>
      </w:pPr>
      <w:r>
        <w:rPr>
          <w:lang w:val="bg-BG"/>
        </w:rPr>
        <w:t>становищата</w:t>
      </w:r>
      <w:r w:rsidR="000F3485" w:rsidRPr="0040384C">
        <w:t xml:space="preserve"> </w:t>
      </w:r>
      <w:r w:rsidR="00A060A3">
        <w:t xml:space="preserve">на </w:t>
      </w:r>
      <w:r w:rsidR="000F3485" w:rsidRPr="0040384C">
        <w:t>страните;</w:t>
      </w:r>
    </w:p>
    <w:p w14:paraId="3672461A" w14:textId="77777777" w:rsidR="00304BC9" w:rsidRDefault="000F3485" w:rsidP="00304BC9">
      <w:pPr>
        <w:pStyle w:val="JuPara"/>
      </w:pPr>
      <w:r w:rsidRPr="00364421">
        <w:t xml:space="preserve">решението </w:t>
      </w:r>
      <w:r>
        <w:t xml:space="preserve">на председателя на секцията да освободи </w:t>
      </w:r>
      <w:r w:rsidRPr="00364421">
        <w:t>Диана Ковачева, избраната съдия за България, от участие в разглеждането на делото</w:t>
      </w:r>
      <w:r>
        <w:t xml:space="preserve">, както и </w:t>
      </w:r>
      <w:r w:rsidRPr="00364421">
        <w:t>последващото</w:t>
      </w:r>
      <w:r>
        <w:t xml:space="preserve"> му </w:t>
      </w:r>
      <w:r w:rsidRPr="00364421">
        <w:t xml:space="preserve">решение да назначи </w:t>
      </w:r>
      <w:r>
        <w:t xml:space="preserve">Мира Райчева </w:t>
      </w:r>
      <w:r w:rsidRPr="00364421">
        <w:t xml:space="preserve">за съдия </w:t>
      </w:r>
      <w:r w:rsidRPr="00364421">
        <w:rPr>
          <w:i/>
          <w:iCs/>
        </w:rPr>
        <w:t xml:space="preserve">ad hoc </w:t>
      </w:r>
      <w:r w:rsidRPr="00364421">
        <w:t>по делото</w:t>
      </w:r>
      <w:r>
        <w:t>;</w:t>
      </w:r>
    </w:p>
    <w:p w14:paraId="58F811B6" w14:textId="5A1D2853" w:rsidR="009F4C8F" w:rsidRDefault="000F3485" w:rsidP="00304BC9">
      <w:pPr>
        <w:pStyle w:val="JuPara"/>
      </w:pPr>
      <w:r w:rsidRPr="00AC38DE">
        <w:t>След закрито</w:t>
      </w:r>
      <w:r w:rsidR="004962B2">
        <w:rPr>
          <w:lang w:val="bg-BG"/>
        </w:rPr>
        <w:t xml:space="preserve"> съвещание</w:t>
      </w:r>
      <w:r w:rsidRPr="00AC38DE">
        <w:t xml:space="preserve"> на</w:t>
      </w:r>
      <w:r w:rsidR="00304BC9">
        <w:t xml:space="preserve"> 27 януари 2026 г.</w:t>
      </w:r>
      <w:r w:rsidRPr="00AC38DE">
        <w:t>,</w:t>
      </w:r>
    </w:p>
    <w:p w14:paraId="3FCC4AC9" w14:textId="7E27BB67" w:rsidR="009F4C8F" w:rsidRPr="00AC38DE" w:rsidRDefault="004962B2" w:rsidP="009F4C8F">
      <w:pPr>
        <w:pStyle w:val="JuPara"/>
      </w:pPr>
      <w:r>
        <w:rPr>
          <w:lang w:val="bg-BG"/>
        </w:rPr>
        <w:t>постановява</w:t>
      </w:r>
      <w:r w:rsidR="000F3485" w:rsidRPr="00AC38DE">
        <w:t xml:space="preserve"> следното решение, което беше прието на същата дата:</w:t>
      </w:r>
    </w:p>
    <w:p w14:paraId="1B5DC86E" w14:textId="77777777" w:rsidR="00304BC9" w:rsidRPr="0040384C" w:rsidRDefault="000F3485" w:rsidP="00304BC9">
      <w:pPr>
        <w:pStyle w:val="JuHHead"/>
        <w:numPr>
          <w:ilvl w:val="0"/>
          <w:numId w:val="0"/>
        </w:numPr>
      </w:pPr>
      <w:bookmarkStart w:id="0" w:name="_Toc232688237"/>
      <w:r w:rsidRPr="0040384C">
        <w:t>ВЪВЕДЕНИЕ</w:t>
      </w:r>
      <w:bookmarkEnd w:id="0"/>
    </w:p>
    <w:bookmarkStart w:id="1" w:name="I_1"/>
    <w:p w14:paraId="77DEDB68" w14:textId="19823356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</w:t>
      </w:r>
      <w:r>
        <w:fldChar w:fldCharType="end"/>
      </w:r>
      <w:bookmarkEnd w:id="1"/>
      <w:r w:rsidRPr="0040384C">
        <w:t>.</w:t>
      </w:r>
      <w:bookmarkStart w:id="2" w:name="_Hlk182760023"/>
      <w:r>
        <w:t xml:space="preserve"> Съгласно </w:t>
      </w:r>
      <w:r w:rsidR="007C35D9">
        <w:rPr>
          <w:lang w:val="bg-BG"/>
        </w:rPr>
        <w:t>разпоредби</w:t>
      </w:r>
      <w:r>
        <w:t xml:space="preserve">, </w:t>
      </w:r>
      <w:r w:rsidR="007C35D9">
        <w:rPr>
          <w:lang w:val="bg-BG"/>
        </w:rPr>
        <w:t>приети</w:t>
      </w:r>
      <w:r w:rsidRPr="00C462F6">
        <w:t xml:space="preserve"> през 2008 г. и и</w:t>
      </w:r>
      <w:r w:rsidR="00B102CE">
        <w:t>зменени през 2018 г., Държавна</w:t>
      </w:r>
      <w:r w:rsidRPr="00C462F6">
        <w:t xml:space="preserve"> агенция </w:t>
      </w:r>
      <w:r w:rsidR="00B102CE">
        <w:rPr>
          <w:lang w:val="bg-BG"/>
        </w:rPr>
        <w:t>„Н</w:t>
      </w:r>
      <w:r w:rsidRPr="00C462F6">
        <w:t>ационална сигурност</w:t>
      </w:r>
      <w:r w:rsidR="00B102CE">
        <w:rPr>
          <w:lang w:val="bg-BG"/>
        </w:rPr>
        <w:t>“</w:t>
      </w:r>
      <w:r w:rsidRPr="00C462F6">
        <w:t xml:space="preserve"> </w:t>
      </w:r>
      <w:r>
        <w:t xml:space="preserve">(„Агенцията“) може, по решение на своя ръководител, да внедрява </w:t>
      </w:r>
      <w:r w:rsidRPr="00FF364A">
        <w:rPr>
          <w:i/>
          <w:iCs/>
          <w:lang w:val="bg-BG"/>
        </w:rPr>
        <w:t>„служители на прикритие</w:t>
      </w:r>
      <w:r w:rsidRPr="00FF364A">
        <w:t xml:space="preserve">“ </w:t>
      </w:r>
      <w:r>
        <w:t xml:space="preserve">в частно юридическо лице или като </w:t>
      </w:r>
      <w:r w:rsidR="007C35D9">
        <w:rPr>
          <w:lang w:val="bg-BG"/>
        </w:rPr>
        <w:t>лица, упражняващи</w:t>
      </w:r>
      <w:r>
        <w:t xml:space="preserve"> „свободна професия</w:t>
      </w:r>
      <w:r>
        <w:rPr>
          <w:rFonts w:cstheme="minorHAnsi"/>
        </w:rPr>
        <w:t>“.</w:t>
      </w:r>
      <w:r>
        <w:t xml:space="preserve"> Тези „служители на прикритие“ крият само факта, че работят за Агенцията, но не им е позволено да използват техники или оборудване за тайно наблюдение и в България се считат за различни от „</w:t>
      </w:r>
      <w:r w:rsidR="00041130">
        <w:rPr>
          <w:lang w:val="bg-BG"/>
        </w:rPr>
        <w:t xml:space="preserve">служители </w:t>
      </w:r>
      <w:r w:rsidR="0082743C">
        <w:rPr>
          <w:lang w:val="bg-BG"/>
        </w:rPr>
        <w:t>под</w:t>
      </w:r>
      <w:r>
        <w:t xml:space="preserve"> прикритие“.</w:t>
      </w:r>
      <w:bookmarkEnd w:id="2"/>
      <w:r>
        <w:t xml:space="preserve"> </w:t>
      </w:r>
      <w:r w:rsidR="00B102CE">
        <w:rPr>
          <w:lang w:val="bg-BG"/>
        </w:rPr>
        <w:t>Сдру</w:t>
      </w:r>
      <w:r w:rsidR="00A46D2F">
        <w:rPr>
          <w:lang w:val="bg-BG"/>
        </w:rPr>
        <w:t>жението-жалбоподател</w:t>
      </w:r>
      <w:r>
        <w:t xml:space="preserve"> </w:t>
      </w:r>
      <w:r w:rsidR="00A46D2F">
        <w:rPr>
          <w:lang w:val="bg-BG"/>
        </w:rPr>
        <w:t xml:space="preserve">оспорва по съдебен ред </w:t>
      </w:r>
      <w:r>
        <w:t xml:space="preserve">тези </w:t>
      </w:r>
      <w:r w:rsidR="00A46D2F">
        <w:rPr>
          <w:lang w:val="bg-BG"/>
        </w:rPr>
        <w:t>разпоредби</w:t>
      </w:r>
      <w:r>
        <w:t>, като изтък</w:t>
      </w:r>
      <w:r w:rsidR="00B102CE">
        <w:rPr>
          <w:lang w:val="bg-BG"/>
        </w:rPr>
        <w:t>в</w:t>
      </w:r>
      <w:r>
        <w:t xml:space="preserve">а, че при липса на ефективни гаранции във връзка с използването на такива </w:t>
      </w:r>
      <w:r w:rsidR="00636119">
        <w:rPr>
          <w:lang w:val="bg-BG"/>
        </w:rPr>
        <w:t>служители</w:t>
      </w:r>
      <w:r>
        <w:t xml:space="preserve">, те позволяват злоупотреба и несъразмерна намеса в правата, защитени по член 8 от Конвенцията. Административните съдилища </w:t>
      </w:r>
      <w:r w:rsidR="005B37ED">
        <w:rPr>
          <w:lang w:val="bg-BG"/>
        </w:rPr>
        <w:t>отхвърлят жалбата</w:t>
      </w:r>
      <w:r>
        <w:t>.</w:t>
      </w:r>
    </w:p>
    <w:bookmarkStart w:id="3" w:name="I_2"/>
    <w:p w14:paraId="3B940E81" w14:textId="6F1F3EFF" w:rsidR="00304BC9" w:rsidRPr="00A2407D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</w:t>
      </w:r>
      <w:r>
        <w:fldChar w:fldCharType="end"/>
      </w:r>
      <w:bookmarkEnd w:id="3"/>
      <w:r w:rsidR="00041130">
        <w:rPr>
          <w:lang w:val="bg-BG"/>
        </w:rPr>
        <w:t xml:space="preserve">. </w:t>
      </w:r>
      <w:r w:rsidRPr="00A2407D">
        <w:rPr>
          <w:lang w:val="bg-BG"/>
        </w:rPr>
        <w:t xml:space="preserve">Основните въпроси по делото са: </w:t>
      </w:r>
      <w:r w:rsidR="002F2B60">
        <w:fldChar w:fldCharType="begin"/>
      </w:r>
      <w:r w:rsidR="002F2B60" w:rsidRPr="00A2407D">
        <w:rPr>
          <w:lang w:val="bg-BG"/>
        </w:rPr>
        <w:instrText xml:space="preserve"> </w:instrText>
      </w:r>
      <w:r w:rsidR="002F2B60">
        <w:instrText>SEQ</w:instrText>
      </w:r>
      <w:r w:rsidR="002F2B60" w:rsidRPr="00A2407D">
        <w:rPr>
          <w:lang w:val="bg-BG"/>
        </w:rPr>
        <w:instrText xml:space="preserve"> </w:instrText>
      </w:r>
      <w:r w:rsidR="002F2B60">
        <w:instrText>level</w:instrText>
      </w:r>
      <w:r w:rsidR="002F2B60" w:rsidRPr="00A2407D">
        <w:rPr>
          <w:lang w:val="bg-BG"/>
        </w:rPr>
        <w:instrText>1 \*</w:instrText>
      </w:r>
      <w:r w:rsidR="002F2B60">
        <w:instrText>alphabetic</w:instrText>
      </w:r>
      <w:r w:rsidR="002F2B60" w:rsidRPr="00A2407D">
        <w:rPr>
          <w:lang w:val="bg-BG"/>
        </w:rPr>
        <w:instrText xml:space="preserve"> \</w:instrText>
      </w:r>
      <w:r w:rsidR="002F2B60">
        <w:instrText>r</w:instrText>
      </w:r>
      <w:r w:rsidR="002F2B60" w:rsidRPr="00A2407D">
        <w:rPr>
          <w:lang w:val="bg-BG"/>
        </w:rPr>
        <w:instrText xml:space="preserve">1 \* </w:instrText>
      </w:r>
      <w:r w:rsidR="002F2B60">
        <w:instrText>MERGEFORMAT</w:instrText>
      </w:r>
      <w:r w:rsidR="002F2B60" w:rsidRPr="00A2407D">
        <w:rPr>
          <w:lang w:val="bg-BG"/>
        </w:rPr>
        <w:instrText xml:space="preserve"> </w:instrText>
      </w:r>
      <w:r w:rsidR="002F2B60">
        <w:fldChar w:fldCharType="separate"/>
      </w:r>
      <w:r w:rsidR="00F21D3F" w:rsidRPr="00A2407D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A2407D">
        <w:rPr>
          <w:lang w:val="bg-BG"/>
        </w:rPr>
        <w:t xml:space="preserve">) дали </w:t>
      </w:r>
      <w:r w:rsidR="00B102CE">
        <w:rPr>
          <w:lang w:val="bg-BG"/>
        </w:rPr>
        <w:t>сдружението</w:t>
      </w:r>
      <w:r w:rsidRPr="00A2407D">
        <w:rPr>
          <w:lang w:val="bg-BG"/>
        </w:rPr>
        <w:t xml:space="preserve"> може да твърди, че е жертва на намеса в правата </w:t>
      </w:r>
      <w:r w:rsidR="00B102CE">
        <w:rPr>
          <w:lang w:val="bg-BG"/>
        </w:rPr>
        <w:t>му</w:t>
      </w:r>
      <w:r w:rsidRPr="00A2407D">
        <w:rPr>
          <w:lang w:val="bg-BG"/>
        </w:rPr>
        <w:t xml:space="preserve"> по член 8 от Конвенцията само поради съществуването на разпоредбите, позволяващи </w:t>
      </w:r>
      <w:r w:rsidRPr="00A2407D">
        <w:rPr>
          <w:lang w:val="bg-BG"/>
        </w:rPr>
        <w:lastRenderedPageBreak/>
        <w:t>използването на „</w:t>
      </w:r>
      <w:r w:rsidR="00636119">
        <w:rPr>
          <w:lang w:val="bg-BG"/>
        </w:rPr>
        <w:t>служители</w:t>
      </w:r>
      <w:r w:rsidRPr="00A2407D">
        <w:rPr>
          <w:lang w:val="bg-BG"/>
        </w:rPr>
        <w:t xml:space="preserve"> </w:t>
      </w:r>
      <w:r w:rsidR="00A2407D">
        <w:rPr>
          <w:lang w:val="bg-BG"/>
        </w:rPr>
        <w:t>на</w:t>
      </w:r>
      <w:r w:rsidRPr="00A2407D">
        <w:rPr>
          <w:lang w:val="bg-BG"/>
        </w:rPr>
        <w:t xml:space="preserve"> прикритие“, и </w:t>
      </w:r>
      <w:r w:rsidR="002F2B60">
        <w:fldChar w:fldCharType="begin"/>
      </w:r>
      <w:r w:rsidR="002F2B60" w:rsidRPr="00A2407D">
        <w:rPr>
          <w:lang w:val="bg-BG"/>
        </w:rPr>
        <w:instrText xml:space="preserve"> </w:instrText>
      </w:r>
      <w:r w:rsidR="002F2B60">
        <w:instrText>SEQ</w:instrText>
      </w:r>
      <w:r w:rsidR="002F2B60" w:rsidRPr="00A2407D">
        <w:rPr>
          <w:lang w:val="bg-BG"/>
        </w:rPr>
        <w:instrText xml:space="preserve"> </w:instrText>
      </w:r>
      <w:r w:rsidR="002F2B60">
        <w:instrText>level</w:instrText>
      </w:r>
      <w:r w:rsidR="002F2B60" w:rsidRPr="00A2407D">
        <w:rPr>
          <w:lang w:val="bg-BG"/>
        </w:rPr>
        <w:instrText>1 \*</w:instrText>
      </w:r>
      <w:r w:rsidR="002F2B60">
        <w:instrText>alphabetic</w:instrText>
      </w:r>
      <w:r w:rsidR="002F2B60" w:rsidRPr="00A2407D">
        <w:rPr>
          <w:lang w:val="bg-BG"/>
        </w:rPr>
        <w:instrText xml:space="preserve"> \* </w:instrText>
      </w:r>
      <w:r w:rsidR="002F2B60">
        <w:instrText>MERGEFORMAT</w:instrText>
      </w:r>
      <w:r w:rsidR="002F2B60" w:rsidRPr="00A2407D">
        <w:rPr>
          <w:lang w:val="bg-BG"/>
        </w:rPr>
        <w:instrText xml:space="preserve"> </w:instrText>
      </w:r>
      <w:r w:rsidR="002F2B60">
        <w:fldChar w:fldCharType="separate"/>
      </w:r>
      <w:r w:rsidR="00F21D3F" w:rsidRPr="00A2407D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A2407D">
        <w:rPr>
          <w:lang w:val="bg-BG"/>
        </w:rPr>
        <w:t>) ако да, да</w:t>
      </w:r>
      <w:r w:rsidR="00A2407D">
        <w:rPr>
          <w:lang w:val="bg-BG"/>
        </w:rPr>
        <w:t>ли това е съвместимо с посочената разпоредба</w:t>
      </w:r>
      <w:r w:rsidRPr="00A2407D">
        <w:rPr>
          <w:lang w:val="bg-BG"/>
        </w:rPr>
        <w:t>.</w:t>
      </w:r>
    </w:p>
    <w:p w14:paraId="39FD5018" w14:textId="77777777" w:rsidR="00304BC9" w:rsidRPr="0040384C" w:rsidRDefault="000F3485" w:rsidP="00304BC9">
      <w:pPr>
        <w:pStyle w:val="JuHHead"/>
      </w:pPr>
      <w:bookmarkStart w:id="4" w:name="_Toc175214955"/>
      <w:bookmarkStart w:id="5" w:name="_Toc232688238"/>
      <w:r w:rsidRPr="0040384C">
        <w:t>ФАКТИ</w:t>
      </w:r>
      <w:bookmarkEnd w:id="4"/>
      <w:bookmarkEnd w:id="5"/>
    </w:p>
    <w:p w14:paraId="45F66B68" w14:textId="3095CB19" w:rsidR="00304BC9" w:rsidRPr="0040384C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</w:t>
      </w:r>
      <w:r>
        <w:rPr>
          <w:noProof/>
        </w:rPr>
        <w:fldChar w:fldCharType="end"/>
      </w:r>
      <w:r w:rsidR="00041130">
        <w:t xml:space="preserve">. </w:t>
      </w:r>
      <w:r w:rsidR="00636119">
        <w:t>Жалбоподателят</w:t>
      </w:r>
      <w:r w:rsidR="000F3485" w:rsidRPr="0040384C">
        <w:t xml:space="preserve"> е</w:t>
      </w:r>
      <w:r w:rsidR="000F3485">
        <w:t xml:space="preserve"> сдружение</w:t>
      </w:r>
      <w:r w:rsidR="000F3485" w:rsidRPr="0040384C">
        <w:t xml:space="preserve">, </w:t>
      </w:r>
      <w:r w:rsidR="000F3485">
        <w:t xml:space="preserve">основано </w:t>
      </w:r>
      <w:r w:rsidR="000F3485" w:rsidRPr="0040384C">
        <w:t>през</w:t>
      </w:r>
      <w:r w:rsidR="000F3485">
        <w:t xml:space="preserve"> 2006 г</w:t>
      </w:r>
      <w:r w:rsidR="000F3485" w:rsidRPr="0040384C">
        <w:t xml:space="preserve">., </w:t>
      </w:r>
      <w:r w:rsidR="000F3485">
        <w:t xml:space="preserve">със седалище в град Костенец, Софийска област. </w:t>
      </w:r>
      <w:r w:rsidR="008450F4">
        <w:rPr>
          <w:lang w:val="bg-BG"/>
        </w:rPr>
        <w:t>То</w:t>
      </w:r>
      <w:r w:rsidR="000F3485">
        <w:t xml:space="preserve"> беше </w:t>
      </w:r>
      <w:r w:rsidR="00F3584E">
        <w:t>представлявано</w:t>
      </w:r>
      <w:r w:rsidR="000F3485" w:rsidRPr="0040384C">
        <w:t xml:space="preserve"> от </w:t>
      </w:r>
      <w:r w:rsidR="000F3485">
        <w:t>г-н Т. Трифонов</w:t>
      </w:r>
      <w:r w:rsidR="000F3485" w:rsidRPr="0040384C">
        <w:t xml:space="preserve">, адвокат, практикуващ в </w:t>
      </w:r>
      <w:r w:rsidR="000F3485">
        <w:t>София</w:t>
      </w:r>
      <w:r w:rsidR="000F3485" w:rsidRPr="0040384C">
        <w:t>.</w:t>
      </w:r>
    </w:p>
    <w:p w14:paraId="19834196" w14:textId="50E8D977" w:rsidR="00304BC9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4</w:t>
      </w:r>
      <w:r>
        <w:rPr>
          <w:noProof/>
        </w:rPr>
        <w:fldChar w:fldCharType="end"/>
      </w:r>
      <w:r w:rsidR="00041130">
        <w:t xml:space="preserve">. </w:t>
      </w:r>
      <w:r w:rsidR="000F3485" w:rsidRPr="0040384C">
        <w:t xml:space="preserve">Правителството беше представлявано от своя </w:t>
      </w:r>
      <w:r w:rsidR="008450F4">
        <w:rPr>
          <w:lang w:val="bg-BG"/>
        </w:rPr>
        <w:t>правителствен агент</w:t>
      </w:r>
      <w:r w:rsidR="000F3485">
        <w:t>, г-жа Б. Симеонова от Министерството на правосъдието.</w:t>
      </w:r>
    </w:p>
    <w:p w14:paraId="5B77D1EF" w14:textId="6F02E748" w:rsidR="00304BC9" w:rsidRDefault="008450F4" w:rsidP="00304BC9">
      <w:pPr>
        <w:pStyle w:val="JuHIRoman"/>
      </w:pPr>
      <w:bookmarkStart w:id="6" w:name="_Toc232688239"/>
      <w:r>
        <w:rPr>
          <w:lang w:val="bg-BG"/>
        </w:rPr>
        <w:t>СДРУЖЕНИЕТО</w:t>
      </w:r>
      <w:r w:rsidR="00041130">
        <w:rPr>
          <w:lang w:val="bg-BG"/>
        </w:rPr>
        <w:t>-жалбоподател</w:t>
      </w:r>
      <w:bookmarkEnd w:id="6"/>
    </w:p>
    <w:bookmarkStart w:id="7" w:name="F_applicant_association"/>
    <w:p w14:paraId="1EBDB1BE" w14:textId="566C463C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5</w:t>
      </w:r>
      <w:r>
        <w:fldChar w:fldCharType="end"/>
      </w:r>
      <w:bookmarkEnd w:id="7"/>
      <w:r w:rsidR="00041130">
        <w:t xml:space="preserve">. </w:t>
      </w:r>
      <w:r>
        <w:t>Целите на</w:t>
      </w:r>
      <w:r w:rsidR="00971A20">
        <w:t xml:space="preserve"> </w:t>
      </w:r>
      <w:r w:rsidR="008450F4">
        <w:rPr>
          <w:lang w:val="bg-BG"/>
        </w:rPr>
        <w:t>сдружението</w:t>
      </w:r>
      <w:r>
        <w:t>, както са определени в устава му, се отнасят до въпроси, свързани със защитата на околната среда.</w:t>
      </w:r>
    </w:p>
    <w:p w14:paraId="6E58796C" w14:textId="7BD88524" w:rsidR="00304BC9" w:rsidRDefault="000F3485" w:rsidP="00304BC9">
      <w:pPr>
        <w:pStyle w:val="JuHIRoman"/>
      </w:pPr>
      <w:bookmarkStart w:id="8" w:name="_Toc175214957"/>
      <w:bookmarkStart w:id="9" w:name="_Toc232688240"/>
      <w:r>
        <w:t>ПРАВИЛАТА ЗА „</w:t>
      </w:r>
      <w:r w:rsidR="00041130">
        <w:rPr>
          <w:lang w:val="bg-BG"/>
        </w:rPr>
        <w:t xml:space="preserve">служители </w:t>
      </w:r>
      <w:r w:rsidR="00376657">
        <w:rPr>
          <w:lang w:val="bg-BG"/>
        </w:rPr>
        <w:t>НА</w:t>
      </w:r>
      <w:r>
        <w:t xml:space="preserve"> </w:t>
      </w:r>
      <w:r w:rsidR="00041130">
        <w:rPr>
          <w:lang w:val="bg-BG"/>
        </w:rPr>
        <w:t>прикритие</w:t>
      </w:r>
      <w:r>
        <w:t>“</w:t>
      </w:r>
      <w:bookmarkEnd w:id="8"/>
      <w:bookmarkEnd w:id="9"/>
    </w:p>
    <w:p w14:paraId="5337154D" w14:textId="03D47041" w:rsidR="00304BC9" w:rsidRPr="00A16C98" w:rsidRDefault="000F3485" w:rsidP="00304BC9">
      <w:pPr>
        <w:pStyle w:val="JuHA"/>
      </w:pPr>
      <w:bookmarkStart w:id="10" w:name="_Toc175214958"/>
      <w:bookmarkStart w:id="11" w:name="_Toc232688241"/>
      <w:r>
        <w:t xml:space="preserve">Както са били </w:t>
      </w:r>
      <w:r w:rsidR="00376657">
        <w:rPr>
          <w:lang w:val="bg-BG"/>
        </w:rPr>
        <w:t>приети</w:t>
      </w:r>
      <w:r>
        <w:t xml:space="preserve"> </w:t>
      </w:r>
      <w:r w:rsidR="00F3584E">
        <w:t xml:space="preserve">първоначално </w:t>
      </w:r>
      <w:r>
        <w:t>през 2008 г.</w:t>
      </w:r>
      <w:bookmarkEnd w:id="10"/>
      <w:bookmarkEnd w:id="11"/>
    </w:p>
    <w:bookmarkStart w:id="12" w:name="F_Regs_made"/>
    <w:p w14:paraId="03390890" w14:textId="10995EE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6</w:t>
      </w:r>
      <w:r>
        <w:fldChar w:fldCharType="end"/>
      </w:r>
      <w:bookmarkEnd w:id="12"/>
      <w:r w:rsidR="00041130">
        <w:t xml:space="preserve">. </w:t>
      </w:r>
      <w:r w:rsidR="00F3584E">
        <w:t>Въз основа на общата</w:t>
      </w:r>
      <w:r>
        <w:t xml:space="preserve"> </w:t>
      </w:r>
      <w:r w:rsidR="00354AF0">
        <w:rPr>
          <w:lang w:val="bg-BG"/>
        </w:rPr>
        <w:t>законода</w:t>
      </w:r>
      <w:r w:rsidR="00F3584E">
        <w:rPr>
          <w:lang w:val="bg-BG"/>
        </w:rPr>
        <w:t>телна</w:t>
      </w:r>
      <w:r w:rsidR="00354AF0">
        <w:rPr>
          <w:lang w:val="bg-BG"/>
        </w:rPr>
        <w:t xml:space="preserve"> делегация</w:t>
      </w:r>
      <w:r>
        <w:t xml:space="preserve">, </w:t>
      </w:r>
      <w:r w:rsidR="00354AF0">
        <w:rPr>
          <w:lang w:val="bg-BG"/>
        </w:rPr>
        <w:t>уредена</w:t>
      </w:r>
      <w:r>
        <w:t xml:space="preserve"> в </w:t>
      </w:r>
      <w:r w:rsidR="00354AF0">
        <w:rPr>
          <w:lang w:val="bg-BG"/>
        </w:rPr>
        <w:t xml:space="preserve">§ </w:t>
      </w:r>
      <w:r w:rsidR="00354AF0">
        <w:t xml:space="preserve">43 от </w:t>
      </w:r>
      <w:r w:rsidR="00354AF0">
        <w:rPr>
          <w:lang w:val="bg-BG"/>
        </w:rPr>
        <w:t>П</w:t>
      </w:r>
      <w:r w:rsidR="009426EC">
        <w:t>реходните и заключителни</w:t>
      </w:r>
      <w:r>
        <w:t xml:space="preserve"> разпоредби на </w:t>
      </w:r>
      <w:r w:rsidR="00F3584E">
        <w:t>Закона за Държавна</w:t>
      </w:r>
      <w:r w:rsidR="009426EC">
        <w:t xml:space="preserve"> агенция </w:t>
      </w:r>
      <w:r w:rsidR="009426EC">
        <w:rPr>
          <w:lang w:val="bg-BG"/>
        </w:rPr>
        <w:t>„Н</w:t>
      </w:r>
      <w:r w:rsidR="00F3584E">
        <w:t>ационална сигурност</w:t>
      </w:r>
      <w:r w:rsidR="00F3584E">
        <w:rPr>
          <w:lang w:val="bg-BG"/>
        </w:rPr>
        <w:t xml:space="preserve">“ </w:t>
      </w:r>
      <w:r>
        <w:t xml:space="preserve">от 2007 г. („Законът от 2007 г.“), който урежда дейността на Агенцията, през </w:t>
      </w:r>
      <w:r w:rsidR="009426EC">
        <w:rPr>
          <w:lang w:val="bg-BG"/>
        </w:rPr>
        <w:t xml:space="preserve">м. </w:t>
      </w:r>
      <w:r>
        <w:t>февруари 2008 г. правителството прие</w:t>
      </w:r>
      <w:r w:rsidR="009426EC">
        <w:rPr>
          <w:lang w:val="bg-BG"/>
        </w:rPr>
        <w:t>ма</w:t>
      </w:r>
      <w:r>
        <w:t xml:space="preserve"> </w:t>
      </w:r>
      <w:r w:rsidR="009426EC">
        <w:rPr>
          <w:lang w:val="bg-BG"/>
        </w:rPr>
        <w:t>Правилник</w:t>
      </w:r>
      <w:r>
        <w:t xml:space="preserve"> за прилагането на този закон. Т</w:t>
      </w:r>
      <w:r w:rsidR="002C7AD0">
        <w:rPr>
          <w:lang w:val="bg-BG"/>
        </w:rPr>
        <w:t>ой</w:t>
      </w:r>
      <w:r>
        <w:t xml:space="preserve"> </w:t>
      </w:r>
      <w:r w:rsidR="002C7AD0">
        <w:rPr>
          <w:lang w:val="bg-BG"/>
        </w:rPr>
        <w:t>е публикуван</w:t>
      </w:r>
      <w:r>
        <w:t xml:space="preserve"> в Държавен вестник по-късно същия месец (</w:t>
      </w:r>
      <w:r w:rsidRPr="00C12135">
        <w:rPr>
          <w:i/>
          <w:iCs/>
          <w:lang w:val="bg-BG"/>
        </w:rPr>
        <w:t>ДВ, бр.</w:t>
      </w:r>
      <w:r>
        <w:rPr>
          <w:i/>
          <w:iCs/>
        </w:rPr>
        <w:t xml:space="preserve"> 17 </w:t>
      </w:r>
      <w:r w:rsidRPr="00C12135">
        <w:rPr>
          <w:i/>
          <w:iCs/>
          <w:lang w:val="bg-BG"/>
        </w:rPr>
        <w:t>от</w:t>
      </w:r>
      <w:r>
        <w:rPr>
          <w:i/>
          <w:iCs/>
        </w:rPr>
        <w:t xml:space="preserve"> 19</w:t>
      </w:r>
      <w:r w:rsidRPr="00C12135">
        <w:rPr>
          <w:i/>
          <w:iCs/>
          <w:lang w:val="bg-BG"/>
        </w:rPr>
        <w:t>.</w:t>
      </w:r>
      <w:r>
        <w:rPr>
          <w:i/>
          <w:iCs/>
        </w:rPr>
        <w:t>02</w:t>
      </w:r>
      <w:r w:rsidRPr="00C12135">
        <w:rPr>
          <w:i/>
          <w:iCs/>
          <w:lang w:val="bg-BG"/>
        </w:rPr>
        <w:t>.</w:t>
      </w:r>
      <w:r>
        <w:rPr>
          <w:i/>
          <w:iCs/>
        </w:rPr>
        <w:t xml:space="preserve">2008 </w:t>
      </w:r>
      <w:r w:rsidRPr="00C12135">
        <w:rPr>
          <w:i/>
          <w:iCs/>
          <w:lang w:val="bg-BG"/>
        </w:rPr>
        <w:t>г.</w:t>
      </w:r>
      <w:r>
        <w:rPr>
          <w:i/>
          <w:iCs/>
          <w:lang w:val="bg-BG"/>
        </w:rPr>
        <w:t xml:space="preserve">, стр. </w:t>
      </w:r>
      <w:r>
        <w:rPr>
          <w:i/>
          <w:iCs/>
        </w:rPr>
        <w:t>7-17</w:t>
      </w:r>
      <w:r>
        <w:t xml:space="preserve">) и </w:t>
      </w:r>
      <w:r w:rsidR="002C7AD0">
        <w:rPr>
          <w:lang w:val="bg-BG"/>
        </w:rPr>
        <w:t>влиза</w:t>
      </w:r>
      <w:r>
        <w:t xml:space="preserve"> в сила три дни след датата на </w:t>
      </w:r>
      <w:r w:rsidR="002C7AD0">
        <w:rPr>
          <w:lang w:val="bg-BG"/>
        </w:rPr>
        <w:t>обнардосването му</w:t>
      </w:r>
      <w:r>
        <w:t xml:space="preserve"> (в съответствие с о</w:t>
      </w:r>
      <w:r w:rsidR="009E5A97">
        <w:t>бщото правило, установено в чл.</w:t>
      </w:r>
      <w:r>
        <w:t xml:space="preserve"> 5, </w:t>
      </w:r>
      <w:r w:rsidR="002C7AD0">
        <w:rPr>
          <w:rFonts w:cstheme="minorHAnsi"/>
          <w:lang w:val="bg-BG"/>
        </w:rPr>
        <w:t>ал.</w:t>
      </w:r>
      <w:r>
        <w:t xml:space="preserve"> 5 от Конституцията на България и в </w:t>
      </w:r>
      <w:r w:rsidR="009E5A97">
        <w:t>чл.</w:t>
      </w:r>
      <w:r w:rsidRPr="006A1B92">
        <w:t xml:space="preserve"> 41, </w:t>
      </w:r>
      <w:r w:rsidR="002C7AD0">
        <w:rPr>
          <w:lang w:val="bg-BG"/>
        </w:rPr>
        <w:t>ал.</w:t>
      </w:r>
      <w:r w:rsidRPr="006A1B92">
        <w:t xml:space="preserve"> 3 и 4 от Закона за нормативните актове от 1973 г.</w:t>
      </w:r>
      <w:r>
        <w:t>).</w:t>
      </w:r>
    </w:p>
    <w:bookmarkStart w:id="13" w:name="F_Regs_gen_description"/>
    <w:p w14:paraId="3E0A2AC5" w14:textId="46109270" w:rsidR="00304BC9" w:rsidRPr="00FF364A" w:rsidRDefault="000F3485" w:rsidP="00304BC9">
      <w:pPr>
        <w:pStyle w:val="JuPara"/>
      </w:pPr>
      <w:r w:rsidRPr="00FF364A">
        <w:fldChar w:fldCharType="begin"/>
      </w:r>
      <w:r w:rsidRPr="00FF364A">
        <w:instrText xml:space="preserve"> SEQ level0 \*arabic \* MERGEFORMAT </w:instrText>
      </w:r>
      <w:r w:rsidRPr="00FF364A">
        <w:fldChar w:fldCharType="separate"/>
      </w:r>
      <w:r w:rsidR="00F21D3F">
        <w:rPr>
          <w:noProof/>
        </w:rPr>
        <w:t>7</w:t>
      </w:r>
      <w:r w:rsidRPr="00FF364A">
        <w:fldChar w:fldCharType="end"/>
      </w:r>
      <w:bookmarkEnd w:id="13"/>
      <w:r w:rsidRPr="00FF364A">
        <w:t xml:space="preserve">.  Част </w:t>
      </w:r>
      <w:r w:rsidR="00A5713C">
        <w:rPr>
          <w:lang w:val="bg-BG"/>
        </w:rPr>
        <w:t>първа</w:t>
      </w:r>
      <w:r w:rsidRPr="00FF364A">
        <w:t xml:space="preserve"> от глава </w:t>
      </w:r>
      <w:r w:rsidR="00A5713C">
        <w:rPr>
          <w:lang w:val="bg-BG"/>
        </w:rPr>
        <w:t>пета</w:t>
      </w:r>
      <w:r w:rsidRPr="00FF364A">
        <w:t xml:space="preserve"> на </w:t>
      </w:r>
      <w:r w:rsidR="00A5713C">
        <w:rPr>
          <w:lang w:val="bg-BG"/>
        </w:rPr>
        <w:t>правилника</w:t>
      </w:r>
      <w:r w:rsidRPr="00FF364A">
        <w:t xml:space="preserve">, състояща се от </w:t>
      </w:r>
      <w:r w:rsidR="00A5713C">
        <w:rPr>
          <w:lang w:val="bg-BG"/>
        </w:rPr>
        <w:t>членове</w:t>
      </w:r>
      <w:r w:rsidR="009E5A97">
        <w:t xml:space="preserve"> 49-</w:t>
      </w:r>
      <w:r w:rsidRPr="00FF364A">
        <w:t xml:space="preserve">62, установява режима за т.нар. „служители </w:t>
      </w:r>
      <w:r w:rsidRPr="00A5713C">
        <w:rPr>
          <w:iCs/>
          <w:lang w:val="bg-BG"/>
        </w:rPr>
        <w:t>на</w:t>
      </w:r>
      <w:r w:rsidRPr="00FF364A">
        <w:rPr>
          <w:i/>
          <w:iCs/>
          <w:lang w:val="bg-BG"/>
        </w:rPr>
        <w:t xml:space="preserve"> </w:t>
      </w:r>
      <w:r w:rsidRPr="00FF364A">
        <w:t xml:space="preserve">прикритие“, които </w:t>
      </w:r>
      <w:r w:rsidR="009E5A97">
        <w:rPr>
          <w:lang w:val="bg-BG"/>
        </w:rPr>
        <w:t>Правилникът</w:t>
      </w:r>
      <w:r w:rsidR="009E5A97">
        <w:t xml:space="preserve"> разграничава</w:t>
      </w:r>
      <w:r w:rsidRPr="00FF364A">
        <w:t xml:space="preserve"> от </w:t>
      </w:r>
      <w:r>
        <w:t xml:space="preserve">„служители под </w:t>
      </w:r>
      <w:r w:rsidRPr="00200A0E">
        <w:t>прикри</w:t>
      </w:r>
      <w:r w:rsidRPr="00200A0E">
        <w:rPr>
          <w:iCs/>
          <w:lang w:val="bg-BG"/>
        </w:rPr>
        <w:t>тие</w:t>
      </w:r>
      <w:r w:rsidRPr="00FF364A">
        <w:t>“</w:t>
      </w:r>
      <w:r>
        <w:t>,</w:t>
      </w:r>
      <w:r w:rsidR="00200A0E">
        <w:rPr>
          <w:lang w:val="bg-BG"/>
        </w:rPr>
        <w:t xml:space="preserve"> чиято уредба е</w:t>
      </w:r>
      <w:r>
        <w:t xml:space="preserve"> на друго място в българското законодателство </w:t>
      </w:r>
      <w:r w:rsidRPr="00FF364A">
        <w:t xml:space="preserve">(вж. </w:t>
      </w:r>
      <w:r w:rsidR="00200A0E">
        <w:rPr>
          <w:lang w:val="bg-BG"/>
        </w:rPr>
        <w:t xml:space="preserve">параграфи </w:t>
      </w:r>
      <w:r w:rsidRPr="00FF364A">
        <w:fldChar w:fldCharType="begin"/>
      </w:r>
      <w:r w:rsidRPr="00FF364A">
        <w:instrText xml:space="preserve"> REF  RLF_SSMA_s_2 \h  \* MERGEFORMAT </w:instrText>
      </w:r>
      <w:r w:rsidRPr="00FF364A">
        <w:fldChar w:fldCharType="separate"/>
      </w:r>
      <w:r w:rsidR="00F21D3F">
        <w:t>74</w:t>
      </w:r>
      <w:r w:rsidRPr="00FF364A">
        <w:fldChar w:fldCharType="end"/>
      </w:r>
      <w:r w:rsidRPr="00FF364A">
        <w:t xml:space="preserve"> (</w:t>
      </w:r>
      <w:r w:rsidRPr="00FF364A">
        <w:fldChar w:fldCharType="begin"/>
      </w:r>
      <w:r w:rsidRPr="00FF364A">
        <w:instrText xml:space="preserve"> REF  RLF_SSMA_s_2_agents_under_cover \h  \* MERGEFORMAT </w:instrText>
      </w:r>
      <w:r w:rsidRPr="00FF364A">
        <w:fldChar w:fldCharType="separate"/>
      </w:r>
      <w:r w:rsidR="00F21D3F">
        <w:t>h</w:t>
      </w:r>
      <w:r w:rsidRPr="00FF364A">
        <w:fldChar w:fldCharType="end"/>
      </w:r>
      <w:r w:rsidRPr="00FF364A">
        <w:t>) и</w:t>
      </w:r>
      <w:r w:rsidR="00200A0E">
        <w:rPr>
          <w:lang w:val="bg-BG"/>
        </w:rPr>
        <w:t xml:space="preserve"> </w:t>
      </w:r>
      <w:r w:rsidRPr="00FF364A">
        <w:fldChar w:fldCharType="begin"/>
      </w:r>
      <w:r w:rsidRPr="00FF364A">
        <w:instrText xml:space="preserve"> REF  RLF_SSMA_s_10c_1 \h  \* MERGEFORMAT </w:instrText>
      </w:r>
      <w:r w:rsidRPr="00FF364A">
        <w:fldChar w:fldCharType="separate"/>
      </w:r>
      <w:r w:rsidR="00F21D3F">
        <w:t>75</w:t>
      </w:r>
      <w:r w:rsidRPr="00FF364A">
        <w:fldChar w:fldCharType="end"/>
      </w:r>
      <w:r w:rsidRPr="00FF364A">
        <w:t xml:space="preserve"> по-долу).</w:t>
      </w:r>
      <w:r>
        <w:rPr>
          <w:rStyle w:val="FootnoteReference"/>
        </w:rPr>
        <w:footnoteReference w:id="1"/>
      </w:r>
    </w:p>
    <w:bookmarkStart w:id="14" w:name="F_Regs_r_49"/>
    <w:p w14:paraId="271792B9" w14:textId="6614FC3B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8</w:t>
      </w:r>
      <w:r>
        <w:fldChar w:fldCharType="end"/>
      </w:r>
      <w:bookmarkEnd w:id="14"/>
      <w:r w:rsidR="00041130">
        <w:t xml:space="preserve">. </w:t>
      </w:r>
      <w:r>
        <w:t xml:space="preserve">Съгласно </w:t>
      </w:r>
      <w:r w:rsidR="00200A0E">
        <w:rPr>
          <w:lang w:val="bg-BG"/>
        </w:rPr>
        <w:t>чл.</w:t>
      </w:r>
      <w:r>
        <w:t xml:space="preserve"> 49 използването на „</w:t>
      </w:r>
      <w:r w:rsidR="00636119">
        <w:rPr>
          <w:lang w:val="bg-BG"/>
        </w:rPr>
        <w:t>служители</w:t>
      </w:r>
      <w:r>
        <w:t xml:space="preserve"> </w:t>
      </w:r>
      <w:r w:rsidR="00C960AF">
        <w:rPr>
          <w:lang w:val="bg-BG"/>
        </w:rPr>
        <w:t>на</w:t>
      </w:r>
      <w:r>
        <w:t xml:space="preserve"> прикритие“ и тяхната работа трябва да съответстват на принципите на законност и </w:t>
      </w:r>
      <w:r w:rsidR="00C960AF">
        <w:rPr>
          <w:lang w:val="bg-BG"/>
        </w:rPr>
        <w:t>конспиративност</w:t>
      </w:r>
      <w:r>
        <w:t>.</w:t>
      </w:r>
    </w:p>
    <w:bookmarkStart w:id="15" w:name="F_Regs_r_50"/>
    <w:p w14:paraId="4E6494CE" w14:textId="447AA20A" w:rsidR="00304BC9" w:rsidRDefault="000F3485" w:rsidP="00304BC9">
      <w:pPr>
        <w:pStyle w:val="JuPara"/>
      </w:pPr>
      <w:r>
        <w:lastRenderedPageBreak/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9</w:t>
      </w:r>
      <w:r>
        <w:fldChar w:fldCharType="end"/>
      </w:r>
      <w:bookmarkEnd w:id="15"/>
      <w:r w:rsidR="00041130">
        <w:t xml:space="preserve">. </w:t>
      </w:r>
      <w:r>
        <w:t xml:space="preserve">В първоначалния си текст </w:t>
      </w:r>
      <w:r w:rsidR="009D0D75">
        <w:rPr>
          <w:lang w:val="bg-BG"/>
        </w:rPr>
        <w:t>чл.</w:t>
      </w:r>
      <w:r w:rsidR="009D0D75">
        <w:t xml:space="preserve"> 50 позволява</w:t>
      </w:r>
      <w:r>
        <w:t xml:space="preserve"> на Агенцията да внедрява „</w:t>
      </w:r>
      <w:r w:rsidR="00636119">
        <w:rPr>
          <w:lang w:val="bg-BG"/>
        </w:rPr>
        <w:t>служители</w:t>
      </w:r>
      <w:r w:rsidR="009D0D75">
        <w:t xml:space="preserve"> на прикритие“ </w:t>
      </w:r>
      <w:r>
        <w:t>в държавни органи, организации и юридически лица.</w:t>
      </w:r>
    </w:p>
    <w:bookmarkStart w:id="16" w:name="F_Regs_r_51"/>
    <w:p w14:paraId="03AD7543" w14:textId="39E4ACC0" w:rsidR="00304BC9" w:rsidRPr="00AE52C1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</w:t>
      </w:r>
      <w:r>
        <w:fldChar w:fldCharType="end"/>
      </w:r>
      <w:bookmarkEnd w:id="16"/>
      <w:r w:rsidR="00041130">
        <w:t>.</w:t>
      </w:r>
      <w:r w:rsidR="000A545B">
        <w:rPr>
          <w:lang w:val="bg-BG"/>
        </w:rPr>
        <w:t xml:space="preserve"> Чл.</w:t>
      </w:r>
      <w:r w:rsidRPr="00AE52C1">
        <w:rPr>
          <w:lang w:val="bg-BG"/>
        </w:rPr>
        <w:t xml:space="preserve"> 51 уточнява, че (</w:t>
      </w:r>
      <w:r w:rsidR="002F2B60">
        <w:fldChar w:fldCharType="begin"/>
      </w:r>
      <w:r w:rsidR="002F2B60" w:rsidRPr="00AE52C1">
        <w:rPr>
          <w:lang w:val="bg-BG"/>
        </w:rPr>
        <w:instrText xml:space="preserve"> </w:instrText>
      </w:r>
      <w:r w:rsidR="002F2B60">
        <w:instrText>SEQ</w:instrText>
      </w:r>
      <w:r w:rsidR="002F2B60" w:rsidRPr="00AE52C1">
        <w:rPr>
          <w:lang w:val="bg-BG"/>
        </w:rPr>
        <w:instrText xml:space="preserve"> </w:instrText>
      </w:r>
      <w:r w:rsidR="002F2B60">
        <w:instrText>level</w:instrText>
      </w:r>
      <w:r w:rsidR="002F2B60" w:rsidRPr="00AE52C1">
        <w:rPr>
          <w:lang w:val="bg-BG"/>
        </w:rPr>
        <w:instrText>1 \*</w:instrText>
      </w:r>
      <w:r w:rsidR="002F2B60">
        <w:instrText>alphabetic</w:instrText>
      </w:r>
      <w:r w:rsidR="002F2B60" w:rsidRPr="00AE52C1">
        <w:rPr>
          <w:lang w:val="bg-BG"/>
        </w:rPr>
        <w:instrText xml:space="preserve"> \</w:instrText>
      </w:r>
      <w:r w:rsidR="002F2B60">
        <w:instrText>r</w:instrText>
      </w:r>
      <w:r w:rsidR="002F2B60" w:rsidRPr="00AE52C1">
        <w:rPr>
          <w:lang w:val="bg-BG"/>
        </w:rPr>
        <w:instrText xml:space="preserve">1 \* </w:instrText>
      </w:r>
      <w:r w:rsidR="002F2B60">
        <w:instrText>MERGEFORMAT</w:instrText>
      </w:r>
      <w:r w:rsidR="002F2B60" w:rsidRPr="00AE52C1">
        <w:rPr>
          <w:lang w:val="bg-BG"/>
        </w:rPr>
        <w:instrText xml:space="preserve"> </w:instrText>
      </w:r>
      <w:r w:rsidR="002F2B60">
        <w:fldChar w:fldCharType="separate"/>
      </w:r>
      <w:r w:rsidR="00F21D3F" w:rsidRPr="00AE52C1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AE52C1">
        <w:rPr>
          <w:lang w:val="bg-BG"/>
        </w:rPr>
        <w:t>) „</w:t>
      </w:r>
      <w:r w:rsidR="00041130">
        <w:rPr>
          <w:lang w:val="bg-BG"/>
        </w:rPr>
        <w:t>служители на</w:t>
      </w:r>
      <w:r w:rsidRPr="00AE52C1">
        <w:rPr>
          <w:lang w:val="bg-BG"/>
        </w:rPr>
        <w:t xml:space="preserve"> прикритие“ са служители на Агенцията, които имат </w:t>
      </w:r>
      <w:r w:rsidR="00AE52C1">
        <w:rPr>
          <w:lang w:val="bg-BG"/>
        </w:rPr>
        <w:t>особен</w:t>
      </w:r>
      <w:r w:rsidRPr="00AE52C1">
        <w:rPr>
          <w:lang w:val="bg-BG"/>
        </w:rPr>
        <w:t xml:space="preserve"> статут и пра</w:t>
      </w:r>
      <w:r w:rsidR="00B62A0F">
        <w:rPr>
          <w:lang w:val="bg-BG"/>
        </w:rPr>
        <w:t>вата и задълженията, свързани със заеманата длъжност на прикритие</w:t>
      </w:r>
      <w:r w:rsidRPr="00AE52C1">
        <w:rPr>
          <w:lang w:val="bg-BG"/>
        </w:rPr>
        <w:t>, и че (</w:t>
      </w:r>
      <w:r w:rsidR="002F2B60">
        <w:fldChar w:fldCharType="begin"/>
      </w:r>
      <w:r w:rsidR="002F2B60" w:rsidRPr="00AE52C1">
        <w:rPr>
          <w:lang w:val="bg-BG"/>
        </w:rPr>
        <w:instrText xml:space="preserve"> </w:instrText>
      </w:r>
      <w:r w:rsidR="002F2B60">
        <w:instrText>SEQ</w:instrText>
      </w:r>
      <w:r w:rsidR="002F2B60" w:rsidRPr="00AE52C1">
        <w:rPr>
          <w:lang w:val="bg-BG"/>
        </w:rPr>
        <w:instrText xml:space="preserve"> </w:instrText>
      </w:r>
      <w:r w:rsidR="002F2B60">
        <w:instrText>level</w:instrText>
      </w:r>
      <w:r w:rsidR="002F2B60" w:rsidRPr="00AE52C1">
        <w:rPr>
          <w:lang w:val="bg-BG"/>
        </w:rPr>
        <w:instrText>1 \*</w:instrText>
      </w:r>
      <w:r w:rsidR="002F2B60">
        <w:instrText>alphabetic</w:instrText>
      </w:r>
      <w:r w:rsidR="002F2B60" w:rsidRPr="00AE52C1">
        <w:rPr>
          <w:lang w:val="bg-BG"/>
        </w:rPr>
        <w:instrText xml:space="preserve"> \* </w:instrText>
      </w:r>
      <w:r w:rsidR="002F2B60">
        <w:instrText>MERGEFORMAT</w:instrText>
      </w:r>
      <w:r w:rsidR="002F2B60" w:rsidRPr="00AE52C1">
        <w:rPr>
          <w:lang w:val="bg-BG"/>
        </w:rPr>
        <w:instrText xml:space="preserve"> </w:instrText>
      </w:r>
      <w:r w:rsidR="002F2B60">
        <w:fldChar w:fldCharType="separate"/>
      </w:r>
      <w:r w:rsidR="00F21D3F" w:rsidRPr="00AE52C1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AE52C1">
        <w:rPr>
          <w:lang w:val="bg-BG"/>
        </w:rPr>
        <w:t>) само държавни служители, които вече са преминали начално обучение и са получили разрешение за достъп до класифицирана информация, могат да станат „</w:t>
      </w:r>
      <w:r w:rsidR="00041130">
        <w:rPr>
          <w:lang w:val="bg-BG"/>
        </w:rPr>
        <w:t>служители на</w:t>
      </w:r>
      <w:r w:rsidRPr="00AE52C1">
        <w:rPr>
          <w:lang w:val="bg-BG"/>
        </w:rPr>
        <w:t xml:space="preserve"> прикритие“.</w:t>
      </w:r>
    </w:p>
    <w:bookmarkStart w:id="17" w:name="F_Regs_r_52"/>
    <w:p w14:paraId="30783753" w14:textId="1D914157" w:rsidR="00304BC9" w:rsidRPr="003511A9" w:rsidRDefault="000F3485" w:rsidP="00304BC9">
      <w:pPr>
        <w:pStyle w:val="JuPara"/>
        <w:rPr>
          <w:lang w:val="bg-BG"/>
        </w:rPr>
      </w:pPr>
      <w:r>
        <w:fldChar w:fldCharType="begin"/>
      </w:r>
      <w:r w:rsidRPr="003511A9">
        <w:rPr>
          <w:lang w:val="bg-BG"/>
        </w:rPr>
        <w:instrText xml:space="preserve"> </w:instrText>
      </w:r>
      <w:r>
        <w:instrText>SEQ</w:instrText>
      </w:r>
      <w:r w:rsidRPr="003511A9">
        <w:rPr>
          <w:lang w:val="bg-BG"/>
        </w:rPr>
        <w:instrText xml:space="preserve"> </w:instrText>
      </w:r>
      <w:r>
        <w:instrText>level</w:instrText>
      </w:r>
      <w:r w:rsidRPr="003511A9">
        <w:rPr>
          <w:lang w:val="bg-BG"/>
        </w:rPr>
        <w:instrText>0 \*</w:instrText>
      </w:r>
      <w:r>
        <w:instrText>arabic</w:instrText>
      </w:r>
      <w:r w:rsidRPr="003511A9">
        <w:rPr>
          <w:lang w:val="bg-BG"/>
        </w:rPr>
        <w:instrText xml:space="preserve"> \* </w:instrText>
      </w:r>
      <w:r>
        <w:instrText>MERGEFORMAT</w:instrText>
      </w:r>
      <w:r w:rsidRPr="003511A9">
        <w:rPr>
          <w:lang w:val="bg-BG"/>
        </w:rPr>
        <w:instrText xml:space="preserve"> </w:instrText>
      </w:r>
      <w:r>
        <w:fldChar w:fldCharType="separate"/>
      </w:r>
      <w:r w:rsidR="00F21D3F" w:rsidRPr="003511A9">
        <w:rPr>
          <w:noProof/>
          <w:lang w:val="bg-BG"/>
        </w:rPr>
        <w:t>11</w:t>
      </w:r>
      <w:r>
        <w:fldChar w:fldCharType="end"/>
      </w:r>
      <w:bookmarkEnd w:id="17"/>
      <w:r w:rsidR="00041130" w:rsidRPr="003511A9">
        <w:rPr>
          <w:lang w:val="bg-BG"/>
        </w:rPr>
        <w:t xml:space="preserve">. </w:t>
      </w:r>
      <w:r w:rsidRPr="003511A9">
        <w:rPr>
          <w:lang w:val="bg-BG"/>
        </w:rPr>
        <w:t xml:space="preserve">„Работата </w:t>
      </w:r>
      <w:r w:rsidR="000540AF">
        <w:rPr>
          <w:lang w:val="bg-BG"/>
        </w:rPr>
        <w:t>на</w:t>
      </w:r>
      <w:r w:rsidRPr="003511A9">
        <w:rPr>
          <w:lang w:val="bg-BG"/>
        </w:rPr>
        <w:t xml:space="preserve"> прикритие“ на такива </w:t>
      </w:r>
      <w:r w:rsidR="00636119">
        <w:rPr>
          <w:lang w:val="bg-BG"/>
        </w:rPr>
        <w:t>служители</w:t>
      </w:r>
      <w:r w:rsidRPr="003511A9">
        <w:rPr>
          <w:lang w:val="bg-BG"/>
        </w:rPr>
        <w:t xml:space="preserve"> е възможна, ако съществува „доказана оперативна необходимост“ (</w:t>
      </w:r>
      <w:r w:rsidR="000540AF">
        <w:rPr>
          <w:lang w:val="bg-BG"/>
        </w:rPr>
        <w:t>чл.</w:t>
      </w:r>
      <w:r w:rsidRPr="003511A9">
        <w:rPr>
          <w:lang w:val="bg-BG"/>
        </w:rPr>
        <w:t xml:space="preserve"> 52, </w:t>
      </w:r>
      <w:r w:rsidR="000540AF">
        <w:rPr>
          <w:lang w:val="bg-BG"/>
        </w:rPr>
        <w:t>ал.</w:t>
      </w:r>
      <w:r w:rsidRPr="003511A9">
        <w:rPr>
          <w:lang w:val="bg-BG"/>
        </w:rPr>
        <w:t xml:space="preserve"> 1). Такова необходимост съществува, ако законоустановените задачи на Агенцията не могат да бъдат изпълнени по друг начин (</w:t>
      </w:r>
      <w:r w:rsidR="000540AF">
        <w:rPr>
          <w:lang w:val="bg-BG"/>
        </w:rPr>
        <w:t>чл.</w:t>
      </w:r>
      <w:r w:rsidRPr="003511A9">
        <w:rPr>
          <w:lang w:val="bg-BG"/>
        </w:rPr>
        <w:t xml:space="preserve"> 52, </w:t>
      </w:r>
      <w:r w:rsidR="000540AF">
        <w:rPr>
          <w:lang w:val="bg-BG"/>
        </w:rPr>
        <w:t>ал.</w:t>
      </w:r>
      <w:r w:rsidRPr="003511A9">
        <w:rPr>
          <w:lang w:val="bg-BG"/>
        </w:rPr>
        <w:t xml:space="preserve"> 2). Ръководителят на съответния отдел или звено на Агенцията трябва да докаже наличието на такава оперативна необходимос</w:t>
      </w:r>
      <w:r w:rsidR="00C27864" w:rsidRPr="003511A9">
        <w:rPr>
          <w:lang w:val="bg-BG"/>
        </w:rPr>
        <w:t>т пред председателя</w:t>
      </w:r>
      <w:r w:rsidRPr="003511A9">
        <w:rPr>
          <w:lang w:val="bg-BG"/>
        </w:rPr>
        <w:t xml:space="preserve"> на Агенцията (</w:t>
      </w:r>
      <w:r w:rsidR="000A545B">
        <w:rPr>
          <w:lang w:val="bg-BG"/>
        </w:rPr>
        <w:t>чл. 52, ал.</w:t>
      </w:r>
      <w:r w:rsidRPr="003511A9">
        <w:rPr>
          <w:lang w:val="bg-BG"/>
        </w:rPr>
        <w:t xml:space="preserve"> 3).</w:t>
      </w:r>
    </w:p>
    <w:bookmarkStart w:id="18" w:name="F_Regs_r_53"/>
    <w:p w14:paraId="0EEF3689" w14:textId="5588DB39" w:rsidR="00304BC9" w:rsidRPr="00290A54" w:rsidRDefault="000F3485" w:rsidP="00304BC9">
      <w:pPr>
        <w:pStyle w:val="JuPara"/>
        <w:rPr>
          <w:lang w:val="bg-BG"/>
        </w:rPr>
      </w:pPr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0 \*</w:instrText>
      </w:r>
      <w:r>
        <w:instrText>arabic</w:instrText>
      </w:r>
      <w:r w:rsidRPr="00290A54">
        <w:rPr>
          <w:lang w:val="bg-BG"/>
        </w:rPr>
        <w:instrText xml:space="preserve">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noProof/>
          <w:lang w:val="bg-BG"/>
        </w:rPr>
        <w:t>12</w:t>
      </w:r>
      <w:r>
        <w:fldChar w:fldCharType="end"/>
      </w:r>
      <w:bookmarkEnd w:id="18"/>
      <w:r w:rsidR="00041130" w:rsidRPr="00290A54">
        <w:rPr>
          <w:lang w:val="bg-BG"/>
        </w:rPr>
        <w:t xml:space="preserve">. </w:t>
      </w:r>
      <w:r w:rsidRPr="00290A54">
        <w:rPr>
          <w:lang w:val="bg-BG"/>
        </w:rPr>
        <w:t>„</w:t>
      </w:r>
      <w:r w:rsidR="00041130">
        <w:rPr>
          <w:lang w:val="bg-BG"/>
        </w:rPr>
        <w:t>Служителите на</w:t>
      </w:r>
      <w:r w:rsidRPr="00290A54">
        <w:rPr>
          <w:lang w:val="bg-BG"/>
        </w:rPr>
        <w:t xml:space="preserve"> прикритие“ могат да извършват </w:t>
      </w:r>
      <w:r w:rsidR="00296E8D">
        <w:rPr>
          <w:lang w:val="bg-BG"/>
        </w:rPr>
        <w:t>оперативно-</w:t>
      </w:r>
      <w:r w:rsidRPr="00290A54">
        <w:rPr>
          <w:lang w:val="bg-BG"/>
        </w:rPr>
        <w:t>разузнавателна и контраразузнавателна дейност за защита на националната сигурност (</w:t>
      </w:r>
      <w:r w:rsidR="000345E5">
        <w:rPr>
          <w:lang w:val="bg-BG"/>
        </w:rPr>
        <w:t xml:space="preserve">чл. </w:t>
      </w:r>
      <w:r w:rsidRPr="00290A54">
        <w:rPr>
          <w:lang w:val="bg-BG"/>
        </w:rPr>
        <w:t xml:space="preserve">53, </w:t>
      </w:r>
      <w:r w:rsidR="000345E5">
        <w:rPr>
          <w:lang w:val="bg-BG"/>
        </w:rPr>
        <w:t>ал.</w:t>
      </w:r>
      <w:r w:rsidRPr="00290A54">
        <w:rPr>
          <w:lang w:val="bg-BG"/>
        </w:rPr>
        <w:t xml:space="preserve"> 1). Точните им задачи се определят от </w:t>
      </w:r>
      <w:r w:rsidR="00476C7C">
        <w:rPr>
          <w:lang w:val="bg-BG"/>
        </w:rPr>
        <w:t>председателя</w:t>
      </w:r>
      <w:r w:rsidRPr="00290A54">
        <w:rPr>
          <w:lang w:val="bg-BG"/>
        </w:rPr>
        <w:t xml:space="preserve"> на Агенцията във всеки отделен случай </w:t>
      </w:r>
      <w:r w:rsidR="00476C7C">
        <w:rPr>
          <w:lang w:val="bg-BG"/>
        </w:rPr>
        <w:t>(чл.</w:t>
      </w:r>
      <w:r w:rsidRPr="00290A54">
        <w:rPr>
          <w:lang w:val="bg-BG"/>
        </w:rPr>
        <w:t xml:space="preserve"> 53, </w:t>
      </w:r>
      <w:r w:rsidR="00476C7C">
        <w:rPr>
          <w:lang w:val="bg-BG"/>
        </w:rPr>
        <w:t>ал.</w:t>
      </w:r>
      <w:r w:rsidRPr="00290A54">
        <w:rPr>
          <w:lang w:val="bg-BG"/>
        </w:rPr>
        <w:t xml:space="preserve"> 2). Те не могат да арестуват, претърсват или разпитват хора, нито да използват огнестрелно оръжие или физическа сила (</w:t>
      </w:r>
      <w:r w:rsidR="00476C7C">
        <w:rPr>
          <w:lang w:val="bg-BG"/>
        </w:rPr>
        <w:t>чл.</w:t>
      </w:r>
      <w:r w:rsidRPr="00290A54">
        <w:rPr>
          <w:lang w:val="bg-BG"/>
        </w:rPr>
        <w:t xml:space="preserve"> 53, </w:t>
      </w:r>
      <w:r w:rsidR="00476C7C">
        <w:rPr>
          <w:lang w:val="bg-BG"/>
        </w:rPr>
        <w:t>ал.</w:t>
      </w:r>
      <w:r w:rsidRPr="00290A54">
        <w:rPr>
          <w:lang w:val="bg-BG"/>
        </w:rPr>
        <w:t xml:space="preserve"> 3, във връзка със съответните </w:t>
      </w:r>
      <w:r w:rsidR="008265FB">
        <w:rPr>
          <w:lang w:val="bg-BG"/>
        </w:rPr>
        <w:t>членове</w:t>
      </w:r>
      <w:r w:rsidRPr="00290A54">
        <w:rPr>
          <w:lang w:val="bg-BG"/>
        </w:rPr>
        <w:t xml:space="preserve"> от Закона от 2007 г.).</w:t>
      </w:r>
    </w:p>
    <w:bookmarkStart w:id="19" w:name="F_Regs_r_54"/>
    <w:p w14:paraId="0A0BCEE9" w14:textId="20F69CFC" w:rsidR="00304BC9" w:rsidRPr="00290A54" w:rsidRDefault="000F3485" w:rsidP="00304BC9">
      <w:pPr>
        <w:pStyle w:val="JuPara"/>
        <w:rPr>
          <w:lang w:val="bg-BG"/>
        </w:rPr>
      </w:pPr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0 \*</w:instrText>
      </w:r>
      <w:r>
        <w:instrText>arabic</w:instrText>
      </w:r>
      <w:r w:rsidRPr="00290A54">
        <w:rPr>
          <w:lang w:val="bg-BG"/>
        </w:rPr>
        <w:instrText xml:space="preserve">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noProof/>
          <w:lang w:val="bg-BG"/>
        </w:rPr>
        <w:t>13</w:t>
      </w:r>
      <w:r>
        <w:fldChar w:fldCharType="end"/>
      </w:r>
      <w:bookmarkEnd w:id="19"/>
      <w:r w:rsidR="00041130" w:rsidRPr="00290A54">
        <w:rPr>
          <w:lang w:val="bg-BG"/>
        </w:rPr>
        <w:t xml:space="preserve">. </w:t>
      </w:r>
      <w:r w:rsidRPr="00290A54">
        <w:rPr>
          <w:lang w:val="bg-BG"/>
        </w:rPr>
        <w:t>Те трябва да работят по начин, който не създава риск от разкриване на прикритието им (</w:t>
      </w:r>
      <w:r w:rsidR="00B81BCA">
        <w:rPr>
          <w:lang w:val="bg-BG"/>
        </w:rPr>
        <w:t>чл.</w:t>
      </w:r>
      <w:r w:rsidRPr="00290A54">
        <w:rPr>
          <w:lang w:val="bg-BG"/>
        </w:rPr>
        <w:t xml:space="preserve"> 54).</w:t>
      </w:r>
    </w:p>
    <w:bookmarkStart w:id="20" w:name="F_Regs_r_55"/>
    <w:p w14:paraId="020D6969" w14:textId="1F8643B9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14</w:t>
      </w:r>
      <w:r>
        <w:fldChar w:fldCharType="end"/>
      </w:r>
      <w:bookmarkEnd w:id="20"/>
      <w:r w:rsidR="00041130" w:rsidRPr="00FE0C4F">
        <w:rPr>
          <w:lang w:val="bg-BG"/>
        </w:rPr>
        <w:t xml:space="preserve">. </w:t>
      </w:r>
      <w:r w:rsidRPr="00FE0C4F">
        <w:rPr>
          <w:lang w:val="bg-BG"/>
        </w:rPr>
        <w:t>В първоначалн</w:t>
      </w:r>
      <w:r w:rsidR="00B6780E">
        <w:rPr>
          <w:lang w:val="bg-BG"/>
        </w:rPr>
        <w:t xml:space="preserve">ата си редакция </w:t>
      </w:r>
      <w:r w:rsidR="00B6780E" w:rsidRPr="00FE0C4F">
        <w:rPr>
          <w:lang w:val="bg-BG"/>
        </w:rPr>
        <w:t xml:space="preserve">(преди измененията в </w:t>
      </w:r>
      <w:r w:rsidR="00B6780E">
        <w:rPr>
          <w:lang w:val="bg-BG"/>
        </w:rPr>
        <w:t>правилника</w:t>
      </w:r>
      <w:r w:rsidRPr="00FE0C4F">
        <w:rPr>
          <w:lang w:val="bg-BG"/>
        </w:rPr>
        <w:t xml:space="preserve"> от 2018 г. – вж. параграфи</w:t>
      </w:r>
      <w:r w:rsidR="00B6780E">
        <w:rPr>
          <w:lang w:val="bg-BG"/>
        </w:rPr>
        <w:t xml:space="preserve"> 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F</w:instrText>
      </w:r>
      <w:r w:rsidRPr="00FE0C4F">
        <w:rPr>
          <w:lang w:val="bg-BG"/>
        </w:rPr>
        <w:instrText>_</w:instrText>
      </w:r>
      <w:r>
        <w:instrText>Regs</w:instrText>
      </w:r>
      <w:r w:rsidRPr="00FE0C4F">
        <w:rPr>
          <w:lang w:val="bg-BG"/>
        </w:rPr>
        <w:instrText>_2018_</w:instrText>
      </w:r>
      <w:r>
        <w:instrText>amnd</w:instrText>
      </w:r>
      <w:r w:rsidRPr="00FE0C4F">
        <w:rPr>
          <w:lang w:val="bg-BG"/>
        </w:rPr>
        <w:instrText>_</w:instrText>
      </w:r>
      <w:r>
        <w:instrText>SANS</w:instrText>
      </w:r>
      <w:r w:rsidRPr="00FE0C4F">
        <w:rPr>
          <w:lang w:val="bg-BG"/>
        </w:rPr>
        <w:instrText>_</w:instrText>
      </w:r>
      <w:r>
        <w:instrText>proposal</w:instrText>
      </w:r>
      <w:r w:rsidRPr="00FE0C4F">
        <w:rPr>
          <w:lang w:val="bg-BG"/>
        </w:rPr>
        <w:instrText xml:space="preserve">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18</w:t>
      </w:r>
      <w:r>
        <w:fldChar w:fldCharType="end"/>
      </w:r>
      <w:r w:rsidR="00B6780E">
        <w:rPr>
          <w:lang w:val="bg-BG"/>
        </w:rPr>
        <w:t>-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F</w:instrText>
      </w:r>
      <w:r w:rsidRPr="00FE0C4F">
        <w:rPr>
          <w:lang w:val="bg-BG"/>
        </w:rPr>
        <w:instrText>_</w:instrText>
      </w:r>
      <w:r>
        <w:instrText>Regs</w:instrText>
      </w:r>
      <w:r w:rsidRPr="00FE0C4F">
        <w:rPr>
          <w:lang w:val="bg-BG"/>
        </w:rPr>
        <w:instrText>_2018_</w:instrText>
      </w:r>
      <w:r>
        <w:instrText>amnd</w:instrText>
      </w:r>
      <w:r w:rsidRPr="00FE0C4F">
        <w:rPr>
          <w:lang w:val="bg-BG"/>
        </w:rPr>
        <w:instrText>_</w:instrText>
      </w:r>
      <w:r>
        <w:instrText>r</w:instrText>
      </w:r>
      <w:r w:rsidRPr="00FE0C4F">
        <w:rPr>
          <w:lang w:val="bg-BG"/>
        </w:rPr>
        <w:instrText>_55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30</w:t>
      </w:r>
      <w:r>
        <w:fldChar w:fldCharType="end"/>
      </w:r>
      <w:r w:rsidR="00B6780E" w:rsidRPr="00FE0C4F">
        <w:rPr>
          <w:lang w:val="bg-BG"/>
        </w:rPr>
        <w:t xml:space="preserve"> по-долу), чл.</w:t>
      </w:r>
      <w:r w:rsidRPr="00FE0C4F">
        <w:rPr>
          <w:lang w:val="bg-BG"/>
        </w:rPr>
        <w:t xml:space="preserve"> 55, </w:t>
      </w:r>
      <w:r w:rsidR="00B6780E">
        <w:rPr>
          <w:lang w:val="bg-BG"/>
        </w:rPr>
        <w:t>ал.</w:t>
      </w:r>
      <w:r w:rsidR="00B6780E" w:rsidRPr="00FE0C4F">
        <w:rPr>
          <w:lang w:val="bg-BG"/>
        </w:rPr>
        <w:t xml:space="preserve"> 1 предвижда</w:t>
      </w:r>
      <w:r w:rsidRPr="00FE0C4F">
        <w:rPr>
          <w:lang w:val="bg-BG"/>
        </w:rPr>
        <w:t xml:space="preserve"> служителите на Агенцията да бъдат назначавани като „</w:t>
      </w:r>
      <w:r w:rsidR="00636119">
        <w:rPr>
          <w:lang w:val="bg-BG"/>
        </w:rPr>
        <w:t>служители</w:t>
      </w:r>
      <w:r w:rsidRPr="00FE0C4F">
        <w:rPr>
          <w:lang w:val="bg-BG"/>
        </w:rPr>
        <w:t xml:space="preserve"> </w:t>
      </w:r>
      <w:r w:rsidR="00B6780E">
        <w:rPr>
          <w:lang w:val="bg-BG"/>
        </w:rPr>
        <w:t>на</w:t>
      </w:r>
      <w:r w:rsidRPr="00FE0C4F">
        <w:rPr>
          <w:lang w:val="bg-BG"/>
        </w:rPr>
        <w:t xml:space="preserve"> прикритие“ от ръководителя на целевата организация по искане на </w:t>
      </w:r>
      <w:r w:rsidR="008B745F">
        <w:rPr>
          <w:lang w:val="bg-BG"/>
        </w:rPr>
        <w:t>председателя</w:t>
      </w:r>
      <w:r w:rsidRPr="00FE0C4F">
        <w:rPr>
          <w:lang w:val="bg-BG"/>
        </w:rPr>
        <w:t xml:space="preserve"> на Агенцията. Съществуващ служител на </w:t>
      </w:r>
      <w:r w:rsidR="000A660E">
        <w:rPr>
          <w:lang w:val="bg-BG"/>
        </w:rPr>
        <w:t>целевата организация също можел</w:t>
      </w:r>
      <w:r w:rsidRPr="00FE0C4F">
        <w:rPr>
          <w:lang w:val="bg-BG"/>
        </w:rPr>
        <w:t xml:space="preserve"> да бъде </w:t>
      </w:r>
      <w:r w:rsidR="000A660E">
        <w:rPr>
          <w:lang w:val="bg-BG"/>
        </w:rPr>
        <w:t>внедрен</w:t>
      </w:r>
      <w:r w:rsidRPr="00FE0C4F">
        <w:rPr>
          <w:lang w:val="bg-BG"/>
        </w:rPr>
        <w:t xml:space="preserve"> като „</w:t>
      </w:r>
      <w:r w:rsidR="00636119">
        <w:rPr>
          <w:lang w:val="bg-BG"/>
        </w:rPr>
        <w:t>служител</w:t>
      </w:r>
      <w:r w:rsidRPr="00FE0C4F">
        <w:rPr>
          <w:lang w:val="bg-BG"/>
        </w:rPr>
        <w:t xml:space="preserve"> </w:t>
      </w:r>
      <w:r w:rsidR="000A660E">
        <w:rPr>
          <w:lang w:val="bg-BG"/>
        </w:rPr>
        <w:t>на</w:t>
      </w:r>
      <w:r w:rsidRPr="00FE0C4F">
        <w:rPr>
          <w:lang w:val="bg-BG"/>
        </w:rPr>
        <w:t xml:space="preserve">прикритие“ чрез </w:t>
      </w:r>
      <w:r w:rsidR="00BC16F5">
        <w:rPr>
          <w:lang w:val="bg-BG"/>
        </w:rPr>
        <w:t>назначаването му</w:t>
      </w:r>
      <w:r w:rsidRPr="00FE0C4F">
        <w:rPr>
          <w:lang w:val="bg-BG"/>
        </w:rPr>
        <w:t xml:space="preserve"> като служител на Агенцията (</w:t>
      </w:r>
      <w:r w:rsidR="00BC16F5">
        <w:rPr>
          <w:lang w:val="bg-BG"/>
        </w:rPr>
        <w:t>чл.</w:t>
      </w:r>
      <w:r w:rsidRPr="00FE0C4F">
        <w:rPr>
          <w:lang w:val="bg-BG"/>
        </w:rPr>
        <w:t xml:space="preserve"> 55, </w:t>
      </w:r>
      <w:r w:rsidR="00BC16F5">
        <w:rPr>
          <w:lang w:val="bg-BG"/>
        </w:rPr>
        <w:t xml:space="preserve">ал. </w:t>
      </w:r>
      <w:r w:rsidRPr="00FE0C4F">
        <w:rPr>
          <w:lang w:val="bg-BG"/>
        </w:rPr>
        <w:t>2).</w:t>
      </w:r>
    </w:p>
    <w:bookmarkStart w:id="21" w:name="F_Regs_r_56"/>
    <w:p w14:paraId="57918D6D" w14:textId="7D169168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15</w:t>
      </w:r>
      <w:r>
        <w:fldChar w:fldCharType="end"/>
      </w:r>
      <w:bookmarkEnd w:id="21"/>
      <w:r w:rsidR="00041130" w:rsidRPr="00FE0C4F">
        <w:rPr>
          <w:lang w:val="bg-BG"/>
        </w:rPr>
        <w:t xml:space="preserve">. </w:t>
      </w:r>
      <w:r w:rsidRPr="00FE0C4F">
        <w:rPr>
          <w:lang w:val="bg-BG"/>
        </w:rPr>
        <w:t xml:space="preserve">Процедурата за назначаване преди измененията от 2018 г. </w:t>
      </w:r>
      <w:r w:rsidR="00B85549">
        <w:rPr>
          <w:lang w:val="bg-BG"/>
        </w:rPr>
        <w:t xml:space="preserve">е </w:t>
      </w:r>
      <w:r w:rsidR="000A660E">
        <w:rPr>
          <w:lang w:val="bg-BG"/>
        </w:rPr>
        <w:t>следната</w:t>
      </w:r>
      <w:r w:rsidRPr="00FE0C4F">
        <w:rPr>
          <w:lang w:val="bg-BG"/>
        </w:rPr>
        <w:t xml:space="preserve">. </w:t>
      </w:r>
      <w:r w:rsidR="005209DB">
        <w:rPr>
          <w:lang w:val="bg-BG"/>
        </w:rPr>
        <w:t>Председателят</w:t>
      </w:r>
      <w:r w:rsidR="005209DB" w:rsidRPr="00FE0C4F">
        <w:rPr>
          <w:lang w:val="bg-BG"/>
        </w:rPr>
        <w:t xml:space="preserve"> на Агенцията трябва</w:t>
      </w:r>
      <w:r w:rsidRPr="00FE0C4F">
        <w:rPr>
          <w:lang w:val="bg-BG"/>
        </w:rPr>
        <w:t xml:space="preserve"> да отправи искане към целевата организация, да определи длъжностите в нея, които биха били подходящи за внедряване на „</w:t>
      </w:r>
      <w:r w:rsidR="00636119">
        <w:rPr>
          <w:lang w:val="bg-BG"/>
        </w:rPr>
        <w:t xml:space="preserve">служител </w:t>
      </w:r>
      <w:r w:rsidR="005209DB">
        <w:rPr>
          <w:lang w:val="bg-BG"/>
        </w:rPr>
        <w:t>на</w:t>
      </w:r>
      <w:r w:rsidR="00636119">
        <w:rPr>
          <w:lang w:val="bg-BG"/>
        </w:rPr>
        <w:t xml:space="preserve"> прикритие</w:t>
      </w:r>
      <w:r w:rsidRPr="00FE0C4F">
        <w:rPr>
          <w:lang w:val="bg-BG"/>
        </w:rPr>
        <w:t>“, и да посочи служител за връзка от Агенцията (</w:t>
      </w:r>
      <w:r w:rsidR="005209DB">
        <w:rPr>
          <w:lang w:val="bg-BG"/>
        </w:rPr>
        <w:t>чл.</w:t>
      </w:r>
      <w:r w:rsidRPr="00FE0C4F">
        <w:rPr>
          <w:lang w:val="bg-BG"/>
        </w:rPr>
        <w:t xml:space="preserve"> 56, </w:t>
      </w:r>
      <w:r w:rsidR="005209DB">
        <w:rPr>
          <w:lang w:val="bg-BG"/>
        </w:rPr>
        <w:t>ал.</w:t>
      </w:r>
      <w:r w:rsidRPr="00FE0C4F">
        <w:rPr>
          <w:lang w:val="bg-BG"/>
        </w:rPr>
        <w:t xml:space="preserve"> 1). Ако цел</w:t>
      </w:r>
      <w:r w:rsidR="00F64D32" w:rsidRPr="00FE0C4F">
        <w:rPr>
          <w:lang w:val="bg-BG"/>
        </w:rPr>
        <w:t>евата организация се съгласи, тя трябва</w:t>
      </w:r>
      <w:r w:rsidRPr="00FE0C4F">
        <w:rPr>
          <w:lang w:val="bg-BG"/>
        </w:rPr>
        <w:t xml:space="preserve"> да информира Агенцията за уменията и квалификациите, които „</w:t>
      </w:r>
      <w:r w:rsidR="00636119">
        <w:rPr>
          <w:lang w:val="bg-BG"/>
        </w:rPr>
        <w:t>служителят</w:t>
      </w:r>
      <w:r w:rsidRPr="00FE0C4F">
        <w:rPr>
          <w:lang w:val="bg-BG"/>
        </w:rPr>
        <w:t xml:space="preserve"> </w:t>
      </w:r>
      <w:r w:rsidR="00F64D32">
        <w:rPr>
          <w:lang w:val="bg-BG"/>
        </w:rPr>
        <w:t>на</w:t>
      </w:r>
      <w:r w:rsidR="00F64D32" w:rsidRPr="00FE0C4F">
        <w:rPr>
          <w:lang w:val="bg-BG"/>
        </w:rPr>
        <w:t xml:space="preserve"> прикритие“ трябва</w:t>
      </w:r>
      <w:r w:rsidRPr="00FE0C4F">
        <w:rPr>
          <w:lang w:val="bg-BG"/>
        </w:rPr>
        <w:t xml:space="preserve"> да притежава, както </w:t>
      </w:r>
      <w:r w:rsidR="00F64D32" w:rsidRPr="00FE0C4F">
        <w:rPr>
          <w:lang w:val="bg-BG"/>
        </w:rPr>
        <w:t>и за процедурата, която трябва</w:t>
      </w:r>
      <w:r w:rsidRPr="00FE0C4F">
        <w:rPr>
          <w:lang w:val="bg-BG"/>
        </w:rPr>
        <w:t xml:space="preserve"> да се следва при назначаването на лице на целевата длъжност (</w:t>
      </w:r>
      <w:r w:rsidR="00F64D32">
        <w:rPr>
          <w:lang w:val="bg-BG"/>
        </w:rPr>
        <w:t>чл.</w:t>
      </w:r>
      <w:r w:rsidRPr="00FE0C4F">
        <w:rPr>
          <w:lang w:val="bg-BG"/>
        </w:rPr>
        <w:t xml:space="preserve"> 56, </w:t>
      </w:r>
      <w:r w:rsidR="00F64D32">
        <w:rPr>
          <w:lang w:val="bg-BG"/>
        </w:rPr>
        <w:t>ал.</w:t>
      </w:r>
      <w:r w:rsidRPr="00FE0C4F">
        <w:rPr>
          <w:lang w:val="bg-BG"/>
        </w:rPr>
        <w:t xml:space="preserve"> </w:t>
      </w:r>
      <w:r w:rsidR="00F64D32" w:rsidRPr="00FE0C4F">
        <w:rPr>
          <w:lang w:val="bg-BG"/>
        </w:rPr>
        <w:t xml:space="preserve">2). Целевата организация може </w:t>
      </w:r>
      <w:r w:rsidRPr="00FE0C4F">
        <w:rPr>
          <w:lang w:val="bg-BG"/>
        </w:rPr>
        <w:t>също така да предложи изменения в правилата или регламентите, уреждащи нейната работа, за да се съобрази с възможността за внедряване на „</w:t>
      </w:r>
      <w:r w:rsidR="00636119">
        <w:rPr>
          <w:lang w:val="bg-BG"/>
        </w:rPr>
        <w:t>служител</w:t>
      </w:r>
      <w:r w:rsidRPr="00FE0C4F">
        <w:rPr>
          <w:lang w:val="bg-BG"/>
        </w:rPr>
        <w:t xml:space="preserve"> </w:t>
      </w:r>
      <w:r w:rsidR="009730B5">
        <w:rPr>
          <w:lang w:val="bg-BG"/>
        </w:rPr>
        <w:t>на</w:t>
      </w:r>
      <w:r w:rsidRPr="00FE0C4F">
        <w:rPr>
          <w:lang w:val="bg-BG"/>
        </w:rPr>
        <w:t xml:space="preserve"> прикритие“ (</w:t>
      </w:r>
      <w:r w:rsidR="009730B5">
        <w:rPr>
          <w:lang w:val="bg-BG"/>
        </w:rPr>
        <w:t>чл.</w:t>
      </w:r>
      <w:r w:rsidRPr="00FE0C4F">
        <w:rPr>
          <w:lang w:val="bg-BG"/>
        </w:rPr>
        <w:t xml:space="preserve"> 56, </w:t>
      </w:r>
      <w:r w:rsidR="009730B5">
        <w:rPr>
          <w:lang w:val="bg-BG"/>
        </w:rPr>
        <w:t>ал.</w:t>
      </w:r>
      <w:r w:rsidRPr="00FE0C4F">
        <w:rPr>
          <w:lang w:val="bg-BG"/>
        </w:rPr>
        <w:t xml:space="preserve"> 3). </w:t>
      </w:r>
      <w:r w:rsidRPr="00FE0C4F">
        <w:rPr>
          <w:lang w:val="bg-BG"/>
        </w:rPr>
        <w:lastRenderedPageBreak/>
        <w:t xml:space="preserve">След това </w:t>
      </w:r>
      <w:r w:rsidR="009730B5">
        <w:rPr>
          <w:lang w:val="bg-BG"/>
        </w:rPr>
        <w:t>председателят</w:t>
      </w:r>
      <w:r w:rsidRPr="00FE0C4F">
        <w:rPr>
          <w:lang w:val="bg-BG"/>
        </w:rPr>
        <w:t xml:space="preserve"> на Агенцията</w:t>
      </w:r>
      <w:r w:rsidR="009730B5" w:rsidRPr="00FE0C4F">
        <w:rPr>
          <w:lang w:val="bg-BG"/>
        </w:rPr>
        <w:t xml:space="preserve"> и целевата организация трябва</w:t>
      </w:r>
      <w:r w:rsidRPr="00FE0C4F">
        <w:rPr>
          <w:lang w:val="bg-BG"/>
        </w:rPr>
        <w:t xml:space="preserve"> да координират как точно ще бъде внедрен „</w:t>
      </w:r>
      <w:r w:rsidR="00636119">
        <w:rPr>
          <w:lang w:val="bg-BG"/>
        </w:rPr>
        <w:t>служителят</w:t>
      </w:r>
      <w:r w:rsidRPr="00FE0C4F">
        <w:rPr>
          <w:lang w:val="bg-BG"/>
        </w:rPr>
        <w:t xml:space="preserve"> </w:t>
      </w:r>
      <w:r w:rsidR="009730B5">
        <w:rPr>
          <w:lang w:val="bg-BG"/>
        </w:rPr>
        <w:t>на</w:t>
      </w:r>
      <w:r w:rsidRPr="00FE0C4F">
        <w:rPr>
          <w:lang w:val="bg-BG"/>
        </w:rPr>
        <w:t xml:space="preserve"> прикритие“ (</w:t>
      </w:r>
      <w:r w:rsidR="009730B5">
        <w:rPr>
          <w:lang w:val="bg-BG"/>
        </w:rPr>
        <w:t>чл.</w:t>
      </w:r>
      <w:r w:rsidRPr="00FE0C4F">
        <w:rPr>
          <w:lang w:val="bg-BG"/>
        </w:rPr>
        <w:t xml:space="preserve"> 56, </w:t>
      </w:r>
      <w:r w:rsidR="009730B5">
        <w:rPr>
          <w:lang w:val="bg-BG"/>
        </w:rPr>
        <w:t>ал.</w:t>
      </w:r>
      <w:r w:rsidRPr="00FE0C4F">
        <w:rPr>
          <w:lang w:val="bg-BG"/>
        </w:rPr>
        <w:t xml:space="preserve"> 4</w:t>
      </w:r>
      <w:r w:rsidR="009730B5" w:rsidRPr="00FE0C4F">
        <w:rPr>
          <w:lang w:val="bg-BG"/>
        </w:rPr>
        <w:t>). Целевата организация трябва</w:t>
      </w:r>
      <w:r w:rsidRPr="00FE0C4F">
        <w:rPr>
          <w:lang w:val="bg-BG"/>
        </w:rPr>
        <w:t xml:space="preserve"> да третира всички тези организационни въпроси като класифицирана информация (</w:t>
      </w:r>
      <w:r w:rsidR="009730B5">
        <w:rPr>
          <w:lang w:val="bg-BG"/>
        </w:rPr>
        <w:t>чл.</w:t>
      </w:r>
      <w:r w:rsidRPr="00FE0C4F">
        <w:rPr>
          <w:lang w:val="bg-BG"/>
        </w:rPr>
        <w:t xml:space="preserve"> 56, </w:t>
      </w:r>
      <w:r w:rsidR="009730B5">
        <w:rPr>
          <w:lang w:val="bg-BG"/>
        </w:rPr>
        <w:t>ал.</w:t>
      </w:r>
      <w:r w:rsidRPr="00FE0C4F">
        <w:rPr>
          <w:lang w:val="bg-BG"/>
        </w:rPr>
        <w:t xml:space="preserve"> 5).</w:t>
      </w:r>
    </w:p>
    <w:bookmarkStart w:id="22" w:name="F_Regs_r_56_6_r_57_2_r_58_1"/>
    <w:p w14:paraId="05EB75DB" w14:textId="5F02C5A7" w:rsidR="00304BC9" w:rsidRPr="00136FB5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16</w:t>
      </w:r>
      <w:r>
        <w:fldChar w:fldCharType="end"/>
      </w:r>
      <w:bookmarkEnd w:id="22"/>
      <w:r w:rsidR="00041130" w:rsidRPr="00FE0C4F">
        <w:rPr>
          <w:lang w:val="bg-BG"/>
        </w:rPr>
        <w:t xml:space="preserve">. </w:t>
      </w:r>
      <w:r w:rsidRPr="00FE0C4F">
        <w:rPr>
          <w:lang w:val="bg-BG"/>
        </w:rPr>
        <w:t>След това целевата организация е длъжна да съдейства на „</w:t>
      </w:r>
      <w:r w:rsidR="00636119">
        <w:rPr>
          <w:lang w:val="bg-BG"/>
        </w:rPr>
        <w:t>служителя</w:t>
      </w:r>
      <w:r w:rsidRPr="00FE0C4F">
        <w:rPr>
          <w:lang w:val="bg-BG"/>
        </w:rPr>
        <w:t xml:space="preserve"> </w:t>
      </w:r>
      <w:r w:rsidR="00C42AF1">
        <w:rPr>
          <w:lang w:val="bg-BG"/>
        </w:rPr>
        <w:t>на</w:t>
      </w:r>
      <w:r w:rsidRPr="00FE0C4F">
        <w:rPr>
          <w:lang w:val="bg-BG"/>
        </w:rPr>
        <w:t xml:space="preserve"> прикритие“ при изпълнението на неговите задължения (</w:t>
      </w:r>
      <w:r w:rsidR="00C42AF1">
        <w:rPr>
          <w:lang w:val="bg-BG"/>
        </w:rPr>
        <w:t>чл.</w:t>
      </w:r>
      <w:r w:rsidRPr="00FE0C4F">
        <w:rPr>
          <w:lang w:val="bg-BG"/>
        </w:rPr>
        <w:t xml:space="preserve"> 56, а</w:t>
      </w:r>
      <w:r w:rsidR="00C4111E">
        <w:rPr>
          <w:lang w:val="bg-BG"/>
        </w:rPr>
        <w:t>л. 6). Тя трябва</w:t>
      </w:r>
      <w:r w:rsidRPr="00FE0C4F">
        <w:rPr>
          <w:lang w:val="bg-BG"/>
        </w:rPr>
        <w:t xml:space="preserve"> да бъде уведомена от Агенцията, ако „работата </w:t>
      </w:r>
      <w:r w:rsidR="00E2520F">
        <w:rPr>
          <w:lang w:val="bg-BG"/>
        </w:rPr>
        <w:t>на</w:t>
      </w:r>
      <w:r w:rsidRPr="00FE0C4F">
        <w:rPr>
          <w:lang w:val="bg-BG"/>
        </w:rPr>
        <w:t xml:space="preserve"> прикритие“ </w:t>
      </w:r>
      <w:r w:rsidR="00E2520F">
        <w:rPr>
          <w:lang w:val="bg-BG"/>
        </w:rPr>
        <w:t>следва</w:t>
      </w:r>
      <w:r w:rsidRPr="00FE0C4F">
        <w:rPr>
          <w:lang w:val="bg-BG"/>
        </w:rPr>
        <w:t xml:space="preserve"> да бъде прекратена (</w:t>
      </w:r>
      <w:r w:rsidR="00E2520F">
        <w:rPr>
          <w:lang w:val="bg-BG"/>
        </w:rPr>
        <w:t>чл.</w:t>
      </w:r>
      <w:r w:rsidRPr="00FE0C4F">
        <w:rPr>
          <w:lang w:val="bg-BG"/>
        </w:rPr>
        <w:t xml:space="preserve"> 57, ал. 2). Целевата</w:t>
      </w:r>
      <w:r w:rsidR="00E2520F" w:rsidRPr="00FE0C4F">
        <w:rPr>
          <w:lang w:val="bg-BG"/>
        </w:rPr>
        <w:t xml:space="preserve"> организация трябва</w:t>
      </w:r>
      <w:r w:rsidRPr="00FE0C4F">
        <w:rPr>
          <w:lang w:val="bg-BG"/>
        </w:rPr>
        <w:t xml:space="preserve"> да вземе необходимите мерки, за да не позволи разкриването на „работата </w:t>
      </w:r>
      <w:r w:rsidR="00E2520F">
        <w:rPr>
          <w:lang w:val="bg-BG"/>
        </w:rPr>
        <w:t>на</w:t>
      </w:r>
      <w:r w:rsidRPr="00FE0C4F">
        <w:rPr>
          <w:lang w:val="bg-BG"/>
        </w:rPr>
        <w:t xml:space="preserve"> прикритие“, дори и след нейното приключване (</w:t>
      </w:r>
      <w:r w:rsidR="00E2520F">
        <w:rPr>
          <w:lang w:val="bg-BG"/>
        </w:rPr>
        <w:t>чл.</w:t>
      </w:r>
      <w:r w:rsidRPr="00FE0C4F">
        <w:rPr>
          <w:lang w:val="bg-BG"/>
        </w:rPr>
        <w:t xml:space="preserve"> 58, </w:t>
      </w:r>
      <w:r w:rsidR="00E2520F">
        <w:rPr>
          <w:lang w:val="bg-BG"/>
        </w:rPr>
        <w:t>ал.</w:t>
      </w:r>
      <w:r w:rsidRPr="00FE0C4F">
        <w:rPr>
          <w:lang w:val="bg-BG"/>
        </w:rPr>
        <w:t xml:space="preserve"> 1).</w:t>
      </w:r>
    </w:p>
    <w:bookmarkStart w:id="23" w:name="F_Regs_r_56_6_r_59_r_62"/>
    <w:p w14:paraId="35150237" w14:textId="10E05B7E" w:rsidR="00304BC9" w:rsidRPr="002F2B60" w:rsidRDefault="000F3485" w:rsidP="00304BC9">
      <w:pPr>
        <w:pStyle w:val="JuPara"/>
        <w:rPr>
          <w:lang w:val="bg-BG"/>
        </w:rPr>
      </w:pPr>
      <w:r>
        <w:fldChar w:fldCharType="begin"/>
      </w:r>
      <w:r w:rsidRPr="002F2B60">
        <w:rPr>
          <w:lang w:val="bg-BG"/>
        </w:rPr>
        <w:instrText xml:space="preserve"> </w:instrText>
      </w:r>
      <w:r>
        <w:instrText>SEQ</w:instrText>
      </w:r>
      <w:r w:rsidRPr="002F2B60">
        <w:rPr>
          <w:lang w:val="bg-BG"/>
        </w:rPr>
        <w:instrText xml:space="preserve"> </w:instrText>
      </w:r>
      <w:r>
        <w:instrText>level</w:instrText>
      </w:r>
      <w:r w:rsidRPr="002F2B60">
        <w:rPr>
          <w:lang w:val="bg-BG"/>
        </w:rPr>
        <w:instrText>0 \*</w:instrText>
      </w:r>
      <w:r>
        <w:instrText>arabic</w:instrText>
      </w:r>
      <w:r w:rsidRPr="002F2B60">
        <w:rPr>
          <w:lang w:val="bg-BG"/>
        </w:rPr>
        <w:instrText xml:space="preserve">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 w:rsidRPr="002F2B60">
        <w:rPr>
          <w:noProof/>
          <w:lang w:val="bg-BG"/>
        </w:rPr>
        <w:t>17</w:t>
      </w:r>
      <w:r>
        <w:fldChar w:fldCharType="end"/>
      </w:r>
      <w:bookmarkEnd w:id="23"/>
      <w:r w:rsidR="00041130" w:rsidRPr="002F2B60">
        <w:rPr>
          <w:lang w:val="bg-BG"/>
        </w:rPr>
        <w:t xml:space="preserve">. </w:t>
      </w:r>
      <w:r w:rsidR="003F5E26">
        <w:rPr>
          <w:lang w:val="bg-BG"/>
        </w:rPr>
        <w:t>Членове 59-</w:t>
      </w:r>
      <w:r w:rsidRPr="002F2B60">
        <w:rPr>
          <w:lang w:val="bg-BG"/>
        </w:rPr>
        <w:t>62 уреждат трудовите права на „</w:t>
      </w:r>
      <w:r w:rsidR="00636119">
        <w:rPr>
          <w:lang w:val="bg-BG"/>
        </w:rPr>
        <w:t>служителите</w:t>
      </w:r>
      <w:r w:rsidR="003F5E26">
        <w:rPr>
          <w:lang w:val="bg-BG"/>
        </w:rPr>
        <w:t xml:space="preserve"> на</w:t>
      </w:r>
      <w:r w:rsidRPr="002F2B60">
        <w:rPr>
          <w:lang w:val="bg-BG"/>
        </w:rPr>
        <w:t xml:space="preserve"> прикритие“ по отношение на заплащането, годишния отпуск и пенсионирането.</w:t>
      </w:r>
    </w:p>
    <w:p w14:paraId="0202BF8B" w14:textId="77777777" w:rsidR="00304BC9" w:rsidRDefault="000F3485" w:rsidP="00304BC9">
      <w:pPr>
        <w:pStyle w:val="JuHA"/>
      </w:pPr>
      <w:bookmarkStart w:id="24" w:name="_Toc175214959"/>
      <w:bookmarkStart w:id="25" w:name="_Toc232688242"/>
      <w:r>
        <w:t>Измененията от 2018 г.</w:t>
      </w:r>
      <w:bookmarkEnd w:id="24"/>
      <w:bookmarkEnd w:id="25"/>
    </w:p>
    <w:p w14:paraId="3E7AD684" w14:textId="77777777" w:rsidR="00304BC9" w:rsidRDefault="000F3485" w:rsidP="00304BC9">
      <w:pPr>
        <w:pStyle w:val="JuH1"/>
      </w:pPr>
      <w:bookmarkStart w:id="26" w:name="_Toc175214960"/>
      <w:bookmarkStart w:id="27" w:name="_Toc232688243"/>
      <w:r>
        <w:t>Предложение на Агенцията за тези изменения</w:t>
      </w:r>
      <w:bookmarkEnd w:id="26"/>
      <w:bookmarkEnd w:id="27"/>
    </w:p>
    <w:bookmarkStart w:id="28" w:name="F_Regs_2018_amnd_SANS_proposal"/>
    <w:p w14:paraId="09846771" w14:textId="41814A14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18</w:t>
      </w:r>
      <w:r>
        <w:fldChar w:fldCharType="end"/>
      </w:r>
      <w:bookmarkEnd w:id="28"/>
      <w:r w:rsidR="00041130">
        <w:t xml:space="preserve">. </w:t>
      </w:r>
      <w:r>
        <w:t xml:space="preserve">През </w:t>
      </w:r>
      <w:r w:rsidR="00BE26B7">
        <w:rPr>
          <w:lang w:val="bg-BG"/>
        </w:rPr>
        <w:t xml:space="preserve">м. </w:t>
      </w:r>
      <w:r>
        <w:t xml:space="preserve">април 2018 г. Агенцията </w:t>
      </w:r>
      <w:r w:rsidR="00BE26B7">
        <w:rPr>
          <w:lang w:val="bg-BG"/>
        </w:rPr>
        <w:t>предлага</w:t>
      </w:r>
      <w:r>
        <w:t xml:space="preserve"> на правителството разпоредбите</w:t>
      </w:r>
      <w:r w:rsidR="00BE26B7">
        <w:rPr>
          <w:lang w:val="bg-BG"/>
        </w:rPr>
        <w:t xml:space="preserve"> на чл.</w:t>
      </w:r>
      <w:r>
        <w:t xml:space="preserve"> 50, 51 и 55 да бъдат преформулирани, а разпоредбите</w:t>
      </w:r>
      <w:r w:rsidR="00BE26B7">
        <w:rPr>
          <w:lang w:val="bg-BG"/>
        </w:rPr>
        <w:t xml:space="preserve"> на чл.</w:t>
      </w:r>
      <w:r w:rsidR="00BE26B7">
        <w:t xml:space="preserve"> 56-</w:t>
      </w:r>
      <w:r>
        <w:t>58 да бъдат отменени (вж. параграфи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F_Regs_r_50 \h  \* MERGEFORMAT </w:instrText>
      </w:r>
      <w:r>
        <w:fldChar w:fldCharType="separate"/>
      </w:r>
      <w:r w:rsidR="00F21D3F">
        <w:t>9</w:t>
      </w:r>
      <w:r>
        <w:fldChar w:fldCharType="end"/>
      </w:r>
      <w:r w:rsidR="00BE26B7">
        <w:rPr>
          <w:lang w:val="bg-BG"/>
        </w:rPr>
        <w:t>-</w:t>
      </w:r>
      <w:r>
        <w:fldChar w:fldCharType="begin"/>
      </w:r>
      <w:r>
        <w:instrText xml:space="preserve"> REF  F_Regs_r_51 \h  \* MERGEFORMAT </w:instrText>
      </w:r>
      <w:r>
        <w:fldChar w:fldCharType="separate"/>
      </w:r>
      <w:r w:rsidR="00F21D3F">
        <w:t>10</w:t>
      </w:r>
      <w:r>
        <w:fldChar w:fldCharType="end"/>
      </w:r>
      <w:r>
        <w:t xml:space="preserve"> 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F_Regs_r_55 \h  \* MERGEFORMAT </w:instrText>
      </w:r>
      <w:r>
        <w:fldChar w:fldCharType="separate"/>
      </w:r>
      <w:r w:rsidR="00F21D3F">
        <w:t>14</w:t>
      </w:r>
      <w:r>
        <w:fldChar w:fldCharType="end"/>
      </w:r>
      <w:r w:rsidR="00BE26B7">
        <w:t>-</w:t>
      </w:r>
      <w:r>
        <w:fldChar w:fldCharType="begin"/>
      </w:r>
      <w:r>
        <w:instrText xml:space="preserve"> REF  F_Regs_r_56_6_r_57_2_r_58_1 \h  \* MERGEFORMAT </w:instrText>
      </w:r>
      <w:r>
        <w:fldChar w:fldCharType="separate"/>
      </w:r>
      <w:r w:rsidR="00F21D3F">
        <w:t>16</w:t>
      </w:r>
      <w:r>
        <w:fldChar w:fldCharType="end"/>
      </w:r>
      <w:r>
        <w:t xml:space="preserve"> по-горе). Според нея тези изменения </w:t>
      </w:r>
      <w:r w:rsidR="006B0C75">
        <w:t>– чи</w:t>
      </w:r>
      <w:r w:rsidR="006B0C75">
        <w:rPr>
          <w:lang w:val="bg-BG"/>
        </w:rPr>
        <w:t>и</w:t>
      </w:r>
      <w:r>
        <w:t>то ефект би бил разширяване на списъка с потенциални целеви субекти и премахване на изискването за получаване на съгласието н</w:t>
      </w:r>
      <w:r w:rsidR="00AA0FB6">
        <w:t>а целевия субект за внедряване –</w:t>
      </w:r>
      <w:r>
        <w:t xml:space="preserve"> са необходими, тъй като практиката показва, че начинът, по който правилата структурират внедряването на „</w:t>
      </w:r>
      <w:r w:rsidR="00636119">
        <w:rPr>
          <w:lang w:val="bg-BG"/>
        </w:rPr>
        <w:t>служители</w:t>
      </w:r>
      <w:r>
        <w:t xml:space="preserve"> </w:t>
      </w:r>
      <w:r w:rsidR="00F03AD5">
        <w:rPr>
          <w:lang w:val="bg-BG"/>
        </w:rPr>
        <w:t>на</w:t>
      </w:r>
      <w:r>
        <w:t xml:space="preserve"> прикритие“, пречи на бързото и ефективното им използване в динамично променяща се среда на сигурност, която изисква навременни и адекватни реакции при посегателства срещу националната сигурност. Същест</w:t>
      </w:r>
      <w:r w:rsidR="00F03AD5">
        <w:t>вуващата процедура не отговаря</w:t>
      </w:r>
      <w:r>
        <w:t xml:space="preserve"> на нуждата на Агенцията да получи точната информация, необходима за тази цел. По-специално изискването за получаване на съгласието н</w:t>
      </w:r>
      <w:r w:rsidR="00F03AD5">
        <w:t>а целевата организация създава</w:t>
      </w:r>
      <w:r>
        <w:t xml:space="preserve"> проблем по отношение на организации, чиито ръководители не </w:t>
      </w:r>
      <w:r w:rsidR="00F03AD5">
        <w:rPr>
          <w:lang w:val="bg-BG"/>
        </w:rPr>
        <w:t>са</w:t>
      </w:r>
      <w:r>
        <w:t xml:space="preserve"> склонни да сътрудничат. Освен това категор</w:t>
      </w:r>
      <w:r w:rsidR="00F03AD5">
        <w:t>иите организации, в които могат</w:t>
      </w:r>
      <w:r>
        <w:t xml:space="preserve"> да бъдат внедрени „</w:t>
      </w:r>
      <w:r w:rsidR="00636119">
        <w:rPr>
          <w:lang w:val="bg-BG"/>
        </w:rPr>
        <w:t>служители</w:t>
      </w:r>
      <w:r>
        <w:t xml:space="preserve"> </w:t>
      </w:r>
      <w:r w:rsidR="00F03AD5">
        <w:rPr>
          <w:lang w:val="bg-BG"/>
        </w:rPr>
        <w:t>на</w:t>
      </w:r>
      <w:r>
        <w:t xml:space="preserve"> прикритие“, </w:t>
      </w:r>
      <w:r w:rsidR="00757F11">
        <w:rPr>
          <w:lang w:val="bg-BG"/>
        </w:rPr>
        <w:t>са</w:t>
      </w:r>
      <w:r>
        <w:t xml:space="preserve"> т</w:t>
      </w:r>
      <w:r w:rsidR="00757F11">
        <w:t>върде ограничени и не отразяват</w:t>
      </w:r>
      <w:r>
        <w:t xml:space="preserve"> съвременните икономически реалности.</w:t>
      </w:r>
    </w:p>
    <w:p w14:paraId="37810A3B" w14:textId="77777777" w:rsidR="00304BC9" w:rsidRDefault="000F3485" w:rsidP="00304BC9">
      <w:pPr>
        <w:pStyle w:val="JuH1"/>
      </w:pPr>
      <w:bookmarkStart w:id="29" w:name="_Toc175214961"/>
      <w:bookmarkStart w:id="30" w:name="_Toc232688244"/>
      <w:r>
        <w:t>Обществено обсъждане на предложението</w:t>
      </w:r>
      <w:bookmarkEnd w:id="29"/>
      <w:bookmarkEnd w:id="30"/>
    </w:p>
    <w:bookmarkStart w:id="31" w:name="F_Regs_2018_amnd_BHC_SBC_represenations"/>
    <w:p w14:paraId="6C724B67" w14:textId="7DEF62BE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19</w:t>
      </w:r>
      <w:r>
        <w:fldChar w:fldCharType="end"/>
      </w:r>
      <w:bookmarkEnd w:id="31"/>
      <w:r w:rsidR="00041130">
        <w:t xml:space="preserve">. </w:t>
      </w:r>
      <w:r>
        <w:t xml:space="preserve">По време на последвалата обществена консултация, </w:t>
      </w:r>
      <w:r w:rsidR="00BC09F2">
        <w:rPr>
          <w:lang w:val="bg-BG"/>
        </w:rPr>
        <w:t>започнала</w:t>
      </w:r>
      <w:r>
        <w:t xml:space="preserve"> през </w:t>
      </w:r>
      <w:r w:rsidR="00BC09F2">
        <w:rPr>
          <w:lang w:val="bg-BG"/>
        </w:rPr>
        <w:t xml:space="preserve">м. </w:t>
      </w:r>
      <w:r>
        <w:t>май 2018 г. и приключи</w:t>
      </w:r>
      <w:r w:rsidR="00BC09F2">
        <w:rPr>
          <w:lang w:val="bg-BG"/>
        </w:rPr>
        <w:t>ла</w:t>
      </w:r>
      <w:r>
        <w:t xml:space="preserve"> през</w:t>
      </w:r>
      <w:r w:rsidR="00BC09F2">
        <w:rPr>
          <w:lang w:val="bg-BG"/>
        </w:rPr>
        <w:t xml:space="preserve"> м.</w:t>
      </w:r>
      <w:r>
        <w:t xml:space="preserve"> юни 2018 г., </w:t>
      </w:r>
      <w:r w:rsidR="00BC09F2">
        <w:rPr>
          <w:lang w:val="bg-BG"/>
        </w:rPr>
        <w:t>са</w:t>
      </w:r>
      <w:r>
        <w:t xml:space="preserve"> получени коментари от </w:t>
      </w:r>
      <w:r w:rsidR="00BC09F2">
        <w:t>неправителствен</w:t>
      </w:r>
      <w:r w:rsidR="001A1EF7">
        <w:rPr>
          <w:lang w:val="bg-BG"/>
        </w:rPr>
        <w:t>а</w:t>
      </w:r>
      <w:r w:rsidR="00BC09F2">
        <w:t xml:space="preserve"> орг</w:t>
      </w:r>
      <w:r w:rsidR="004B6F79">
        <w:t>а</w:t>
      </w:r>
      <w:r w:rsidR="00BC09F2">
        <w:rPr>
          <w:lang w:val="bg-BG"/>
        </w:rPr>
        <w:t>низация</w:t>
      </w:r>
      <w:r>
        <w:t xml:space="preserve"> „Български хелзинкски </w:t>
      </w:r>
      <w:r>
        <w:lastRenderedPageBreak/>
        <w:t xml:space="preserve">комитет“ и от </w:t>
      </w:r>
      <w:r w:rsidR="00927FC9">
        <w:rPr>
          <w:lang w:val="bg-BG"/>
        </w:rPr>
        <w:t>Висшия адвокатски съвет</w:t>
      </w:r>
      <w:r w:rsidR="00237104">
        <w:t xml:space="preserve"> (управителният орган на</w:t>
      </w:r>
      <w:r w:rsidR="00237104">
        <w:rPr>
          <w:lang w:val="bg-BG"/>
        </w:rPr>
        <w:t xml:space="preserve"> българската</w:t>
      </w:r>
      <w:r>
        <w:t xml:space="preserve"> адвокатура).</w:t>
      </w:r>
    </w:p>
    <w:p w14:paraId="77C3A3AD" w14:textId="77777777" w:rsidR="00304BC9" w:rsidRDefault="000F3485" w:rsidP="0011320E">
      <w:pPr>
        <w:pStyle w:val="JuHa0"/>
      </w:pPr>
      <w:bookmarkStart w:id="32" w:name="_Toc175214962"/>
      <w:bookmarkStart w:id="33" w:name="_Toc232688245"/>
      <w:r>
        <w:t>Коментари на Българския хелзинкски комитет</w:t>
      </w:r>
      <w:bookmarkEnd w:id="32"/>
      <w:bookmarkEnd w:id="33"/>
    </w:p>
    <w:bookmarkStart w:id="34" w:name="F_Regs_2018_amnd_BHC_opinion"/>
    <w:p w14:paraId="276B2E64" w14:textId="66B3FED9" w:rsidR="00304BC9" w:rsidRPr="001C2BFD" w:rsidRDefault="000F3485" w:rsidP="00304BC9">
      <w:pPr>
        <w:pStyle w:val="JuPara"/>
      </w:pPr>
      <w:r w:rsidRPr="001C2BFD">
        <w:fldChar w:fldCharType="begin"/>
      </w:r>
      <w:r w:rsidRPr="001C2BFD">
        <w:instrText xml:space="preserve"> SEQ level0 \*arabic \* MERGEFORMAT </w:instrText>
      </w:r>
      <w:r w:rsidRPr="001C2BFD">
        <w:fldChar w:fldCharType="separate"/>
      </w:r>
      <w:r w:rsidR="00F21D3F">
        <w:rPr>
          <w:noProof/>
        </w:rPr>
        <w:t>20</w:t>
      </w:r>
      <w:r w:rsidRPr="001C2BFD">
        <w:fldChar w:fldCharType="end"/>
      </w:r>
      <w:bookmarkEnd w:id="34"/>
      <w:r w:rsidR="00041130">
        <w:t xml:space="preserve">. </w:t>
      </w:r>
      <w:r w:rsidRPr="001C2BFD">
        <w:t>Българският хелз</w:t>
      </w:r>
      <w:r w:rsidR="0038384C">
        <w:t>инкски комитет се противопоставя</w:t>
      </w:r>
      <w:r w:rsidRPr="001C2BFD">
        <w:t xml:space="preserve"> на предложените изменения </w:t>
      </w:r>
      <w:r w:rsidR="0038384C">
        <w:t>като цяло. Той посочва</w:t>
      </w:r>
      <w:r w:rsidRPr="001C2BFD">
        <w:t xml:space="preserve">, че, както показва практиката на Агенцията по отношение на експулсирането на чужденци, обикновено не се посочват </w:t>
      </w:r>
      <w:r>
        <w:t xml:space="preserve">конкретни </w:t>
      </w:r>
      <w:r w:rsidRPr="001C2BFD">
        <w:t xml:space="preserve">факти в подкрепа на твърденията ѝ, че дадено лице представлява риск за националната сигурност, и че тази формулировка се използва декларативно – всичко може да бъде приспособено към </w:t>
      </w:r>
      <w:r w:rsidR="0038384C">
        <w:t>този термин. Следователно може</w:t>
      </w:r>
      <w:r w:rsidRPr="001C2BFD">
        <w:t xml:space="preserve"> да се предположи, че същият подход ще бъде приложен и към внедряването на „</w:t>
      </w:r>
      <w:r w:rsidR="00636119">
        <w:rPr>
          <w:lang w:val="bg-BG"/>
        </w:rPr>
        <w:t>служители</w:t>
      </w:r>
      <w:r w:rsidRPr="001C2BFD">
        <w:t xml:space="preserve"> </w:t>
      </w:r>
      <w:r w:rsidR="0038384C">
        <w:rPr>
          <w:lang w:val="bg-BG"/>
        </w:rPr>
        <w:t>на</w:t>
      </w:r>
      <w:r w:rsidRPr="001C2BFD">
        <w:t xml:space="preserve"> прикритие“, което съглас</w:t>
      </w:r>
      <w:r w:rsidR="0038384C">
        <w:t>но предложените изменения може</w:t>
      </w:r>
      <w:r w:rsidRPr="001C2BFD">
        <w:t xml:space="preserve"> да се </w:t>
      </w:r>
      <w:r>
        <w:t xml:space="preserve">извършва </w:t>
      </w:r>
      <w:r w:rsidRPr="001C2BFD">
        <w:t xml:space="preserve">по </w:t>
      </w:r>
      <w:r>
        <w:t xml:space="preserve">отношение на </w:t>
      </w:r>
      <w:r w:rsidRPr="001C2BFD">
        <w:t xml:space="preserve">всяка частна организация или </w:t>
      </w:r>
      <w:r>
        <w:t xml:space="preserve">членове на всяка „свободна </w:t>
      </w:r>
      <w:r>
        <w:rPr>
          <w:rFonts w:cstheme="minorHAnsi"/>
        </w:rPr>
        <w:t xml:space="preserve">професия“ </w:t>
      </w:r>
      <w:r w:rsidRPr="001C2BFD">
        <w:t xml:space="preserve">– счетоводители, одитори, журналисти, адвокати – което би засегнало клиентите на такива специалисти. Това </w:t>
      </w:r>
      <w:r w:rsidR="00017652">
        <w:rPr>
          <w:lang w:val="bg-BG"/>
        </w:rPr>
        <w:t>е</w:t>
      </w:r>
      <w:r w:rsidRPr="001C2BFD">
        <w:t xml:space="preserve"> особено опасно предвид добре документираната позиция на Агенцията, че тя е над законите на страната, и предвид тайната на ней</w:t>
      </w:r>
      <w:r w:rsidR="00017652">
        <w:t>ната работа. Следователно няма</w:t>
      </w:r>
      <w:r w:rsidRPr="001C2BFD">
        <w:t xml:space="preserve"> гаранции, че правото на зачитане на личния живот няма да бъде незаконно нарушено. По-специално не </w:t>
      </w:r>
      <w:r w:rsidR="00710258">
        <w:rPr>
          <w:lang w:val="bg-BG"/>
        </w:rPr>
        <w:t>е</w:t>
      </w:r>
      <w:r w:rsidRPr="001C2BFD">
        <w:t xml:space="preserve"> предвиден съдебен </w:t>
      </w:r>
      <w:r w:rsidR="00710258">
        <w:rPr>
          <w:lang w:val="bg-BG"/>
        </w:rPr>
        <w:t>контрол</w:t>
      </w:r>
      <w:r w:rsidRPr="001C2BFD">
        <w:t xml:space="preserve"> във връзка с използването на „</w:t>
      </w:r>
      <w:r w:rsidR="00636119">
        <w:rPr>
          <w:lang w:val="bg-BG"/>
        </w:rPr>
        <w:t>служители</w:t>
      </w:r>
      <w:r w:rsidRPr="001C2BFD">
        <w:t xml:space="preserve"> </w:t>
      </w:r>
      <w:r w:rsidR="00710258">
        <w:rPr>
          <w:lang w:val="bg-BG"/>
        </w:rPr>
        <w:t>на</w:t>
      </w:r>
      <w:r w:rsidRPr="001C2BFD">
        <w:t xml:space="preserve"> прикритие“, нито срокове </w:t>
      </w:r>
      <w:r>
        <w:t xml:space="preserve">по отношение на такова </w:t>
      </w:r>
      <w:r w:rsidRPr="001C2BFD">
        <w:t xml:space="preserve">използване. </w:t>
      </w:r>
      <w:r w:rsidR="001F257E">
        <w:rPr>
          <w:lang w:val="bg-BG"/>
        </w:rPr>
        <w:t>Необходим е н</w:t>
      </w:r>
      <w:r>
        <w:t xml:space="preserve">якакъв </w:t>
      </w:r>
      <w:r w:rsidRPr="001C2BFD">
        <w:t xml:space="preserve">надзорен механизъм, подобен на </w:t>
      </w:r>
      <w:r>
        <w:t xml:space="preserve">предвидения в закона </w:t>
      </w:r>
      <w:r w:rsidRPr="001C2BFD">
        <w:t xml:space="preserve">по отношение на „специалните </w:t>
      </w:r>
      <w:r w:rsidR="00710258">
        <w:rPr>
          <w:lang w:val="bg-BG"/>
        </w:rPr>
        <w:t xml:space="preserve">разузнавателни </w:t>
      </w:r>
      <w:r w:rsidRPr="001C2BFD">
        <w:t>средства “ (за определението на този термин в българското право съгласно Европейската конвенция за правата на човека (вж.</w:t>
      </w:r>
      <w:bookmarkStart w:id="35" w:name="_cl41284THEFACTS"/>
      <w:r w:rsidRPr="001C2BFD">
        <w:t xml:space="preserve"> </w:t>
      </w:r>
      <w:r w:rsidR="00041130">
        <w:rPr>
          <w:i/>
          <w:iCs/>
          <w:lang w:val="bg-BG"/>
        </w:rPr>
        <w:t>Екимджиев</w:t>
      </w:r>
      <w:r w:rsidRPr="001C2BFD">
        <w:rPr>
          <w:i/>
          <w:iCs/>
        </w:rPr>
        <w:t xml:space="preserve"> </w:t>
      </w:r>
      <w:r w:rsidR="00041130">
        <w:rPr>
          <w:i/>
          <w:iCs/>
          <w:lang w:val="bg-BG"/>
        </w:rPr>
        <w:t>и други</w:t>
      </w:r>
      <w:r w:rsidRPr="001C2BFD">
        <w:rPr>
          <w:i/>
          <w:iCs/>
        </w:rPr>
        <w:t xml:space="preserve"> </w:t>
      </w:r>
      <w:r w:rsidR="00041130">
        <w:rPr>
          <w:i/>
          <w:iCs/>
          <w:lang w:val="bg-BG"/>
        </w:rPr>
        <w:t>с/у България</w:t>
      </w:r>
      <w:r w:rsidRPr="001C2BFD">
        <w:t xml:space="preserve">, </w:t>
      </w:r>
      <w:r w:rsidR="00041130">
        <w:rPr>
          <w:lang w:val="bg-BG"/>
        </w:rPr>
        <w:t>№</w:t>
      </w:r>
      <w:r w:rsidRPr="001C2BFD">
        <w:t xml:space="preserve"> 70078/12, </w:t>
      </w:r>
      <w:r w:rsidR="009C78AF">
        <w:rPr>
          <w:lang w:val="bg-BG"/>
        </w:rPr>
        <w:t>§</w:t>
      </w:r>
      <w:r>
        <w:t xml:space="preserve"> 11</w:t>
      </w:r>
      <w:r w:rsidRPr="001C2BFD">
        <w:t>, 11 януари 2022 г</w:t>
      </w:r>
      <w:r>
        <w:t>.</w:t>
      </w:r>
      <w:bookmarkEnd w:id="35"/>
      <w:r>
        <w:t>; вж. също параграфи</w:t>
      </w:r>
      <w:r w:rsidR="009C78AF">
        <w:rPr>
          <w:lang w:val="bg-BG"/>
        </w:rPr>
        <w:t xml:space="preserve"> </w:t>
      </w:r>
      <w:r>
        <w:fldChar w:fldCharType="begin"/>
      </w:r>
      <w:r>
        <w:instrText xml:space="preserve"> REF  RLF_SSMA \h  \* MERGEFORMAT </w:instrText>
      </w:r>
      <w:r>
        <w:fldChar w:fldCharType="separate"/>
      </w:r>
      <w:r w:rsidR="00F21D3F">
        <w:t>73</w:t>
      </w:r>
      <w:r>
        <w:fldChar w:fldCharType="end"/>
      </w:r>
      <w:r>
        <w:t>-</w:t>
      </w:r>
      <w:r>
        <w:fldChar w:fldCharType="begin"/>
      </w:r>
      <w:r>
        <w:instrText xml:space="preserve"> REF  RLF_SSMA_s_2 \h  \* MERGEFORMAT </w:instrText>
      </w:r>
      <w:r>
        <w:fldChar w:fldCharType="separate"/>
      </w:r>
      <w:r w:rsidR="00F21D3F">
        <w:t>74</w:t>
      </w:r>
      <w:r>
        <w:fldChar w:fldCharType="end"/>
      </w:r>
      <w:r>
        <w:t xml:space="preserve"> по-долу</w:t>
      </w:r>
      <w:r w:rsidRPr="001C2BFD">
        <w:t>).</w:t>
      </w:r>
    </w:p>
    <w:p w14:paraId="55DF869F" w14:textId="302AE322" w:rsidR="00304BC9" w:rsidRDefault="00AC49FC" w:rsidP="00304BC9">
      <w:pPr>
        <w:pStyle w:val="JuHa0"/>
      </w:pPr>
      <w:bookmarkStart w:id="36" w:name="_Toc232688246"/>
      <w:r>
        <w:rPr>
          <w:lang w:val="bg-BG"/>
        </w:rPr>
        <w:t>Коментари на Висшия адвокатски съвет</w:t>
      </w:r>
      <w:bookmarkEnd w:id="36"/>
    </w:p>
    <w:bookmarkStart w:id="37" w:name="F_Regs_2018_amnd_SBC_opinion"/>
    <w:p w14:paraId="7B3C68DC" w14:textId="5F500EE1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21</w:t>
      </w:r>
      <w:r>
        <w:fldChar w:fldCharType="end"/>
      </w:r>
      <w:bookmarkEnd w:id="37"/>
      <w:r>
        <w:t xml:space="preserve">.  </w:t>
      </w:r>
      <w:r w:rsidR="0027549F">
        <w:rPr>
          <w:lang w:val="bg-BG"/>
        </w:rPr>
        <w:t>Висшият</w:t>
      </w:r>
      <w:r w:rsidR="0027549F">
        <w:t xml:space="preserve"> адвокатски съвет изразява</w:t>
      </w:r>
      <w:r>
        <w:t xml:space="preserve"> несъгласие по-специално с </w:t>
      </w:r>
      <w:r w:rsidRPr="00EB2ED0">
        <w:t>възможността, предвидена в предложените изменения, „</w:t>
      </w:r>
      <w:r w:rsidR="00145B17">
        <w:rPr>
          <w:lang w:val="bg-BG"/>
        </w:rPr>
        <w:t xml:space="preserve">служител </w:t>
      </w:r>
      <w:r w:rsidR="0027549F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 w:rsidRPr="00EB2ED0">
        <w:t xml:space="preserve">“ да бъде внедрен като адвокат в частна практика. Според него това би противоречало </w:t>
      </w:r>
      <w:r>
        <w:t>на</w:t>
      </w:r>
      <w:r w:rsidRPr="00EB2ED0">
        <w:t xml:space="preserve"> основните </w:t>
      </w:r>
      <w:r>
        <w:t>принципи на Конвенцията, Конституцията, Закона за адвокатурата от 2004 г. и Етичния кодекс на адвокатурата, тъй като би позволило на „</w:t>
      </w:r>
      <w:r w:rsidR="00636119">
        <w:t>служители</w:t>
      </w:r>
      <w:r>
        <w:t xml:space="preserve"> </w:t>
      </w:r>
      <w:r w:rsidR="00081EBD">
        <w:rPr>
          <w:lang w:val="bg-BG"/>
        </w:rPr>
        <w:t>на</w:t>
      </w:r>
      <w:r>
        <w:t xml:space="preserve"> прикритие“ да се представят за адвокати и – вместо да предоставят правни съвети и помощ – да навредят на хората, които са се обърнали към тях като клиенти. Дори самото подозрение от страна на клиентите, че техните адвокати могат да бъдат „</w:t>
      </w:r>
      <w:r w:rsidR="00636119">
        <w:t>служители</w:t>
      </w:r>
      <w:r>
        <w:t xml:space="preserve"> </w:t>
      </w:r>
      <w:r w:rsidR="00990415">
        <w:rPr>
          <w:lang w:val="bg-BG"/>
        </w:rPr>
        <w:t>на</w:t>
      </w:r>
      <w:r>
        <w:t xml:space="preserve"> прикритие“, би могло да подкопае общественото доверие в адвокатската професия. Освен това проникването на служители на Агенцията като адвокати или в която и да е „свободна </w:t>
      </w:r>
      <w:r>
        <w:rPr>
          <w:rFonts w:cstheme="minorHAnsi"/>
        </w:rPr>
        <w:t xml:space="preserve">професия“ </w:t>
      </w:r>
      <w:r>
        <w:t xml:space="preserve">надхвърля нейния законоустановен мандат. </w:t>
      </w:r>
      <w:r>
        <w:lastRenderedPageBreak/>
        <w:t xml:space="preserve">Агенцията би могла да изпълнява функциите си дори и при липса на такава възможност. Тя не </w:t>
      </w:r>
      <w:r w:rsidR="00C5505C">
        <w:rPr>
          <w:lang w:val="bg-BG"/>
        </w:rPr>
        <w:t>е обяснило</w:t>
      </w:r>
      <w:r>
        <w:t xml:space="preserve"> конкретно защо се нуждае от нея. Нито </w:t>
      </w:r>
      <w:r w:rsidR="00C5505C">
        <w:rPr>
          <w:lang w:val="bg-BG"/>
        </w:rPr>
        <w:t>е</w:t>
      </w:r>
      <w:r>
        <w:t xml:space="preserve"> посочила легитимната цел, която тази възможност би преследвал</w:t>
      </w:r>
      <w:r w:rsidR="00C5505C">
        <w:t>а – а тази възможност изглежда</w:t>
      </w:r>
      <w:r>
        <w:t xml:space="preserve"> така или иначе несъразмерна спрямо всякаква такава цел. Следователно </w:t>
      </w:r>
      <w:r w:rsidR="00B117C3">
        <w:rPr>
          <w:lang w:val="bg-BG"/>
        </w:rPr>
        <w:t>е</w:t>
      </w:r>
      <w:r>
        <w:t xml:space="preserve"> необходимо в измененията да се включи формулировка, която да изясни, че „</w:t>
      </w:r>
      <w:r w:rsidR="00636119">
        <w:t>служители</w:t>
      </w:r>
      <w:r>
        <w:t xml:space="preserve"> </w:t>
      </w:r>
      <w:r w:rsidR="00C5505C">
        <w:rPr>
          <w:lang w:val="bg-BG"/>
        </w:rPr>
        <w:t>на</w:t>
      </w:r>
      <w:r w:rsidR="000128A2">
        <w:t xml:space="preserve"> прикритие“ </w:t>
      </w:r>
      <w:r>
        <w:t>не могат да бъдат внедрени като адвокати в частна практика.</w:t>
      </w:r>
    </w:p>
    <w:p w14:paraId="578FBDBA" w14:textId="77777777" w:rsidR="00304BC9" w:rsidRDefault="000F3485" w:rsidP="00304BC9">
      <w:pPr>
        <w:pStyle w:val="JuHa0"/>
      </w:pPr>
      <w:bookmarkStart w:id="38" w:name="_Toc175214964"/>
      <w:bookmarkStart w:id="39" w:name="_Toc232688247"/>
      <w:r>
        <w:t>Отговор на Агенцията</w:t>
      </w:r>
      <w:bookmarkEnd w:id="38"/>
      <w:bookmarkEnd w:id="39"/>
    </w:p>
    <w:bookmarkStart w:id="40" w:name="F_Regs_2018_amnd_SANS_response"/>
    <w:p w14:paraId="406E6183" w14:textId="131B4106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22</w:t>
      </w:r>
      <w:r>
        <w:fldChar w:fldCharType="end"/>
      </w:r>
      <w:bookmarkEnd w:id="40"/>
      <w:r w:rsidR="00041130">
        <w:t xml:space="preserve">. </w:t>
      </w:r>
      <w:r>
        <w:t>В отговор, след като през</w:t>
      </w:r>
      <w:r w:rsidR="0057345B">
        <w:rPr>
          <w:lang w:val="bg-BG"/>
        </w:rPr>
        <w:t xml:space="preserve"> м.</w:t>
      </w:r>
      <w:r w:rsidR="0002507D">
        <w:t xml:space="preserve"> август 2018 г. се срещ</w:t>
      </w:r>
      <w:r>
        <w:t xml:space="preserve">а с представители на Българския хелзинкски комитет и </w:t>
      </w:r>
      <w:r w:rsidR="003C2DA0">
        <w:rPr>
          <w:lang w:val="bg-BG"/>
        </w:rPr>
        <w:t xml:space="preserve">Висшия адвокатски </w:t>
      </w:r>
      <w:r>
        <w:t xml:space="preserve">съвет, за да изслуша техните опасения относно предложените изменения и да обясни необходимостта от тях, в началото на </w:t>
      </w:r>
      <w:r w:rsidR="00413D9D">
        <w:rPr>
          <w:lang w:val="bg-BG"/>
        </w:rPr>
        <w:t xml:space="preserve">м. </w:t>
      </w:r>
      <w:r>
        <w:t>сеп</w:t>
      </w:r>
      <w:r w:rsidR="00413D9D">
        <w:t>тември 2018 г. Агенцията изпраща</w:t>
      </w:r>
      <w:r>
        <w:t xml:space="preserve"> писмо до министъра на вътрешните работи.</w:t>
      </w:r>
    </w:p>
    <w:bookmarkStart w:id="41" w:name="F_Regs_2018_amnd_SANS_response_BHC"/>
    <w:p w14:paraId="659FA95E" w14:textId="34B6EFB9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23</w:t>
      </w:r>
      <w:r>
        <w:fldChar w:fldCharType="end"/>
      </w:r>
      <w:bookmarkEnd w:id="41"/>
      <w:r w:rsidR="00041130">
        <w:t xml:space="preserve">. </w:t>
      </w:r>
      <w:r>
        <w:t>Агенцията заяв</w:t>
      </w:r>
      <w:r w:rsidR="00413D9D">
        <w:rPr>
          <w:lang w:val="bg-BG"/>
        </w:rPr>
        <w:t>ява</w:t>
      </w:r>
      <w:r>
        <w:t>, във връзка с опасенията, изразени от Българския хелзинкски комитет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F_Regs_2018_amnd_BHC_opinion \h  \* MERGEFORMAT </w:instrText>
      </w:r>
      <w:r>
        <w:fldChar w:fldCharType="separate"/>
      </w:r>
      <w:r w:rsidR="00F21D3F">
        <w:t>20</w:t>
      </w:r>
      <w:r>
        <w:fldChar w:fldCharType="end"/>
      </w:r>
      <w:r>
        <w:t xml:space="preserve"> по-горе), че те произтичат от </w:t>
      </w:r>
      <w:r w:rsidR="00413D9D">
        <w:rPr>
          <w:lang w:val="bg-BG"/>
        </w:rPr>
        <w:t>неправилно разбиране</w:t>
      </w:r>
      <w:r w:rsidR="00623851">
        <w:rPr>
          <w:lang w:val="bg-BG"/>
        </w:rPr>
        <w:t xml:space="preserve"> </w:t>
      </w:r>
      <w:r>
        <w:t>относно значението, което компетентните органи придават на термина „национална сигурност“, и, по-общо, относно начина, по който тези органи работят. Нор</w:t>
      </w:r>
      <w:r w:rsidR="00623851">
        <w:t>мално е тяхната работа да бъде тайна</w:t>
      </w:r>
      <w:r>
        <w:t>. От своя страна те</w:t>
      </w:r>
      <w:r w:rsidR="0002507D">
        <w:t xml:space="preserve">рминът „национална сигурност“ </w:t>
      </w:r>
      <w:r w:rsidR="00B118C1">
        <w:rPr>
          <w:lang w:val="bg-BG"/>
        </w:rPr>
        <w:t>има легална дефиниция</w:t>
      </w:r>
      <w:r>
        <w:t xml:space="preserve">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RLF_SPNSA_s_2 \h  \* MERGEFORMAT </w:instrText>
      </w:r>
      <w:r>
        <w:fldChar w:fldCharType="separate"/>
      </w:r>
      <w:r w:rsidR="00F21D3F">
        <w:t>77</w:t>
      </w:r>
      <w:r>
        <w:fldChar w:fldCharType="end"/>
      </w:r>
      <w:r>
        <w:t xml:space="preserve"> по-долу) и не може да се каже, че е бил използван по общ начин в производствата за експулсиране на чужденци. Във всеки случай не може да се направи подходяща аналогия между тази ситуация и внедряването на „</w:t>
      </w:r>
      <w:r w:rsidR="00636119">
        <w:t>служители</w:t>
      </w:r>
      <w:r w:rsidR="003604B6">
        <w:t xml:space="preserve"> на прикритие“. Няма</w:t>
      </w:r>
      <w:r>
        <w:t xml:space="preserve"> основание да се предполага, че такова внедряване ще бъде извършено незаконосъобразно; съгласно Зако</w:t>
      </w:r>
      <w:r w:rsidR="003604B6">
        <w:t>на от 2007 г. Агенцията трябва</w:t>
      </w:r>
      <w:r>
        <w:t xml:space="preserve"> да действа законосъобразно и в рамките на своите законоустановени задачи при всички обстоятелства, включително когат</w:t>
      </w:r>
      <w:r w:rsidR="003604B6">
        <w:t>о извършваше тайна дейност. Не е</w:t>
      </w:r>
      <w:r>
        <w:t xml:space="preserve"> ясно и как такова внедряване би могло да наруши правата на когото и да било, особено като се има предвид, че „</w:t>
      </w:r>
      <w:r w:rsidR="00636119">
        <w:t>служители</w:t>
      </w:r>
      <w:r>
        <w:t xml:space="preserve">те </w:t>
      </w:r>
      <w:r w:rsidR="003604B6">
        <w:rPr>
          <w:lang w:val="bg-BG"/>
        </w:rPr>
        <w:t>на</w:t>
      </w:r>
      <w:r w:rsidR="003604B6">
        <w:t xml:space="preserve"> прикритие“ носят</w:t>
      </w:r>
      <w:r>
        <w:t xml:space="preserve"> пълна отговорност за своите действия.</w:t>
      </w:r>
    </w:p>
    <w:bookmarkStart w:id="42" w:name="F_Regs_2018_amnd_SANS_response_BHC_bis"/>
    <w:p w14:paraId="39315FA1" w14:textId="18A0818C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24</w:t>
      </w:r>
      <w:r>
        <w:fldChar w:fldCharType="end"/>
      </w:r>
      <w:bookmarkEnd w:id="42"/>
      <w:r w:rsidR="00041130">
        <w:t xml:space="preserve">. </w:t>
      </w:r>
      <w:r w:rsidR="004B21CD">
        <w:rPr>
          <w:lang w:val="bg-BG"/>
        </w:rPr>
        <w:t>Важно е</w:t>
      </w:r>
      <w:r>
        <w:t xml:space="preserve"> също така да се подчертае, че „</w:t>
      </w:r>
      <w:r w:rsidR="00636119">
        <w:t>служители</w:t>
      </w:r>
      <w:r>
        <w:t xml:space="preserve">те </w:t>
      </w:r>
      <w:r w:rsidR="004B21CD">
        <w:rPr>
          <w:lang w:val="bg-BG"/>
        </w:rPr>
        <w:t>на</w:t>
      </w:r>
      <w:r>
        <w:t xml:space="preserve"> прикритие“ се различават от „</w:t>
      </w:r>
      <w:r w:rsidR="00636119">
        <w:t>служители</w:t>
      </w:r>
      <w:r>
        <w:t xml:space="preserve">те под прикритие“. Последните представляват вид „специални </w:t>
      </w:r>
      <w:r w:rsidR="004B21CD">
        <w:rPr>
          <w:lang w:val="bg-BG"/>
        </w:rPr>
        <w:t xml:space="preserve">разузнавателни </w:t>
      </w:r>
      <w:r>
        <w:t>средства “, уредени от Закона за специалните</w:t>
      </w:r>
      <w:r w:rsidR="004B21CD">
        <w:rPr>
          <w:lang w:val="bg-BG"/>
        </w:rPr>
        <w:t xml:space="preserve"> разузнавателни</w:t>
      </w:r>
      <w:r>
        <w:t xml:space="preserve"> средства от 1997 г. („Законът от 1997 г.“ – вж. параграфи</w:t>
      </w:r>
      <w:r w:rsidR="00041130">
        <w:rPr>
          <w:lang w:val="bg-BG"/>
        </w:rPr>
        <w:t xml:space="preserve">  </w:t>
      </w:r>
      <w:r>
        <w:fldChar w:fldCharType="begin"/>
      </w:r>
      <w:r>
        <w:instrText xml:space="preserve"> REF  RLF_SSMA \h  \* MERGEFORMAT </w:instrText>
      </w:r>
      <w:r>
        <w:fldChar w:fldCharType="separate"/>
      </w:r>
      <w:r w:rsidR="00F21D3F">
        <w:t>73</w:t>
      </w:r>
      <w:r>
        <w:fldChar w:fldCharType="end"/>
      </w:r>
      <w:r w:rsidR="001735E6">
        <w:t>-</w:t>
      </w:r>
      <w:r>
        <w:fldChar w:fldCharType="begin"/>
      </w:r>
      <w:r>
        <w:instrText xml:space="preserve"> REF  RLF_SSMA_s_10c_1 \h  \* MERGEFORMAT </w:instrText>
      </w:r>
      <w:r>
        <w:fldChar w:fldCharType="separate"/>
      </w:r>
      <w:r w:rsidR="00F21D3F">
        <w:t>75</w:t>
      </w:r>
      <w:r>
        <w:fldChar w:fldCharType="end"/>
      </w:r>
      <w:r w:rsidR="00366B2A">
        <w:t xml:space="preserve"> по-долу). Те действат</w:t>
      </w:r>
      <w:r>
        <w:t xml:space="preserve"> под фалшива самоличност, </w:t>
      </w:r>
      <w:r w:rsidR="00FD3F2D">
        <w:rPr>
          <w:lang w:val="bg-BG"/>
        </w:rPr>
        <w:t>могат</w:t>
      </w:r>
      <w:r>
        <w:t xml:space="preserve"> да използват технически устройства за документиране на доказател</w:t>
      </w:r>
      <w:r w:rsidR="000C14AA">
        <w:t>ства за престъпления и не носят</w:t>
      </w:r>
      <w:r>
        <w:t xml:space="preserve"> наказателна отговорност за действията, извършени в рамките на изпълнението на служебните им задължения. Агенцията не </w:t>
      </w:r>
      <w:r w:rsidR="008E1578">
        <w:rPr>
          <w:lang w:val="bg-BG"/>
        </w:rPr>
        <w:t>е</w:t>
      </w:r>
      <w:r w:rsidR="008E1578">
        <w:t xml:space="preserve"> сред органите, които могат</w:t>
      </w:r>
      <w:r>
        <w:t xml:space="preserve"> да използват „</w:t>
      </w:r>
      <w:r w:rsidR="00636119">
        <w:t>служители</w:t>
      </w:r>
      <w:r>
        <w:t xml:space="preserve"> под прикритие“. За разлика от тях </w:t>
      </w:r>
      <w:r>
        <w:lastRenderedPageBreak/>
        <w:t>„</w:t>
      </w:r>
      <w:r w:rsidR="00636119">
        <w:t>служители</w:t>
      </w:r>
      <w:r>
        <w:t xml:space="preserve">те </w:t>
      </w:r>
      <w:r w:rsidR="00CA601E">
        <w:rPr>
          <w:lang w:val="bg-BG"/>
        </w:rPr>
        <w:t>на</w:t>
      </w:r>
      <w:r w:rsidR="00CA601E">
        <w:t xml:space="preserve"> прикритие“ не представляват</w:t>
      </w:r>
      <w:r>
        <w:t xml:space="preserve"> „</w:t>
      </w:r>
      <w:r w:rsidR="00CA601E">
        <w:rPr>
          <w:lang w:val="bg-BG"/>
        </w:rPr>
        <w:t>специално разузнавателно средство</w:t>
      </w:r>
      <w:r w:rsidR="00CA601E">
        <w:t>“. Те не могат</w:t>
      </w:r>
      <w:r>
        <w:t xml:space="preserve"> да използват технически устройства за зап</w:t>
      </w:r>
      <w:r w:rsidR="005E4594">
        <w:t xml:space="preserve">исване на доказателства и </w:t>
      </w:r>
      <w:r>
        <w:t xml:space="preserve">носят наказателна отговорност за действията си. Вярно е, че те могат да събират информация за посегателства срещу националната сигурност или за лица, които възнамеряват да се ангажират с такива действия. Но това не е </w:t>
      </w:r>
      <w:r w:rsidR="00C252CD">
        <w:rPr>
          <w:lang w:val="bg-BG"/>
        </w:rPr>
        <w:t xml:space="preserve">нещо </w:t>
      </w:r>
      <w:r>
        <w:t>незаконно или, което може да засегне правата по Конвенцията. Всъщност всички граждани имат законово задължение да докладват на властите информация за престъпно поведение, за</w:t>
      </w:r>
      <w:r w:rsidR="001E4523">
        <w:t xml:space="preserve"> което са научили. Същото важи</w:t>
      </w:r>
      <w:r>
        <w:t xml:space="preserve"> и за всеки служител на Агенцията, който е научил за престъпление, насочено срещу националната сигурност. Работата на „</w:t>
      </w:r>
      <w:r w:rsidR="00636119">
        <w:t>служители</w:t>
      </w:r>
      <w:r>
        <w:t xml:space="preserve">те </w:t>
      </w:r>
      <w:r w:rsidR="001E4523">
        <w:rPr>
          <w:lang w:val="bg-BG"/>
        </w:rPr>
        <w:t>на</w:t>
      </w:r>
      <w:r>
        <w:t xml:space="preserve"> п</w:t>
      </w:r>
      <w:r w:rsidR="00900B5E">
        <w:t>рикритие“ следователно не може</w:t>
      </w:r>
      <w:r>
        <w:t xml:space="preserve"> да се разглежда като форма на тайно наблюдение, изискваща съдебен надзор. Във всеки случай </w:t>
      </w:r>
      <w:r w:rsidR="001E4523">
        <w:rPr>
          <w:lang w:val="bg-BG"/>
        </w:rPr>
        <w:t>контролът може</w:t>
      </w:r>
      <w:r>
        <w:t xml:space="preserve"> да </w:t>
      </w:r>
      <w:r w:rsidR="00B447BD">
        <w:rPr>
          <w:lang w:val="bg-BG"/>
        </w:rPr>
        <w:t xml:space="preserve">се </w:t>
      </w:r>
      <w:r>
        <w:t>осъществява от Парламента и правителството в общ план, както и от съдебната власт в случаи на незаконно поведение, свързано с използването на „</w:t>
      </w:r>
      <w:r w:rsidR="00636119">
        <w:t>служители</w:t>
      </w:r>
      <w:r w:rsidR="00B447BD">
        <w:t xml:space="preserve"> на </w:t>
      </w:r>
      <w:r>
        <w:t>прикритие“.</w:t>
      </w:r>
    </w:p>
    <w:bookmarkStart w:id="43" w:name="F_Regs_2018_amnd_SANS_response_SBC"/>
    <w:p w14:paraId="362E6D38" w14:textId="585601B0" w:rsidR="00304BC9" w:rsidRPr="00CC26C3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25</w:t>
      </w:r>
      <w:r>
        <w:fldChar w:fldCharType="end"/>
      </w:r>
      <w:bookmarkEnd w:id="43"/>
      <w:r w:rsidR="00041130">
        <w:rPr>
          <w:lang w:val="bg-BG"/>
        </w:rPr>
        <w:t xml:space="preserve">. </w:t>
      </w:r>
      <w:r w:rsidRPr="00EA7B9D">
        <w:rPr>
          <w:lang w:val="bg-BG"/>
        </w:rPr>
        <w:t xml:space="preserve">Агенцията </w:t>
      </w:r>
      <w:r w:rsidR="00EA7B9D">
        <w:rPr>
          <w:lang w:val="bg-BG"/>
        </w:rPr>
        <w:t>заявява по-нататък</w:t>
      </w:r>
      <w:r w:rsidRPr="00EA7B9D">
        <w:rPr>
          <w:lang w:val="bg-BG"/>
        </w:rPr>
        <w:t xml:space="preserve">, че резервите на </w:t>
      </w:r>
      <w:r w:rsidR="00EA7B9D">
        <w:rPr>
          <w:lang w:val="bg-BG"/>
        </w:rPr>
        <w:t>Висшия адвокатски съвет</w:t>
      </w:r>
      <w:r w:rsidRPr="00EA7B9D">
        <w:rPr>
          <w:lang w:val="bg-BG"/>
        </w:rPr>
        <w:t xml:space="preserve"> (вж. параграф</w:t>
      </w:r>
      <w:r w:rsidR="00041130">
        <w:rPr>
          <w:lang w:val="bg-BG"/>
        </w:rPr>
        <w:t xml:space="preserve"> </w:t>
      </w:r>
      <w:r>
        <w:fldChar w:fldCharType="begin"/>
      </w:r>
      <w:r w:rsidRPr="00EA7B9D">
        <w:rPr>
          <w:lang w:val="bg-BG"/>
        </w:rPr>
        <w:instrText xml:space="preserve"> </w:instrText>
      </w:r>
      <w:r>
        <w:instrText>REF</w:instrText>
      </w:r>
      <w:r w:rsidRPr="00EA7B9D">
        <w:rPr>
          <w:lang w:val="bg-BG"/>
        </w:rPr>
        <w:instrText xml:space="preserve">  </w:instrText>
      </w:r>
      <w:r>
        <w:instrText>F</w:instrText>
      </w:r>
      <w:r w:rsidRPr="00EA7B9D">
        <w:rPr>
          <w:lang w:val="bg-BG"/>
        </w:rPr>
        <w:instrText>_</w:instrText>
      </w:r>
      <w:r>
        <w:instrText>Regs</w:instrText>
      </w:r>
      <w:r w:rsidRPr="00EA7B9D">
        <w:rPr>
          <w:lang w:val="bg-BG"/>
        </w:rPr>
        <w:instrText>_2018_</w:instrText>
      </w:r>
      <w:r>
        <w:instrText>amnd</w:instrText>
      </w:r>
      <w:r w:rsidRPr="00EA7B9D">
        <w:rPr>
          <w:lang w:val="bg-BG"/>
        </w:rPr>
        <w:instrText>_</w:instrText>
      </w:r>
      <w:r>
        <w:instrText>SBC</w:instrText>
      </w:r>
      <w:r w:rsidRPr="00EA7B9D">
        <w:rPr>
          <w:lang w:val="bg-BG"/>
        </w:rPr>
        <w:instrText>_</w:instrText>
      </w:r>
      <w:r>
        <w:instrText>opinion</w:instrText>
      </w:r>
      <w:r w:rsidRPr="00EA7B9D">
        <w:rPr>
          <w:lang w:val="bg-BG"/>
        </w:rPr>
        <w:instrText xml:space="preserve"> \</w:instrText>
      </w:r>
      <w:r>
        <w:instrText>h</w:instrText>
      </w:r>
      <w:r w:rsidRPr="00EA7B9D">
        <w:rPr>
          <w:lang w:val="bg-BG"/>
        </w:rPr>
        <w:instrText xml:space="preserve">  \* </w:instrText>
      </w:r>
      <w:r>
        <w:instrText>MERGEFORMAT</w:instrText>
      </w:r>
      <w:r w:rsidRPr="00EA7B9D">
        <w:rPr>
          <w:lang w:val="bg-BG"/>
        </w:rPr>
        <w:instrText xml:space="preserve"> </w:instrText>
      </w:r>
      <w:r>
        <w:fldChar w:fldCharType="separate"/>
      </w:r>
      <w:r w:rsidR="00F21D3F" w:rsidRPr="00EA7B9D">
        <w:rPr>
          <w:lang w:val="bg-BG"/>
        </w:rPr>
        <w:t>21</w:t>
      </w:r>
      <w:r>
        <w:fldChar w:fldCharType="end"/>
      </w:r>
      <w:r w:rsidRPr="00EA7B9D">
        <w:rPr>
          <w:lang w:val="bg-BG"/>
        </w:rPr>
        <w:t xml:space="preserve"> по-горе) са частично основателни. </w:t>
      </w:r>
      <w:r w:rsidRPr="00E22DF4">
        <w:rPr>
          <w:lang w:val="bg-BG"/>
        </w:rPr>
        <w:t>Въпреки че възможността Агенцията да внедрява „</w:t>
      </w:r>
      <w:r w:rsidR="00636119" w:rsidRPr="00E22DF4">
        <w:rPr>
          <w:lang w:val="bg-BG"/>
        </w:rPr>
        <w:t>служители</w:t>
      </w:r>
      <w:r w:rsidRPr="00E22DF4">
        <w:rPr>
          <w:lang w:val="bg-BG"/>
        </w:rPr>
        <w:t xml:space="preserve"> </w:t>
      </w:r>
      <w:r w:rsidR="00E22DF4">
        <w:rPr>
          <w:lang w:val="bg-BG"/>
        </w:rPr>
        <w:t>на</w:t>
      </w:r>
      <w:r w:rsidRPr="00E22DF4">
        <w:rPr>
          <w:lang w:val="bg-BG"/>
        </w:rPr>
        <w:t xml:space="preserve"> прикритие“ в „свободните </w:t>
      </w:r>
      <w:r w:rsidRPr="00E22DF4">
        <w:rPr>
          <w:rFonts w:cstheme="minorHAnsi"/>
          <w:lang w:val="bg-BG"/>
        </w:rPr>
        <w:t xml:space="preserve">професии“ </w:t>
      </w:r>
      <w:r w:rsidRPr="00E22DF4">
        <w:rPr>
          <w:lang w:val="bg-BG"/>
        </w:rPr>
        <w:t>като цяло не надхвърля нейния законоустановен</w:t>
      </w:r>
      <w:r w:rsidR="00E22DF4">
        <w:rPr>
          <w:lang w:val="bg-BG"/>
        </w:rPr>
        <w:t>ите ѝ правомощия</w:t>
      </w:r>
      <w:r w:rsidRPr="00E22DF4">
        <w:rPr>
          <w:lang w:val="bg-BG"/>
        </w:rPr>
        <w:t xml:space="preserve">, положението е различно по отношение конкретно на адвокатската професия. Дори </w:t>
      </w:r>
      <w:r w:rsidR="00E22DF4">
        <w:rPr>
          <w:lang w:val="bg-BG"/>
        </w:rPr>
        <w:t>при първоначалното изготвяне на</w:t>
      </w:r>
      <w:r w:rsidRPr="00E22DF4">
        <w:rPr>
          <w:lang w:val="bg-BG"/>
        </w:rPr>
        <w:t xml:space="preserve"> предложените изменения, разбирането </w:t>
      </w:r>
      <w:r w:rsidR="00E22DF4">
        <w:rPr>
          <w:lang w:val="bg-BG"/>
        </w:rPr>
        <w:t>било</w:t>
      </w:r>
      <w:r w:rsidRPr="00E22DF4">
        <w:rPr>
          <w:lang w:val="bg-BG"/>
        </w:rPr>
        <w:t>, че „</w:t>
      </w:r>
      <w:r w:rsidR="00636119" w:rsidRPr="00E22DF4">
        <w:rPr>
          <w:lang w:val="bg-BG"/>
        </w:rPr>
        <w:t>служители</w:t>
      </w:r>
      <w:r w:rsidRPr="00E22DF4">
        <w:rPr>
          <w:lang w:val="bg-BG"/>
        </w:rPr>
        <w:t xml:space="preserve"> </w:t>
      </w:r>
      <w:r w:rsidR="00E22DF4">
        <w:rPr>
          <w:lang w:val="bg-BG"/>
        </w:rPr>
        <w:t>на</w:t>
      </w:r>
      <w:r w:rsidRPr="00E22DF4">
        <w:rPr>
          <w:lang w:val="bg-BG"/>
        </w:rPr>
        <w:t xml:space="preserve"> прикритие“ не могат да бъдат внедрени като адвокати в частна практика. Във всеки случай </w:t>
      </w:r>
      <w:r w:rsidR="00E22DF4">
        <w:rPr>
          <w:lang w:val="bg-BG"/>
        </w:rPr>
        <w:t>е</w:t>
      </w:r>
      <w:r w:rsidRPr="00E22DF4">
        <w:rPr>
          <w:lang w:val="bg-BG"/>
        </w:rPr>
        <w:t xml:space="preserve"> за предпочитане да се избегнат спекулации по този въпрос. </w:t>
      </w:r>
      <w:r w:rsidRPr="00CC26C3">
        <w:rPr>
          <w:lang w:val="bg-BG"/>
        </w:rPr>
        <w:t xml:space="preserve">Предложението на </w:t>
      </w:r>
      <w:r w:rsidR="00E22DF4" w:rsidRPr="00E22DF4">
        <w:rPr>
          <w:lang w:val="bg-BG"/>
        </w:rPr>
        <w:t>Висшия адвокатски съвет</w:t>
      </w:r>
      <w:r w:rsidRPr="00CC26C3">
        <w:rPr>
          <w:lang w:val="bg-BG"/>
        </w:rPr>
        <w:t xml:space="preserve"> </w:t>
      </w:r>
      <w:r w:rsidR="00CC26C3">
        <w:rPr>
          <w:lang w:val="bg-BG"/>
        </w:rPr>
        <w:t>предлаганите</w:t>
      </w:r>
      <w:r w:rsidRPr="00CC26C3">
        <w:rPr>
          <w:lang w:val="bg-BG"/>
        </w:rPr>
        <w:t xml:space="preserve"> изменения да бъдат </w:t>
      </w:r>
      <w:r w:rsidR="00CC26C3">
        <w:rPr>
          <w:lang w:val="bg-BG"/>
        </w:rPr>
        <w:t>преработени</w:t>
      </w:r>
      <w:r w:rsidRPr="00CC26C3">
        <w:rPr>
          <w:lang w:val="bg-BG"/>
        </w:rPr>
        <w:t>, за да се изясни, че „</w:t>
      </w:r>
      <w:r w:rsidR="00636119" w:rsidRPr="00CC26C3">
        <w:rPr>
          <w:lang w:val="bg-BG"/>
        </w:rPr>
        <w:t>служители</w:t>
      </w:r>
      <w:r w:rsidRPr="00CC26C3">
        <w:rPr>
          <w:lang w:val="bg-BG"/>
        </w:rPr>
        <w:t xml:space="preserve"> </w:t>
      </w:r>
      <w:r w:rsidR="00CC26C3">
        <w:rPr>
          <w:lang w:val="bg-BG"/>
        </w:rPr>
        <w:t xml:space="preserve">на </w:t>
      </w:r>
      <w:r w:rsidRPr="00CC26C3">
        <w:rPr>
          <w:lang w:val="bg-BG"/>
        </w:rPr>
        <w:t>прикритие“ не могат да бъдат внедрени като адвокати в частна</w:t>
      </w:r>
      <w:r w:rsidR="00CC26C3">
        <w:rPr>
          <w:lang w:val="bg-BG"/>
        </w:rPr>
        <w:t xml:space="preserve"> практика, следователно трябва</w:t>
      </w:r>
      <w:r w:rsidRPr="00CC26C3">
        <w:rPr>
          <w:lang w:val="bg-BG"/>
        </w:rPr>
        <w:t xml:space="preserve"> да бъде прието. Проектоизмененията </w:t>
      </w:r>
      <w:r w:rsidR="00CC26C3" w:rsidRPr="00CC26C3">
        <w:rPr>
          <w:lang w:val="bg-BG"/>
        </w:rPr>
        <w:t xml:space="preserve">съответно </w:t>
      </w:r>
      <w:r w:rsidR="00CC26C3">
        <w:rPr>
          <w:lang w:val="bg-BG"/>
        </w:rPr>
        <w:t xml:space="preserve">биват </w:t>
      </w:r>
      <w:r w:rsidRPr="00CC26C3">
        <w:rPr>
          <w:lang w:val="bg-BG"/>
        </w:rPr>
        <w:t>преработени.</w:t>
      </w:r>
    </w:p>
    <w:p w14:paraId="2E20CCFE" w14:textId="77777777" w:rsidR="00304BC9" w:rsidRDefault="000F3485" w:rsidP="00304BC9">
      <w:pPr>
        <w:pStyle w:val="JuHa0"/>
      </w:pPr>
      <w:bookmarkStart w:id="44" w:name="_Toc175214965"/>
      <w:bookmarkStart w:id="45" w:name="_Toc232688248"/>
      <w:r>
        <w:t>Приемане на измененията</w:t>
      </w:r>
      <w:bookmarkEnd w:id="44"/>
      <w:bookmarkEnd w:id="45"/>
    </w:p>
    <w:bookmarkStart w:id="46" w:name="F_Regs_2018_amnd_GOV_adoption"/>
    <w:p w14:paraId="3B650956" w14:textId="779F68FD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26</w:t>
      </w:r>
      <w:r>
        <w:fldChar w:fldCharType="end"/>
      </w:r>
      <w:bookmarkEnd w:id="46"/>
      <w:r w:rsidR="00041130">
        <w:t xml:space="preserve">. </w:t>
      </w:r>
      <w:r>
        <w:t xml:space="preserve">През </w:t>
      </w:r>
      <w:r w:rsidR="00374594">
        <w:rPr>
          <w:lang w:val="bg-BG"/>
        </w:rPr>
        <w:t xml:space="preserve">м. </w:t>
      </w:r>
      <w:r>
        <w:t>септември 2018 г. правителството прие</w:t>
      </w:r>
      <w:r w:rsidR="00071F34">
        <w:rPr>
          <w:lang w:val="bg-BG"/>
        </w:rPr>
        <w:t>ма</w:t>
      </w:r>
      <w:r>
        <w:t xml:space="preserve"> измененията, както </w:t>
      </w:r>
      <w:r w:rsidR="00374594">
        <w:rPr>
          <w:lang w:val="bg-BG"/>
        </w:rPr>
        <w:t>са</w:t>
      </w:r>
      <w:r>
        <w:t xml:space="preserve"> преработени от Агенцията в отговор на забележките на В</w:t>
      </w:r>
      <w:r w:rsidR="00374594">
        <w:rPr>
          <w:lang w:val="bg-BG"/>
        </w:rPr>
        <w:t xml:space="preserve">исшия </w:t>
      </w:r>
      <w:r w:rsidR="00071F34">
        <w:rPr>
          <w:lang w:val="bg-BG"/>
        </w:rPr>
        <w:t xml:space="preserve">адвокатски </w:t>
      </w:r>
      <w:r>
        <w:t xml:space="preserve">съвет. Те </w:t>
      </w:r>
      <w:r w:rsidR="00071F34">
        <w:rPr>
          <w:lang w:val="bg-BG"/>
        </w:rPr>
        <w:t xml:space="preserve">са </w:t>
      </w:r>
      <w:r>
        <w:t xml:space="preserve">публикувани в Държавен вестник по-късно същия месец (вж. </w:t>
      </w:r>
      <w:r w:rsidRPr="00C12135">
        <w:rPr>
          <w:i/>
          <w:iCs/>
          <w:lang w:val="bg-BG"/>
        </w:rPr>
        <w:t xml:space="preserve">Постановление № 206 на </w:t>
      </w:r>
      <w:r>
        <w:rPr>
          <w:i/>
          <w:iCs/>
          <w:lang w:val="bg-BG"/>
        </w:rPr>
        <w:t xml:space="preserve">Министерския съвет </w:t>
      </w:r>
      <w:r w:rsidRPr="00C12135">
        <w:rPr>
          <w:i/>
          <w:iCs/>
          <w:lang w:val="bg-BG"/>
        </w:rPr>
        <w:t xml:space="preserve">от 20.09.2018 г. за изменение и допълнение на Правилника за прилагане на Закона за Държавна агенция „Национална </w:t>
      </w:r>
      <w:r>
        <w:rPr>
          <w:i/>
          <w:iCs/>
          <w:lang w:val="bg-BG"/>
        </w:rPr>
        <w:t>сигурност“</w:t>
      </w:r>
      <w:r w:rsidRPr="00C12135">
        <w:rPr>
          <w:i/>
          <w:iCs/>
          <w:lang w:val="bg-BG"/>
        </w:rPr>
        <w:t>, обн., ДВ, бр. 79 от 25.09.2018 г.</w:t>
      </w:r>
      <w:r>
        <w:rPr>
          <w:i/>
          <w:iCs/>
          <w:lang w:val="bg-BG"/>
        </w:rPr>
        <w:t>, стр. 3-4</w:t>
      </w:r>
      <w:r w:rsidR="00071F34">
        <w:t xml:space="preserve">) и влезли </w:t>
      </w:r>
      <w:r>
        <w:t xml:space="preserve">а в сила три дни след датата на </w:t>
      </w:r>
      <w:r w:rsidR="00071F34">
        <w:rPr>
          <w:lang w:val="bg-BG"/>
        </w:rPr>
        <w:t>обнародването и</w:t>
      </w:r>
      <w:r>
        <w:t>м (в съответствие с общото правило, установено в член 5</w:t>
      </w:r>
      <w:r w:rsidR="00071F34">
        <w:t xml:space="preserve">, ал. </w:t>
      </w:r>
      <w:r>
        <w:t xml:space="preserve">5 от Конституцията на България и в </w:t>
      </w:r>
      <w:r w:rsidRPr="006A1B92">
        <w:t xml:space="preserve">член 41, </w:t>
      </w:r>
      <w:r w:rsidR="00071F34">
        <w:rPr>
          <w:lang w:val="bg-BG"/>
        </w:rPr>
        <w:t>ал.</w:t>
      </w:r>
      <w:r w:rsidRPr="006A1B92">
        <w:t xml:space="preserve"> 3 </w:t>
      </w:r>
      <w:r w:rsidR="00314B21">
        <w:t>и</w:t>
      </w:r>
      <w:r w:rsidRPr="006A1B92">
        <w:t xml:space="preserve"> 4 от Закона за нормативните актове от 1973 г.</w:t>
      </w:r>
      <w:r>
        <w:t>).</w:t>
      </w:r>
    </w:p>
    <w:p w14:paraId="2E23F2A6" w14:textId="77777777" w:rsidR="00304BC9" w:rsidRDefault="000F3485" w:rsidP="00304BC9">
      <w:pPr>
        <w:pStyle w:val="JuH1"/>
      </w:pPr>
      <w:bookmarkStart w:id="47" w:name="_Toc175214966"/>
      <w:bookmarkStart w:id="48" w:name="_Toc232688249"/>
      <w:r>
        <w:lastRenderedPageBreak/>
        <w:t>Текст на измененията</w:t>
      </w:r>
      <w:bookmarkEnd w:id="47"/>
      <w:bookmarkEnd w:id="48"/>
    </w:p>
    <w:bookmarkStart w:id="49" w:name="F_Regs_2018_amnd"/>
    <w:p w14:paraId="34208BF1" w14:textId="42369095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27</w:t>
      </w:r>
      <w:r>
        <w:fldChar w:fldCharType="end"/>
      </w:r>
      <w:bookmarkEnd w:id="49"/>
      <w:r w:rsidR="00041130">
        <w:t xml:space="preserve">. </w:t>
      </w:r>
      <w:r w:rsidR="00E63C14">
        <w:t>Измененията преформулират</w:t>
      </w:r>
      <w:r>
        <w:t xml:space="preserve"> </w:t>
      </w:r>
      <w:r w:rsidR="00E63C14">
        <w:rPr>
          <w:lang w:val="bg-BG"/>
        </w:rPr>
        <w:t>чл.</w:t>
      </w:r>
      <w:r>
        <w:t xml:space="preserve"> 50, 51 и 55 и </w:t>
      </w:r>
      <w:r w:rsidR="00E63C14">
        <w:rPr>
          <w:lang w:val="bg-BG"/>
        </w:rPr>
        <w:t>отменят</w:t>
      </w:r>
      <w:r>
        <w:t xml:space="preserve"> </w:t>
      </w:r>
      <w:r w:rsidR="00E63C14">
        <w:rPr>
          <w:lang w:val="bg-BG"/>
        </w:rPr>
        <w:t>чл.</w:t>
      </w:r>
      <w:r>
        <w:t xml:space="preserve"> 56–58 (вж. параграфи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F_Regs_r_50 \h  \* MERGEFORMAT </w:instrText>
      </w:r>
      <w:r>
        <w:fldChar w:fldCharType="separate"/>
      </w:r>
      <w:r w:rsidR="00F21D3F">
        <w:t>9</w:t>
      </w:r>
      <w:r>
        <w:fldChar w:fldCharType="end"/>
      </w:r>
      <w:r>
        <w:t xml:space="preserve"> </w:t>
      </w:r>
      <w:r w:rsidR="00E63C14">
        <w:rPr>
          <w:lang w:val="bg-BG"/>
        </w:rPr>
        <w:t>-</w:t>
      </w:r>
      <w:r>
        <w:fldChar w:fldCharType="begin"/>
      </w:r>
      <w:r>
        <w:instrText xml:space="preserve"> REF  F_Regs_r_51 \h  \* MERGEFORMAT </w:instrText>
      </w:r>
      <w:r>
        <w:fldChar w:fldCharType="separate"/>
      </w:r>
      <w:r w:rsidR="00F21D3F">
        <w:t>10</w:t>
      </w:r>
      <w:r>
        <w:fldChar w:fldCharType="end"/>
      </w:r>
      <w:r>
        <w:t xml:space="preserve"> 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F_Regs_r_55 \h  \* MERGEFORMAT </w:instrText>
      </w:r>
      <w:r>
        <w:fldChar w:fldCharType="separate"/>
      </w:r>
      <w:r w:rsidR="00F21D3F">
        <w:t>14</w:t>
      </w:r>
      <w:r>
        <w:fldChar w:fldCharType="end"/>
      </w:r>
      <w:r>
        <w:t xml:space="preserve"> </w:t>
      </w:r>
      <w:r w:rsidR="00E63C14">
        <w:rPr>
          <w:lang w:val="bg-BG"/>
        </w:rPr>
        <w:t>-</w:t>
      </w:r>
      <w:r>
        <w:fldChar w:fldCharType="begin"/>
      </w:r>
      <w:r>
        <w:instrText xml:space="preserve"> REF  F_Regs_r_56_6_r_57_2_r_58_1 \h  \* MERGEFORMAT </w:instrText>
      </w:r>
      <w:r>
        <w:fldChar w:fldCharType="separate"/>
      </w:r>
      <w:r w:rsidR="00F21D3F">
        <w:t>16</w:t>
      </w:r>
      <w:r>
        <w:fldChar w:fldCharType="end"/>
      </w:r>
      <w:r>
        <w:t xml:space="preserve"> по-горе).</w:t>
      </w:r>
    </w:p>
    <w:bookmarkStart w:id="50" w:name="F_Regs_2018_amnd_r_50"/>
    <w:p w14:paraId="5FA57AE2" w14:textId="2F075728" w:rsidR="00304BC9" w:rsidRPr="00E63C14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28</w:t>
      </w:r>
      <w:r>
        <w:fldChar w:fldCharType="end"/>
      </w:r>
      <w:bookmarkEnd w:id="50"/>
      <w:r w:rsidR="00E63C14">
        <w:rPr>
          <w:lang w:val="bg-BG"/>
        </w:rPr>
        <w:t xml:space="preserve">. </w:t>
      </w:r>
      <w:r w:rsidRPr="00E63C14">
        <w:rPr>
          <w:lang w:val="bg-BG"/>
        </w:rPr>
        <w:t xml:space="preserve">Съгласно новата формулировка на </w:t>
      </w:r>
      <w:r w:rsidR="00E63C14">
        <w:rPr>
          <w:lang w:val="bg-BG"/>
        </w:rPr>
        <w:t>чл.</w:t>
      </w:r>
      <w:r w:rsidRPr="00E63C14">
        <w:rPr>
          <w:lang w:val="bg-BG"/>
        </w:rPr>
        <w:t xml:space="preserve"> 50 (вж. параграф</w:t>
      </w:r>
      <w:r w:rsidR="00041130">
        <w:rPr>
          <w:lang w:val="bg-BG"/>
        </w:rPr>
        <w:t xml:space="preserve"> </w:t>
      </w:r>
      <w:r>
        <w:fldChar w:fldCharType="begin"/>
      </w:r>
      <w:r w:rsidRPr="00E63C14">
        <w:rPr>
          <w:lang w:val="bg-BG"/>
        </w:rPr>
        <w:instrText xml:space="preserve"> </w:instrText>
      </w:r>
      <w:r>
        <w:instrText>REF</w:instrText>
      </w:r>
      <w:r w:rsidRPr="00E63C14">
        <w:rPr>
          <w:lang w:val="bg-BG"/>
        </w:rPr>
        <w:instrText xml:space="preserve">  </w:instrText>
      </w:r>
      <w:r>
        <w:instrText>F</w:instrText>
      </w:r>
      <w:r w:rsidRPr="00E63C14">
        <w:rPr>
          <w:lang w:val="bg-BG"/>
        </w:rPr>
        <w:instrText>_</w:instrText>
      </w:r>
      <w:r>
        <w:instrText>Regs</w:instrText>
      </w:r>
      <w:r w:rsidRPr="00E63C14">
        <w:rPr>
          <w:lang w:val="bg-BG"/>
        </w:rPr>
        <w:instrText>_</w:instrText>
      </w:r>
      <w:r>
        <w:instrText>r</w:instrText>
      </w:r>
      <w:r w:rsidRPr="00E63C14">
        <w:rPr>
          <w:lang w:val="bg-BG"/>
        </w:rPr>
        <w:instrText>_50 \</w:instrText>
      </w:r>
      <w:r>
        <w:instrText>h</w:instrText>
      </w:r>
      <w:r w:rsidRPr="00E63C14">
        <w:rPr>
          <w:lang w:val="bg-BG"/>
        </w:rPr>
        <w:instrText xml:space="preserve">  \* </w:instrText>
      </w:r>
      <w:r>
        <w:instrText>MERGEFORMAT</w:instrText>
      </w:r>
      <w:r w:rsidRPr="00E63C14">
        <w:rPr>
          <w:lang w:val="bg-BG"/>
        </w:rPr>
        <w:instrText xml:space="preserve"> </w:instrText>
      </w:r>
      <w:r>
        <w:fldChar w:fldCharType="separate"/>
      </w:r>
      <w:r w:rsidR="00F21D3F" w:rsidRPr="00E63C14">
        <w:rPr>
          <w:lang w:val="bg-BG"/>
        </w:rPr>
        <w:t>9</w:t>
      </w:r>
      <w:r>
        <w:fldChar w:fldCharType="end"/>
      </w:r>
      <w:r w:rsidRPr="00E63C14">
        <w:rPr>
          <w:lang w:val="bg-BG"/>
        </w:rPr>
        <w:t xml:space="preserve"> по-горе), „</w:t>
      </w:r>
      <w:r w:rsidR="00636119" w:rsidRPr="00E63C14">
        <w:rPr>
          <w:lang w:val="bg-BG"/>
        </w:rPr>
        <w:t>служители</w:t>
      </w:r>
      <w:r w:rsidR="00E63C14">
        <w:rPr>
          <w:lang w:val="bg-BG"/>
        </w:rPr>
        <w:t xml:space="preserve"> на </w:t>
      </w:r>
      <w:r w:rsidRPr="00E63C14">
        <w:rPr>
          <w:lang w:val="bg-BG"/>
        </w:rPr>
        <w:t xml:space="preserve">прикритие“ могат да бъдат внедрени в държавната администрация, в юридически лица и в граждански </w:t>
      </w:r>
      <w:r w:rsidR="00E63C14">
        <w:rPr>
          <w:lang w:val="bg-BG"/>
        </w:rPr>
        <w:t>дружества</w:t>
      </w:r>
      <w:r w:rsidRPr="00E63C14">
        <w:rPr>
          <w:lang w:val="bg-BG"/>
        </w:rPr>
        <w:t xml:space="preserve">, както и като лица, упражняващи „свободна </w:t>
      </w:r>
      <w:r w:rsidRPr="00E63C14">
        <w:rPr>
          <w:rFonts w:cstheme="minorHAnsi"/>
          <w:lang w:val="bg-BG"/>
        </w:rPr>
        <w:t xml:space="preserve">професия“ </w:t>
      </w:r>
      <w:r w:rsidRPr="00E63C14">
        <w:rPr>
          <w:lang w:val="bg-BG"/>
        </w:rPr>
        <w:t>(с изключение на адвокатите в частна практика).</w:t>
      </w:r>
    </w:p>
    <w:bookmarkStart w:id="51" w:name="F_Regs_2018_amnd_r_51"/>
    <w:p w14:paraId="6A68243D" w14:textId="3026E542" w:rsidR="00304BC9" w:rsidRPr="003511A9" w:rsidRDefault="000F3485" w:rsidP="00304BC9">
      <w:pPr>
        <w:pStyle w:val="JuPara"/>
        <w:rPr>
          <w:lang w:val="bg-BG"/>
        </w:rPr>
      </w:pPr>
      <w:r>
        <w:fldChar w:fldCharType="begin"/>
      </w:r>
      <w:r w:rsidRPr="003511A9">
        <w:rPr>
          <w:lang w:val="bg-BG"/>
        </w:rPr>
        <w:instrText xml:space="preserve"> </w:instrText>
      </w:r>
      <w:r>
        <w:instrText>SEQ</w:instrText>
      </w:r>
      <w:r w:rsidRPr="003511A9">
        <w:rPr>
          <w:lang w:val="bg-BG"/>
        </w:rPr>
        <w:instrText xml:space="preserve"> </w:instrText>
      </w:r>
      <w:r>
        <w:instrText>level</w:instrText>
      </w:r>
      <w:r w:rsidRPr="003511A9">
        <w:rPr>
          <w:lang w:val="bg-BG"/>
        </w:rPr>
        <w:instrText>0 \*</w:instrText>
      </w:r>
      <w:r>
        <w:instrText>arabic</w:instrText>
      </w:r>
      <w:r w:rsidRPr="003511A9">
        <w:rPr>
          <w:lang w:val="bg-BG"/>
        </w:rPr>
        <w:instrText xml:space="preserve"> \* </w:instrText>
      </w:r>
      <w:r>
        <w:instrText>MERGEFORMAT</w:instrText>
      </w:r>
      <w:r w:rsidRPr="003511A9">
        <w:rPr>
          <w:lang w:val="bg-BG"/>
        </w:rPr>
        <w:instrText xml:space="preserve"> </w:instrText>
      </w:r>
      <w:r>
        <w:fldChar w:fldCharType="separate"/>
      </w:r>
      <w:r w:rsidR="00F21D3F" w:rsidRPr="003511A9">
        <w:rPr>
          <w:noProof/>
          <w:lang w:val="bg-BG"/>
        </w:rPr>
        <w:t>29</w:t>
      </w:r>
      <w:r>
        <w:fldChar w:fldCharType="end"/>
      </w:r>
      <w:bookmarkEnd w:id="51"/>
      <w:r w:rsidR="00041130" w:rsidRPr="003511A9">
        <w:rPr>
          <w:lang w:val="bg-BG"/>
        </w:rPr>
        <w:t xml:space="preserve">. </w:t>
      </w:r>
      <w:r w:rsidRPr="003511A9">
        <w:rPr>
          <w:lang w:val="bg-BG"/>
        </w:rPr>
        <w:t xml:space="preserve">Формулировката на </w:t>
      </w:r>
      <w:r w:rsidR="005F5B3E">
        <w:rPr>
          <w:lang w:val="bg-BG"/>
        </w:rPr>
        <w:t>чл.</w:t>
      </w:r>
      <w:r w:rsidRPr="003511A9">
        <w:rPr>
          <w:lang w:val="bg-BG"/>
        </w:rPr>
        <w:t xml:space="preserve"> 51 (вж. параграф</w:t>
      </w:r>
      <w:r w:rsidR="00041130">
        <w:rPr>
          <w:lang w:val="bg-BG"/>
        </w:rPr>
        <w:t xml:space="preserve"> </w:t>
      </w:r>
      <w:r>
        <w:fldChar w:fldCharType="begin"/>
      </w:r>
      <w:r w:rsidRPr="003511A9">
        <w:rPr>
          <w:lang w:val="bg-BG"/>
        </w:rPr>
        <w:instrText xml:space="preserve"> </w:instrText>
      </w:r>
      <w:r>
        <w:instrText>REF</w:instrText>
      </w:r>
      <w:r w:rsidRPr="003511A9">
        <w:rPr>
          <w:lang w:val="bg-BG"/>
        </w:rPr>
        <w:instrText xml:space="preserve">  </w:instrText>
      </w:r>
      <w:r>
        <w:instrText>F</w:instrText>
      </w:r>
      <w:r w:rsidRPr="003511A9">
        <w:rPr>
          <w:lang w:val="bg-BG"/>
        </w:rPr>
        <w:instrText>_</w:instrText>
      </w:r>
      <w:r>
        <w:instrText>Regs</w:instrText>
      </w:r>
      <w:r w:rsidRPr="003511A9">
        <w:rPr>
          <w:lang w:val="bg-BG"/>
        </w:rPr>
        <w:instrText>_</w:instrText>
      </w:r>
      <w:r>
        <w:instrText>r</w:instrText>
      </w:r>
      <w:r w:rsidRPr="003511A9">
        <w:rPr>
          <w:lang w:val="bg-BG"/>
        </w:rPr>
        <w:instrText>_51 \</w:instrText>
      </w:r>
      <w:r>
        <w:instrText>h</w:instrText>
      </w:r>
      <w:r w:rsidRPr="003511A9">
        <w:rPr>
          <w:lang w:val="bg-BG"/>
        </w:rPr>
        <w:instrText xml:space="preserve">  \* </w:instrText>
      </w:r>
      <w:r>
        <w:instrText>MERGEFORMAT</w:instrText>
      </w:r>
      <w:r w:rsidRPr="003511A9">
        <w:rPr>
          <w:lang w:val="bg-BG"/>
        </w:rPr>
        <w:instrText xml:space="preserve"> </w:instrText>
      </w:r>
      <w:r>
        <w:fldChar w:fldCharType="separate"/>
      </w:r>
      <w:r w:rsidR="00F21D3F" w:rsidRPr="003511A9">
        <w:rPr>
          <w:lang w:val="bg-BG"/>
        </w:rPr>
        <w:t>10</w:t>
      </w:r>
      <w:r>
        <w:fldChar w:fldCharType="end"/>
      </w:r>
      <w:r w:rsidRPr="003511A9">
        <w:rPr>
          <w:lang w:val="bg-BG"/>
        </w:rPr>
        <w:t xml:space="preserve"> по-горе) </w:t>
      </w:r>
      <w:r w:rsidR="005F5B3E">
        <w:rPr>
          <w:lang w:val="bg-BG"/>
        </w:rPr>
        <w:t>е</w:t>
      </w:r>
      <w:r w:rsidRPr="003511A9">
        <w:rPr>
          <w:lang w:val="bg-BG"/>
        </w:rPr>
        <w:t xml:space="preserve"> изменена, за да се уточни, че длъжността, на която може да бъде внедрен „</w:t>
      </w:r>
      <w:r w:rsidR="00636119" w:rsidRPr="003511A9">
        <w:rPr>
          <w:lang w:val="bg-BG"/>
        </w:rPr>
        <w:t>служител</w:t>
      </w:r>
      <w:r w:rsidR="00145B17">
        <w:rPr>
          <w:lang w:val="bg-BG"/>
        </w:rPr>
        <w:t xml:space="preserve"> </w:t>
      </w:r>
      <w:r w:rsidR="005F5B3E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 w:rsidRPr="003511A9">
        <w:rPr>
          <w:lang w:val="bg-BG"/>
        </w:rPr>
        <w:t>“, не се ограничава до длъжност в държавна институция.</w:t>
      </w:r>
    </w:p>
    <w:bookmarkStart w:id="52" w:name="F_Regs_2018_amnd_r_55"/>
    <w:p w14:paraId="384326D4" w14:textId="67635782" w:rsidR="00304BC9" w:rsidRPr="003511A9" w:rsidRDefault="000F3485" w:rsidP="00304BC9">
      <w:pPr>
        <w:pStyle w:val="JuPara"/>
        <w:rPr>
          <w:lang w:val="bg-BG"/>
        </w:rPr>
      </w:pPr>
      <w:r>
        <w:fldChar w:fldCharType="begin"/>
      </w:r>
      <w:r w:rsidRPr="003511A9">
        <w:rPr>
          <w:lang w:val="bg-BG"/>
        </w:rPr>
        <w:instrText xml:space="preserve"> </w:instrText>
      </w:r>
      <w:r>
        <w:instrText>SEQ</w:instrText>
      </w:r>
      <w:r w:rsidRPr="003511A9">
        <w:rPr>
          <w:lang w:val="bg-BG"/>
        </w:rPr>
        <w:instrText xml:space="preserve"> </w:instrText>
      </w:r>
      <w:r>
        <w:instrText>level</w:instrText>
      </w:r>
      <w:r w:rsidRPr="003511A9">
        <w:rPr>
          <w:lang w:val="bg-BG"/>
        </w:rPr>
        <w:instrText>0 \*</w:instrText>
      </w:r>
      <w:r>
        <w:instrText>arabic</w:instrText>
      </w:r>
      <w:r w:rsidRPr="003511A9">
        <w:rPr>
          <w:lang w:val="bg-BG"/>
        </w:rPr>
        <w:instrText xml:space="preserve"> \* </w:instrText>
      </w:r>
      <w:r>
        <w:instrText>MERGEFORMAT</w:instrText>
      </w:r>
      <w:r w:rsidRPr="003511A9">
        <w:rPr>
          <w:lang w:val="bg-BG"/>
        </w:rPr>
        <w:instrText xml:space="preserve"> </w:instrText>
      </w:r>
      <w:r>
        <w:fldChar w:fldCharType="separate"/>
      </w:r>
      <w:r w:rsidR="00F21D3F" w:rsidRPr="003511A9">
        <w:rPr>
          <w:noProof/>
          <w:lang w:val="bg-BG"/>
        </w:rPr>
        <w:t>30</w:t>
      </w:r>
      <w:r>
        <w:fldChar w:fldCharType="end"/>
      </w:r>
      <w:bookmarkEnd w:id="52"/>
      <w:r w:rsidR="00041130" w:rsidRPr="003511A9">
        <w:rPr>
          <w:lang w:val="bg-BG"/>
        </w:rPr>
        <w:t xml:space="preserve">. </w:t>
      </w:r>
      <w:r w:rsidR="00561F76">
        <w:rPr>
          <w:lang w:val="bg-BG"/>
        </w:rPr>
        <w:t>Чл.</w:t>
      </w:r>
      <w:r w:rsidRPr="003511A9">
        <w:rPr>
          <w:lang w:val="bg-BG"/>
        </w:rPr>
        <w:t xml:space="preserve"> 55 (вж. параграф</w:t>
      </w:r>
      <w:r w:rsidR="00041130">
        <w:rPr>
          <w:lang w:val="bg-BG"/>
        </w:rPr>
        <w:t xml:space="preserve"> </w:t>
      </w:r>
      <w:r>
        <w:fldChar w:fldCharType="begin"/>
      </w:r>
      <w:r w:rsidRPr="003511A9">
        <w:rPr>
          <w:lang w:val="bg-BG"/>
        </w:rPr>
        <w:instrText xml:space="preserve"> </w:instrText>
      </w:r>
      <w:r>
        <w:instrText>REF</w:instrText>
      </w:r>
      <w:r w:rsidRPr="003511A9">
        <w:rPr>
          <w:lang w:val="bg-BG"/>
        </w:rPr>
        <w:instrText xml:space="preserve">  </w:instrText>
      </w:r>
      <w:r>
        <w:instrText>F</w:instrText>
      </w:r>
      <w:r w:rsidRPr="003511A9">
        <w:rPr>
          <w:lang w:val="bg-BG"/>
        </w:rPr>
        <w:instrText>_</w:instrText>
      </w:r>
      <w:r>
        <w:instrText>Regs</w:instrText>
      </w:r>
      <w:r w:rsidRPr="003511A9">
        <w:rPr>
          <w:lang w:val="bg-BG"/>
        </w:rPr>
        <w:instrText>_</w:instrText>
      </w:r>
      <w:r>
        <w:instrText>r</w:instrText>
      </w:r>
      <w:r w:rsidRPr="003511A9">
        <w:rPr>
          <w:lang w:val="bg-BG"/>
        </w:rPr>
        <w:instrText>_55 \</w:instrText>
      </w:r>
      <w:r>
        <w:instrText>h</w:instrText>
      </w:r>
      <w:r w:rsidRPr="003511A9">
        <w:rPr>
          <w:lang w:val="bg-BG"/>
        </w:rPr>
        <w:instrText xml:space="preserve">  \* </w:instrText>
      </w:r>
      <w:r>
        <w:instrText>MERGEFORMAT</w:instrText>
      </w:r>
      <w:r w:rsidRPr="003511A9">
        <w:rPr>
          <w:lang w:val="bg-BG"/>
        </w:rPr>
        <w:instrText xml:space="preserve"> </w:instrText>
      </w:r>
      <w:r>
        <w:fldChar w:fldCharType="separate"/>
      </w:r>
      <w:r w:rsidR="00F21D3F" w:rsidRPr="003511A9">
        <w:rPr>
          <w:lang w:val="bg-BG"/>
        </w:rPr>
        <w:t>14</w:t>
      </w:r>
      <w:r>
        <w:fldChar w:fldCharType="end"/>
      </w:r>
      <w:r w:rsidRPr="003511A9">
        <w:rPr>
          <w:lang w:val="bg-BG"/>
        </w:rPr>
        <w:t xml:space="preserve"> по-горе) </w:t>
      </w:r>
      <w:r w:rsidR="00561F76">
        <w:rPr>
          <w:lang w:val="bg-BG"/>
        </w:rPr>
        <w:t>е изменен</w:t>
      </w:r>
      <w:r w:rsidRPr="003511A9">
        <w:rPr>
          <w:lang w:val="bg-BG"/>
        </w:rPr>
        <w:t>, за да се посочи само, че служителите на Агенцията трябва да бъдат внедрени като „</w:t>
      </w:r>
      <w:r w:rsidR="00636119" w:rsidRPr="003511A9">
        <w:rPr>
          <w:lang w:val="bg-BG"/>
        </w:rPr>
        <w:t>служители</w:t>
      </w:r>
      <w:r w:rsidRPr="003511A9">
        <w:rPr>
          <w:lang w:val="bg-BG"/>
        </w:rPr>
        <w:t xml:space="preserve"> </w:t>
      </w:r>
      <w:r w:rsidR="00561F76">
        <w:rPr>
          <w:lang w:val="bg-BG"/>
        </w:rPr>
        <w:t>на</w:t>
      </w:r>
      <w:r w:rsidRPr="003511A9">
        <w:rPr>
          <w:lang w:val="bg-BG"/>
        </w:rPr>
        <w:t xml:space="preserve"> прикритие“ по начин, който не създава риск от разкриване на прикритието им.</w:t>
      </w:r>
    </w:p>
    <w:p w14:paraId="033577B9" w14:textId="554960F9" w:rsidR="00304BC9" w:rsidRPr="003511A9" w:rsidRDefault="000F3485" w:rsidP="00304BC9">
      <w:pPr>
        <w:pStyle w:val="JuHIRoman"/>
        <w:rPr>
          <w:lang w:val="bg-BG"/>
        </w:rPr>
      </w:pPr>
      <w:bookmarkStart w:id="53" w:name="_Toc175214967"/>
      <w:bookmarkStart w:id="54" w:name="_Toc232688250"/>
      <w:r w:rsidRPr="003511A9">
        <w:rPr>
          <w:lang w:val="bg-BG"/>
        </w:rPr>
        <w:t xml:space="preserve">СЪДЕБЕН КОНТРОЛ НА </w:t>
      </w:r>
      <w:bookmarkEnd w:id="53"/>
      <w:r w:rsidR="00DE31EB">
        <w:rPr>
          <w:lang w:val="bg-BG"/>
        </w:rPr>
        <w:t>ИЗМЕНЕНИЯТА В ПРАВИЛНИКА</w:t>
      </w:r>
      <w:bookmarkEnd w:id="54"/>
    </w:p>
    <w:p w14:paraId="353EAC7B" w14:textId="2759DA06" w:rsidR="00304BC9" w:rsidRDefault="00EB5173" w:rsidP="00304BC9">
      <w:pPr>
        <w:pStyle w:val="JuHA"/>
      </w:pPr>
      <w:bookmarkStart w:id="55" w:name="_Toc175214968"/>
      <w:bookmarkStart w:id="56" w:name="_Toc232688251"/>
      <w:r>
        <w:rPr>
          <w:lang w:val="bg-BG"/>
        </w:rPr>
        <w:t xml:space="preserve">На </w:t>
      </w:r>
      <w:r w:rsidR="000F3485">
        <w:t>първа инстанция</w:t>
      </w:r>
      <w:bookmarkEnd w:id="55"/>
      <w:bookmarkEnd w:id="56"/>
    </w:p>
    <w:p w14:paraId="406BADF9" w14:textId="77777777" w:rsidR="00304BC9" w:rsidRPr="00D31977" w:rsidRDefault="000F3485" w:rsidP="00304BC9">
      <w:pPr>
        <w:pStyle w:val="JuH1"/>
      </w:pPr>
      <w:bookmarkStart w:id="57" w:name="_Toc175214969"/>
      <w:bookmarkStart w:id="58" w:name="_Toc232688252"/>
      <w:r>
        <w:t>Ход на производството</w:t>
      </w:r>
      <w:bookmarkEnd w:id="57"/>
      <w:bookmarkEnd w:id="58"/>
    </w:p>
    <w:bookmarkStart w:id="59" w:name="F_jud_rev_FI_claim"/>
    <w:p w14:paraId="7DFDF847" w14:textId="54A48C1F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31</w:t>
      </w:r>
      <w:r>
        <w:fldChar w:fldCharType="end"/>
      </w:r>
      <w:bookmarkEnd w:id="59"/>
      <w:r>
        <w:t xml:space="preserve">.  През </w:t>
      </w:r>
      <w:r w:rsidR="00685B02">
        <w:rPr>
          <w:lang w:val="bg-BG"/>
        </w:rPr>
        <w:t xml:space="preserve">м. </w:t>
      </w:r>
      <w:r>
        <w:t xml:space="preserve">октомври 2018 г. </w:t>
      </w:r>
      <w:r w:rsidR="00685B02">
        <w:rPr>
          <w:lang w:val="bg-BG"/>
        </w:rPr>
        <w:t>сдружението-жалбподател</w:t>
      </w:r>
      <w:r w:rsidR="00685B02">
        <w:t xml:space="preserve"> </w:t>
      </w:r>
      <w:r w:rsidR="00EA56CA">
        <w:rPr>
          <w:lang w:val="bg-BG"/>
        </w:rPr>
        <w:t>обжалва по съдебен ред</w:t>
      </w:r>
      <w:r w:rsidR="00685B02">
        <w:t xml:space="preserve"> чл.</w:t>
      </w:r>
      <w:r>
        <w:t xml:space="preserve"> 49</w:t>
      </w:r>
      <w:r w:rsidR="00685B02">
        <w:rPr>
          <w:lang w:val="bg-BG"/>
        </w:rPr>
        <w:t>-</w:t>
      </w:r>
      <w:r>
        <w:t xml:space="preserve">62, частично изменени през </w:t>
      </w:r>
      <w:r w:rsidR="00685B02">
        <w:rPr>
          <w:lang w:val="bg-BG"/>
        </w:rPr>
        <w:t xml:space="preserve">м. </w:t>
      </w:r>
      <w:r>
        <w:t>септември 2018 г. (вж. параграфи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F_Regs_made \h  \* MERGEFORMAT </w:instrText>
      </w:r>
      <w:r>
        <w:fldChar w:fldCharType="separate"/>
      </w:r>
      <w:r w:rsidR="00F21D3F">
        <w:t>6</w:t>
      </w:r>
      <w:r>
        <w:fldChar w:fldCharType="end"/>
      </w:r>
      <w:r w:rsidR="00685B02">
        <w:rPr>
          <w:lang w:val="bg-BG"/>
        </w:rPr>
        <w:t>-</w:t>
      </w:r>
      <w:r>
        <w:fldChar w:fldCharType="begin"/>
      </w:r>
      <w:r>
        <w:instrText xml:space="preserve"> REF  F_Regs_2018_amnd_r_55 \h  \* MERGEFORMAT </w:instrText>
      </w:r>
      <w:r>
        <w:fldChar w:fldCharType="separate"/>
      </w:r>
      <w:r w:rsidR="00F21D3F">
        <w:t>30</w:t>
      </w:r>
      <w:r>
        <w:fldChar w:fldCharType="end"/>
      </w:r>
      <w:r>
        <w:t xml:space="preserve"> по-горе). </w:t>
      </w:r>
      <w:r w:rsidR="00685B02">
        <w:rPr>
          <w:lang w:val="bg-BG"/>
        </w:rPr>
        <w:t>То посочва</w:t>
      </w:r>
      <w:r>
        <w:t>, че традиционният термин, използван в законодателството (по-конкретно в Закона от 1997 г.) за обозначаване на тайни оперативни служители, е „</w:t>
      </w:r>
      <w:r w:rsidR="00636119">
        <w:t>служители</w:t>
      </w:r>
      <w:r>
        <w:t xml:space="preserve"> под прикритие“ (вж. </w:t>
      </w:r>
      <w:r w:rsidR="00685B02">
        <w:rPr>
          <w:lang w:val="bg-BG"/>
        </w:rPr>
        <w:t>чл.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RLF_SSMA_s_2 \h  \* MERGEFORMAT </w:instrText>
      </w:r>
      <w:r>
        <w:fldChar w:fldCharType="separate"/>
      </w:r>
      <w:r w:rsidR="00F21D3F">
        <w:t>74</w:t>
      </w:r>
      <w:r>
        <w:fldChar w:fldCharType="end"/>
      </w:r>
      <w:r>
        <w:t xml:space="preserve"> (</w:t>
      </w:r>
      <w:r>
        <w:fldChar w:fldCharType="begin"/>
      </w:r>
      <w:r>
        <w:instrText xml:space="preserve"> REF  RLF_SSMA_s_2_agents_under_cover \h  \* MERGEFORMAT </w:instrText>
      </w:r>
      <w:r>
        <w:fldChar w:fldCharType="separate"/>
      </w:r>
      <w:r w:rsidR="00F21D3F">
        <w:t>h</w:t>
      </w:r>
      <w:r>
        <w:fldChar w:fldCharType="end"/>
      </w:r>
      <w:r>
        <w:t>) 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RLF_SSMA_s_10c_1 \h  \* MERGEFORMAT </w:instrText>
      </w:r>
      <w:r>
        <w:fldChar w:fldCharType="separate"/>
      </w:r>
      <w:r w:rsidR="00F21D3F">
        <w:t>75</w:t>
      </w:r>
      <w:r>
        <w:fldChar w:fldCharType="end"/>
      </w:r>
      <w:r>
        <w:t xml:space="preserve"> по-долу), докато терминът „</w:t>
      </w:r>
      <w:r w:rsidR="00636119">
        <w:t>служители</w:t>
      </w:r>
      <w:r>
        <w:t xml:space="preserve"> </w:t>
      </w:r>
      <w:r w:rsidR="00685B02">
        <w:rPr>
          <w:lang w:val="bg-BG"/>
        </w:rPr>
        <w:t>на</w:t>
      </w:r>
      <w:r>
        <w:t xml:space="preserve"> прикритие“ се среща на законодателно равнище само в две р</w:t>
      </w:r>
      <w:r w:rsidR="00B74FDE">
        <w:t xml:space="preserve">азпоредби на Закона от 2007 г. </w:t>
      </w:r>
      <w:r w:rsidR="00B74FDE">
        <w:rPr>
          <w:lang w:val="bg-BG"/>
        </w:rPr>
        <w:t>–</w:t>
      </w:r>
      <w:r>
        <w:t xml:space="preserve"> членове 35а и 110, </w:t>
      </w:r>
      <w:r w:rsidR="00B74FDE">
        <w:rPr>
          <w:lang w:val="bg-BG"/>
        </w:rPr>
        <w:t>ал.</w:t>
      </w:r>
      <w:r w:rsidR="00F505C6">
        <w:t xml:space="preserve"> 1, т.</w:t>
      </w:r>
      <w:r>
        <w:t xml:space="preserve"> 7, буква е)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RLF_SANSA_agents_in_cover \h  \* MERGEFORMAT </w:instrText>
      </w:r>
      <w:r>
        <w:fldChar w:fldCharType="separate"/>
      </w:r>
      <w:r w:rsidR="00F21D3F">
        <w:t>48</w:t>
      </w:r>
      <w:r>
        <w:fldChar w:fldCharType="end"/>
      </w:r>
      <w:r>
        <w:t xml:space="preserve"> по-долу) </w:t>
      </w:r>
      <w:r w:rsidR="00B74FDE">
        <w:rPr>
          <w:lang w:val="bg-BG"/>
        </w:rPr>
        <w:t xml:space="preserve">– </w:t>
      </w:r>
      <w:r>
        <w:t xml:space="preserve">без обаче да бъде дефиниран или разяснен в тези разпоредби. </w:t>
      </w:r>
      <w:r w:rsidR="00C75DE8">
        <w:t>Следователно не е имало надлежна законова</w:t>
      </w:r>
      <w:r>
        <w:t xml:space="preserve"> </w:t>
      </w:r>
      <w:r w:rsidR="00C75DE8">
        <w:rPr>
          <w:lang w:val="bg-BG"/>
        </w:rPr>
        <w:t xml:space="preserve">делегация </w:t>
      </w:r>
      <w:r>
        <w:t xml:space="preserve">правителството да издава </w:t>
      </w:r>
      <w:r w:rsidR="00C75DE8">
        <w:rPr>
          <w:lang w:val="bg-BG"/>
        </w:rPr>
        <w:t>разпоредби</w:t>
      </w:r>
      <w:r>
        <w:t>, отнасящи се конкретно до „</w:t>
      </w:r>
      <w:r w:rsidR="00636119">
        <w:t>служители</w:t>
      </w:r>
      <w:r w:rsidR="00C75DE8">
        <w:t xml:space="preserve"> на</w:t>
      </w:r>
      <w:r>
        <w:t xml:space="preserve"> прикритие“. Дейността на такива </w:t>
      </w:r>
      <w:r w:rsidR="00636119">
        <w:t>служители</w:t>
      </w:r>
      <w:r>
        <w:t xml:space="preserve"> несъмнено може да засегне правата, гарантирани от член 8 от Конвенцията, тъй като те могат тайно да получат достъп до вътрешна информация или комуникации на всяка организация или да шпионират нейния персонал. Липсата на законови правила, регулиращи тази дейност, и произтичащата от това липса на гаранции срещу злоупотребата с</w:t>
      </w:r>
      <w:r w:rsidR="00C83211">
        <w:rPr>
          <w:lang w:val="bg-BG"/>
        </w:rPr>
        <w:t>ъс</w:t>
      </w:r>
      <w:r>
        <w:t xml:space="preserve"> „</w:t>
      </w:r>
      <w:r w:rsidR="00636119">
        <w:t>служители</w:t>
      </w:r>
      <w:r>
        <w:t xml:space="preserve"> </w:t>
      </w:r>
      <w:r w:rsidR="00C83211">
        <w:rPr>
          <w:lang w:val="bg-BG"/>
        </w:rPr>
        <w:t>на</w:t>
      </w:r>
      <w:r>
        <w:t xml:space="preserve"> прикритие“ означава, че използването им не би било „в съответствие със закона“. Единственият начин да се гарантира спазването на тази разпоредба – по-специално чрез подходящо ограничаване на продължителността, през която може да се </w:t>
      </w:r>
      <w:r>
        <w:lastRenderedPageBreak/>
        <w:t>извършва такава намеса в правата – е да се подчини използването на „</w:t>
      </w:r>
      <w:r w:rsidR="00636119">
        <w:t>служители</w:t>
      </w:r>
      <w:r>
        <w:t xml:space="preserve"> </w:t>
      </w:r>
      <w:r w:rsidR="00C83211">
        <w:rPr>
          <w:lang w:val="bg-BG"/>
        </w:rPr>
        <w:t>на</w:t>
      </w:r>
      <w:r>
        <w:t xml:space="preserve"> прикритие“ на съдебен надзор. Освен това, преди издаването на </w:t>
      </w:r>
      <w:r w:rsidR="00C83211">
        <w:rPr>
          <w:lang w:val="bg-BG"/>
        </w:rPr>
        <w:t>разпоредбите</w:t>
      </w:r>
      <w:r>
        <w:t xml:space="preserve"> правителството не е обяснило надлежно тяхната цел и очакваното въздействие – особено по отношение на правата, защитени от член 8 от Конвенцията, както е тълкуван от този </w:t>
      </w:r>
      <w:r w:rsidR="003D719E">
        <w:rPr>
          <w:lang w:val="bg-BG"/>
        </w:rPr>
        <w:t>С</w:t>
      </w:r>
      <w:r>
        <w:t>ъд.</w:t>
      </w:r>
    </w:p>
    <w:bookmarkStart w:id="60" w:name="F_jud_rev_FI_response_SANS"/>
    <w:p w14:paraId="132ABF4C" w14:textId="0B9381FB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32</w:t>
      </w:r>
      <w:r>
        <w:fldChar w:fldCharType="end"/>
      </w:r>
      <w:bookmarkEnd w:id="60"/>
      <w:r w:rsidR="00041130">
        <w:t xml:space="preserve">. </w:t>
      </w:r>
      <w:r>
        <w:t xml:space="preserve">Агенцията, която се </w:t>
      </w:r>
      <w:r w:rsidR="003D719E">
        <w:rPr>
          <w:lang w:val="bg-BG"/>
        </w:rPr>
        <w:t>конституира</w:t>
      </w:r>
      <w:r>
        <w:t xml:space="preserve"> в производството като заинтересована страна, оспор</w:t>
      </w:r>
      <w:r w:rsidR="00437A6E">
        <w:rPr>
          <w:lang w:val="bg-BG"/>
        </w:rPr>
        <w:t>ва</w:t>
      </w:r>
      <w:r>
        <w:t xml:space="preserve"> </w:t>
      </w:r>
      <w:r w:rsidR="003D719E">
        <w:rPr>
          <w:lang w:val="bg-BG"/>
        </w:rPr>
        <w:t>жалбата</w:t>
      </w:r>
      <w:r>
        <w:t>. Тя изтък</w:t>
      </w:r>
      <w:r w:rsidR="00437A6E">
        <w:rPr>
          <w:lang w:val="bg-BG"/>
        </w:rPr>
        <w:t>в</w:t>
      </w:r>
      <w:r>
        <w:t xml:space="preserve">а, първо, че </w:t>
      </w:r>
      <w:r w:rsidR="00173453">
        <w:rPr>
          <w:lang w:val="bg-BG"/>
        </w:rPr>
        <w:t>жалбата</w:t>
      </w:r>
      <w:r>
        <w:t xml:space="preserve"> е недопустим</w:t>
      </w:r>
      <w:r w:rsidR="00173453">
        <w:rPr>
          <w:lang w:val="bg-BG"/>
        </w:rPr>
        <w:t>а</w:t>
      </w:r>
      <w:r>
        <w:t>, тъй като (</w:t>
      </w:r>
      <w:r w:rsidR="009178E0">
        <w:fldChar w:fldCharType="begin"/>
      </w:r>
      <w:r w:rsidR="009178E0">
        <w:instrText xml:space="preserve"> SEQ level1 \*alphabetic \r1 \* ME</w:instrText>
      </w:r>
      <w:r w:rsidR="009178E0">
        <w:instrText xml:space="preserve">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="00173453">
        <w:t>) разпоредбите</w:t>
      </w:r>
      <w:r>
        <w:t xml:space="preserve"> не засягат въпрос, попадащ в обхвата</w:t>
      </w:r>
      <w:r w:rsidR="00173453">
        <w:t xml:space="preserve"> на целите на ищцовото сдружение</w:t>
      </w:r>
      <w:r>
        <w:t>, както са определени в не</w:t>
      </w:r>
      <w:r w:rsidR="00173453">
        <w:rPr>
          <w:lang w:val="bg-BG"/>
        </w:rPr>
        <w:t xml:space="preserve">говия </w:t>
      </w:r>
      <w:r>
        <w:t>устав,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="00173453">
        <w:t>) наредбите позволяват</w:t>
      </w:r>
      <w:r>
        <w:t xml:space="preserve"> – но не из</w:t>
      </w:r>
      <w:r w:rsidR="00437A6E">
        <w:t>искват</w:t>
      </w:r>
      <w:r>
        <w:t xml:space="preserve"> – внедряването на „</w:t>
      </w:r>
      <w:r w:rsidR="00636119">
        <w:t>служители</w:t>
      </w:r>
      <w:r>
        <w:t xml:space="preserve"> </w:t>
      </w:r>
      <w:r w:rsidR="00173453">
        <w:rPr>
          <w:lang w:val="bg-BG"/>
        </w:rPr>
        <w:t>на</w:t>
      </w:r>
      <w:r>
        <w:t xml:space="preserve"> прикритие“ във всички юридически лица,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>
        <w:t>) за разлика от „</w:t>
      </w:r>
      <w:r w:rsidR="00636119">
        <w:t>служители</w:t>
      </w:r>
      <w:r>
        <w:t>те под прикритие“ съгласно Закона от 1997 г.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RLF_SSMA_s_2 \h  \* MERGEFORMAT </w:instrText>
      </w:r>
      <w:r>
        <w:fldChar w:fldCharType="separate"/>
      </w:r>
      <w:r w:rsidR="00F21D3F">
        <w:t>74</w:t>
      </w:r>
      <w:r>
        <w:fldChar w:fldCharType="end"/>
      </w:r>
      <w:r>
        <w:t xml:space="preserve"> (</w:t>
      </w:r>
      <w:r>
        <w:fldChar w:fldCharType="begin"/>
      </w:r>
      <w:r>
        <w:instrText xml:space="preserve"> REF  RLF_SSMA_s_2_agents_under_cover \h  \* MERGEFORMAT </w:instrText>
      </w:r>
      <w:r>
        <w:fldChar w:fldCharType="separate"/>
      </w:r>
      <w:r w:rsidR="00F21D3F">
        <w:t>h</w:t>
      </w:r>
      <w:r>
        <w:fldChar w:fldCharType="end"/>
      </w:r>
      <w:r>
        <w:t>) 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RLF_SSMA_s_10c_1 \h  \* MERGEFORMAT </w:instrText>
      </w:r>
      <w:r>
        <w:fldChar w:fldCharType="separate"/>
      </w:r>
      <w:r w:rsidR="00F21D3F">
        <w:t>75</w:t>
      </w:r>
      <w:r>
        <w:fldChar w:fldCharType="end"/>
      </w:r>
      <w:r>
        <w:t xml:space="preserve"> по-долу), на „</w:t>
      </w:r>
      <w:r w:rsidR="00636119">
        <w:t>служители</w:t>
      </w:r>
      <w:r>
        <w:t xml:space="preserve">те </w:t>
      </w:r>
      <w:r w:rsidR="00B822B5">
        <w:rPr>
          <w:lang w:val="bg-BG"/>
        </w:rPr>
        <w:t>на</w:t>
      </w:r>
      <w:r>
        <w:t xml:space="preserve"> прикритие“ не </w:t>
      </w:r>
      <w:r w:rsidR="00B822B5">
        <w:rPr>
          <w:lang w:val="bg-BG"/>
        </w:rPr>
        <w:t>е</w:t>
      </w:r>
      <w:r>
        <w:t xml:space="preserve"> позволено да извършват визуално или аудио наблюдение. В противен случай </w:t>
      </w:r>
      <w:r w:rsidR="00B822B5">
        <w:rPr>
          <w:lang w:val="bg-BG"/>
        </w:rPr>
        <w:t>жалбата</w:t>
      </w:r>
      <w:r>
        <w:t xml:space="preserve"> е неоснователен</w:t>
      </w:r>
      <w:r w:rsidR="00B822B5">
        <w:rPr>
          <w:lang w:val="bg-BG"/>
        </w:rPr>
        <w:t>а</w:t>
      </w:r>
      <w:r>
        <w:t>, тъй като целта на изменените наредби е била обяснена по време на общественото обсъждане, предшестващо приемането на измененията. В иска се смесват понятията „</w:t>
      </w:r>
      <w:r w:rsidR="00636119">
        <w:t>служители</w:t>
      </w:r>
      <w:r>
        <w:t xml:space="preserve"> под прикритие“ и „</w:t>
      </w:r>
      <w:r w:rsidR="00636119">
        <w:t>служители</w:t>
      </w:r>
      <w:r>
        <w:t xml:space="preserve"> на п</w:t>
      </w:r>
      <w:r w:rsidR="00B822B5">
        <w:t>рикритие“. Правилата преследват законна цел и попадат</w:t>
      </w:r>
      <w:r>
        <w:t xml:space="preserve"> в рамките на законовата делегация, предоставена от </w:t>
      </w:r>
      <w:r w:rsidR="00E57488">
        <w:t>Закона от 2007 г. – който в чл.</w:t>
      </w:r>
      <w:r>
        <w:t xml:space="preserve"> 123, </w:t>
      </w:r>
      <w:r w:rsidR="00B822B5">
        <w:rPr>
          <w:lang w:val="bg-BG"/>
        </w:rPr>
        <w:t xml:space="preserve">ал. </w:t>
      </w:r>
      <w:r w:rsidR="00E2544D">
        <w:t>2, т.</w:t>
      </w:r>
      <w:r>
        <w:t xml:space="preserve"> 6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RLF_SANSA_s_123_2_6 \h  \* MERGEFORMAT </w:instrText>
      </w:r>
      <w:r>
        <w:fldChar w:fldCharType="separate"/>
      </w:r>
      <w:r w:rsidR="00F21D3F">
        <w:t>49</w:t>
      </w:r>
      <w:r>
        <w:fldChar w:fldCharType="end"/>
      </w:r>
      <w:r w:rsidR="001C7EA7">
        <w:t xml:space="preserve"> по-долу) дава</w:t>
      </w:r>
      <w:r>
        <w:t xml:space="preserve"> на Агенцията правомощието да прикрива своите служители и тяхната работа по начин, определен в правилата за</w:t>
      </w:r>
      <w:r w:rsidR="00E2544D">
        <w:t xml:space="preserve"> прилагане на Закона. Не възникв</w:t>
      </w:r>
      <w:r>
        <w:t>а проблем по член 8 от Конвенцията, тъй като работата на „</w:t>
      </w:r>
      <w:r w:rsidR="00636119">
        <w:t>служители</w:t>
      </w:r>
      <w:r>
        <w:t xml:space="preserve">те </w:t>
      </w:r>
      <w:r w:rsidR="001C7EA7">
        <w:rPr>
          <w:lang w:val="bg-BG"/>
        </w:rPr>
        <w:t xml:space="preserve">на </w:t>
      </w:r>
      <w:r>
        <w:t>при</w:t>
      </w:r>
      <w:r w:rsidR="00E2544D">
        <w:t>критие“ не е довежда</w:t>
      </w:r>
      <w:r w:rsidR="001C7EA7">
        <w:t xml:space="preserve"> до незаконна</w:t>
      </w:r>
      <w:r>
        <w:t xml:space="preserve"> н</w:t>
      </w:r>
      <w:r w:rsidR="001C7EA7">
        <w:rPr>
          <w:lang w:val="bg-BG"/>
        </w:rPr>
        <w:t xml:space="preserve">амеса </w:t>
      </w:r>
      <w:r>
        <w:t xml:space="preserve">в личния живот, дома или кореспонденцията. Работата им, във всеки случай, не е без </w:t>
      </w:r>
      <w:r w:rsidRPr="00C462F6">
        <w:t xml:space="preserve">външен надзор – тя </w:t>
      </w:r>
      <w:r w:rsidR="001C7EA7">
        <w:rPr>
          <w:lang w:val="bg-BG"/>
        </w:rPr>
        <w:t>може</w:t>
      </w:r>
      <w:r w:rsidRPr="00C462F6">
        <w:t xml:space="preserve"> да бъде контролирана от Парламента и правителството, </w:t>
      </w:r>
      <w:r>
        <w:t xml:space="preserve">въз </w:t>
      </w:r>
      <w:r w:rsidRPr="00C462F6">
        <w:t>основа на сигнали от граждани до самата Агенция, както и чрез възможността за обжалване на всяко решение на Агенцията.</w:t>
      </w:r>
    </w:p>
    <w:bookmarkStart w:id="61" w:name="F_jud_rev_FI_response_GOV"/>
    <w:p w14:paraId="69F971B1" w14:textId="78CBF155" w:rsidR="00304BC9" w:rsidRDefault="000F3485" w:rsidP="00304BC9">
      <w:pPr>
        <w:pStyle w:val="JuPara"/>
      </w:pPr>
      <w:r w:rsidRPr="00C462F6">
        <w:fldChar w:fldCharType="begin"/>
      </w:r>
      <w:r w:rsidRPr="00C462F6">
        <w:instrText xml:space="preserve"> SEQ level0 \*arabic \* MERGEFORMAT </w:instrText>
      </w:r>
      <w:r w:rsidRPr="00C462F6">
        <w:fldChar w:fldCharType="separate"/>
      </w:r>
      <w:r w:rsidR="00F21D3F">
        <w:rPr>
          <w:noProof/>
        </w:rPr>
        <w:t>33</w:t>
      </w:r>
      <w:r w:rsidRPr="00C462F6">
        <w:fldChar w:fldCharType="end"/>
      </w:r>
      <w:bookmarkStart w:id="62" w:name="_Hlk182835983"/>
      <w:bookmarkEnd w:id="61"/>
      <w:r w:rsidR="00041130">
        <w:t xml:space="preserve">. </w:t>
      </w:r>
      <w:r w:rsidRPr="00C462F6">
        <w:t xml:space="preserve">Правителството, което </w:t>
      </w:r>
      <w:r w:rsidR="00964B41">
        <w:rPr>
          <w:lang w:val="bg-BG"/>
        </w:rPr>
        <w:t>е</w:t>
      </w:r>
      <w:r w:rsidRPr="00C462F6">
        <w:t xml:space="preserve"> ответник по </w:t>
      </w:r>
      <w:r w:rsidR="00964B41">
        <w:rPr>
          <w:lang w:val="bg-BG"/>
        </w:rPr>
        <w:t>жалбата</w:t>
      </w:r>
      <w:r w:rsidRPr="00C462F6">
        <w:t xml:space="preserve">, също така </w:t>
      </w:r>
      <w:r w:rsidR="00964B41">
        <w:rPr>
          <w:lang w:val="bg-BG"/>
        </w:rPr>
        <w:t>твърди</w:t>
      </w:r>
      <w:r>
        <w:t xml:space="preserve">, че </w:t>
      </w:r>
      <w:r w:rsidR="00964B41">
        <w:rPr>
          <w:lang w:val="bg-BG"/>
        </w:rPr>
        <w:t>тя</w:t>
      </w:r>
      <w:r>
        <w:t xml:space="preserve"> е недопустим</w:t>
      </w:r>
      <w:r w:rsidR="00A4699B">
        <w:rPr>
          <w:lang w:val="bg-BG"/>
        </w:rPr>
        <w:t>а</w:t>
      </w:r>
      <w:r>
        <w:t xml:space="preserve"> – </w:t>
      </w:r>
      <w:r w:rsidR="00A4699B">
        <w:rPr>
          <w:lang w:val="bg-BG"/>
        </w:rPr>
        <w:t>и, алтернативно, че е</w:t>
      </w:r>
      <w:r w:rsidR="00A4699B">
        <w:t xml:space="preserve"> неоснователна</w:t>
      </w:r>
      <w:r>
        <w:t xml:space="preserve"> – въз основа на аргументи </w:t>
      </w:r>
      <w:r w:rsidR="00A4699B">
        <w:rPr>
          <w:lang w:val="bg-BG"/>
        </w:rPr>
        <w:t xml:space="preserve">в </w:t>
      </w:r>
      <w:r>
        <w:t>същия смисъл като тези, изтъкнати от Агенцията.</w:t>
      </w:r>
      <w:bookmarkEnd w:id="62"/>
    </w:p>
    <w:bookmarkStart w:id="63" w:name="F_jud_rev_FI_dec_SAC_10_09_2019"/>
    <w:p w14:paraId="218B7E27" w14:textId="20FB2D68" w:rsidR="00304BC9" w:rsidRPr="002F2B60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34</w:t>
      </w:r>
      <w:r>
        <w:fldChar w:fldCharType="end"/>
      </w:r>
      <w:bookmarkEnd w:id="63"/>
      <w:r w:rsidR="00041130">
        <w:t xml:space="preserve">. </w:t>
      </w:r>
      <w:r>
        <w:t xml:space="preserve">През </w:t>
      </w:r>
      <w:r w:rsidR="00EB2E9C">
        <w:rPr>
          <w:lang w:val="bg-BG"/>
        </w:rPr>
        <w:t xml:space="preserve">м. </w:t>
      </w:r>
      <w:r>
        <w:t xml:space="preserve">септември 2019 г. тричленният състав на </w:t>
      </w:r>
      <w:r w:rsidRPr="00C462F6">
        <w:t xml:space="preserve">Върховния административен съд, на който </w:t>
      </w:r>
      <w:r w:rsidR="00EB2E9C">
        <w:rPr>
          <w:lang w:val="bg-BG"/>
        </w:rPr>
        <w:t>е</w:t>
      </w:r>
      <w:r w:rsidRPr="00C462F6">
        <w:t xml:space="preserve"> разпределено делото, постанов</w:t>
      </w:r>
      <w:r w:rsidR="00810CD7">
        <w:rPr>
          <w:lang w:val="bg-BG"/>
        </w:rPr>
        <w:t>ява</w:t>
      </w:r>
      <w:r w:rsidRPr="00C462F6">
        <w:t xml:space="preserve">, че предвид заявените цели (както са посочени в устава ѝ), </w:t>
      </w:r>
      <w:r w:rsidR="00810CD7">
        <w:rPr>
          <w:lang w:val="bg-BG"/>
        </w:rPr>
        <w:t>сдружението</w:t>
      </w:r>
      <w:r w:rsidRPr="00C462F6">
        <w:t xml:space="preserve"> </w:t>
      </w:r>
      <w:r>
        <w:t xml:space="preserve">няма право да обжалва </w:t>
      </w:r>
      <w:r w:rsidR="00EB2E9C">
        <w:rPr>
          <w:lang w:val="bg-BG"/>
        </w:rPr>
        <w:t>правилника</w:t>
      </w:r>
      <w:r>
        <w:t>. Неправителствените организации могат да обжалват нормативни актове само ако тези актове засягат пряко и авт</w:t>
      </w:r>
      <w:r w:rsidR="00690B14">
        <w:t>оматично техните цели. Това не е</w:t>
      </w:r>
      <w:r>
        <w:t xml:space="preserve"> случаят с разглежданите </w:t>
      </w:r>
      <w:r w:rsidR="00690B14">
        <w:rPr>
          <w:lang w:val="bg-BG"/>
        </w:rPr>
        <w:t>разпоредби</w:t>
      </w:r>
      <w:r w:rsidR="00690B14">
        <w:t>, които позволяват</w:t>
      </w:r>
      <w:r>
        <w:t xml:space="preserve"> (но не вод</w:t>
      </w:r>
      <w:r w:rsidR="00690B14">
        <w:rPr>
          <w:lang w:val="bg-BG"/>
        </w:rPr>
        <w:t>ят</w:t>
      </w:r>
      <w:r>
        <w:t xml:space="preserve"> автоматично до) разполагането на „</w:t>
      </w:r>
      <w:r w:rsidR="00636119">
        <w:t>служители</w:t>
      </w:r>
      <w:r>
        <w:t xml:space="preserve"> </w:t>
      </w:r>
      <w:r w:rsidR="00690B14">
        <w:rPr>
          <w:lang w:val="bg-BG"/>
        </w:rPr>
        <w:t>на</w:t>
      </w:r>
      <w:r>
        <w:t xml:space="preserve"> прикритие“ в неправителствени организации (вж. </w:t>
      </w:r>
      <w:r w:rsidRPr="00D75E6F">
        <w:rPr>
          <w:i/>
          <w:iCs/>
          <w:lang w:val="bg-BG"/>
        </w:rPr>
        <w:t xml:space="preserve">реш. № 12167 от 10.09.2019 г. по адм. д. № 13588/2018 г., ВАС, </w:t>
      </w:r>
      <w:r w:rsidRPr="00D75E6F">
        <w:rPr>
          <w:i/>
          <w:iCs/>
        </w:rPr>
        <w:t>II</w:t>
      </w:r>
      <w:r w:rsidRPr="002F2B60">
        <w:rPr>
          <w:i/>
          <w:iCs/>
          <w:lang w:val="bg-BG"/>
        </w:rPr>
        <w:t xml:space="preserve"> </w:t>
      </w:r>
      <w:r w:rsidRPr="00D75E6F">
        <w:rPr>
          <w:i/>
          <w:iCs/>
          <w:lang w:val="bg-BG"/>
        </w:rPr>
        <w:t>о.</w:t>
      </w:r>
      <w:r w:rsidRPr="002F2B60">
        <w:rPr>
          <w:lang w:val="bg-BG"/>
        </w:rPr>
        <w:t>).</w:t>
      </w:r>
    </w:p>
    <w:bookmarkStart w:id="64" w:name="F_jud_rev_FI_dec_SAC_10_09_2019_appeal"/>
    <w:p w14:paraId="7F735264" w14:textId="21AF45A9" w:rsidR="00304BC9" w:rsidRPr="00E32E68" w:rsidRDefault="000F3485" w:rsidP="00304BC9">
      <w:pPr>
        <w:pStyle w:val="JuPara"/>
        <w:rPr>
          <w:lang w:val="ru-RU"/>
        </w:rPr>
      </w:pPr>
      <w:r>
        <w:lastRenderedPageBreak/>
        <w:fldChar w:fldCharType="begin"/>
      </w:r>
      <w:r w:rsidRPr="002F2B60">
        <w:rPr>
          <w:lang w:val="bg-BG"/>
        </w:rPr>
        <w:instrText xml:space="preserve"> </w:instrText>
      </w:r>
      <w:r>
        <w:instrText>SEQ</w:instrText>
      </w:r>
      <w:r w:rsidRPr="002F2B60">
        <w:rPr>
          <w:lang w:val="bg-BG"/>
        </w:rPr>
        <w:instrText xml:space="preserve"> </w:instrText>
      </w:r>
      <w:r>
        <w:instrText>level</w:instrText>
      </w:r>
      <w:r w:rsidRPr="002F2B60">
        <w:rPr>
          <w:lang w:val="bg-BG"/>
        </w:rPr>
        <w:instrText>0 \*</w:instrText>
      </w:r>
      <w:r>
        <w:instrText>arabic</w:instrText>
      </w:r>
      <w:r w:rsidRPr="002F2B60">
        <w:rPr>
          <w:lang w:val="bg-BG"/>
        </w:rPr>
        <w:instrText xml:space="preserve">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 w:rsidRPr="002F2B60">
        <w:rPr>
          <w:noProof/>
          <w:lang w:val="bg-BG"/>
        </w:rPr>
        <w:t>35</w:t>
      </w:r>
      <w:r>
        <w:fldChar w:fldCharType="end"/>
      </w:r>
      <w:bookmarkEnd w:id="64"/>
      <w:r w:rsidR="00041130" w:rsidRPr="002F2B60">
        <w:rPr>
          <w:lang w:val="bg-BG"/>
        </w:rPr>
        <w:t xml:space="preserve">. </w:t>
      </w:r>
      <w:r w:rsidRPr="002F2B60">
        <w:rPr>
          <w:lang w:val="bg-BG"/>
        </w:rPr>
        <w:t xml:space="preserve">Вследствие на жалба от </w:t>
      </w:r>
      <w:r w:rsidR="00483D57">
        <w:rPr>
          <w:lang w:val="bg-BG"/>
        </w:rPr>
        <w:t>сдружението</w:t>
      </w:r>
      <w:r w:rsidRPr="002F2B60">
        <w:rPr>
          <w:lang w:val="bg-BG"/>
        </w:rPr>
        <w:t xml:space="preserve"> през </w:t>
      </w:r>
      <w:r w:rsidR="00483D57">
        <w:rPr>
          <w:lang w:val="bg-BG"/>
        </w:rPr>
        <w:t xml:space="preserve">м. </w:t>
      </w:r>
      <w:r w:rsidRPr="002F2B60">
        <w:rPr>
          <w:lang w:val="bg-BG"/>
        </w:rPr>
        <w:t>декември 2019 г. петчленен състав на Върх</w:t>
      </w:r>
      <w:r w:rsidR="00483D57">
        <w:rPr>
          <w:lang w:val="bg-BG"/>
        </w:rPr>
        <w:t>овния административен съд отменя</w:t>
      </w:r>
      <w:r w:rsidRPr="002F2B60">
        <w:rPr>
          <w:lang w:val="bg-BG"/>
        </w:rPr>
        <w:t xml:space="preserve"> това решение и в</w:t>
      </w:r>
      <w:r w:rsidR="00483D57">
        <w:rPr>
          <w:lang w:val="bg-BG"/>
        </w:rPr>
        <w:t>ръщ</w:t>
      </w:r>
      <w:r w:rsidRPr="002F2B60">
        <w:rPr>
          <w:lang w:val="bg-BG"/>
        </w:rPr>
        <w:t>а делото на тричленния състав за разгле</w:t>
      </w:r>
      <w:r w:rsidR="00483D57">
        <w:rPr>
          <w:lang w:val="bg-BG"/>
        </w:rPr>
        <w:t>ждане по същество. Той постановява</w:t>
      </w:r>
      <w:r w:rsidRPr="002F2B60">
        <w:rPr>
          <w:lang w:val="bg-BG"/>
        </w:rPr>
        <w:t>, че доколкото позволяват използването на „</w:t>
      </w:r>
      <w:r w:rsidR="00636119" w:rsidRPr="002F2B60">
        <w:rPr>
          <w:lang w:val="bg-BG"/>
        </w:rPr>
        <w:t>служители</w:t>
      </w:r>
      <w:r w:rsidRPr="002F2B60">
        <w:rPr>
          <w:lang w:val="bg-BG"/>
        </w:rPr>
        <w:t xml:space="preserve"> </w:t>
      </w:r>
      <w:r w:rsidR="00483D57">
        <w:rPr>
          <w:lang w:val="bg-BG"/>
        </w:rPr>
        <w:t>на</w:t>
      </w:r>
      <w:r w:rsidRPr="002F2B60">
        <w:rPr>
          <w:lang w:val="bg-BG"/>
        </w:rPr>
        <w:t xml:space="preserve"> прикритие“ в неправителствени организации, </w:t>
      </w:r>
      <w:r w:rsidR="002057B4">
        <w:rPr>
          <w:lang w:val="bg-BG"/>
        </w:rPr>
        <w:t xml:space="preserve">разпоредбите </w:t>
      </w:r>
      <w:r w:rsidRPr="002F2B60">
        <w:rPr>
          <w:lang w:val="bg-BG"/>
        </w:rPr>
        <w:t xml:space="preserve">засягат пряко правната сфера на </w:t>
      </w:r>
      <w:r w:rsidR="002057B4">
        <w:rPr>
          <w:lang w:val="bg-BG"/>
        </w:rPr>
        <w:t>сдружението</w:t>
      </w:r>
      <w:r w:rsidRPr="002F2B60">
        <w:rPr>
          <w:lang w:val="bg-BG"/>
        </w:rPr>
        <w:t xml:space="preserve">. Конкретните цели на </w:t>
      </w:r>
      <w:r w:rsidR="002057B4">
        <w:rPr>
          <w:lang w:val="bg-BG"/>
        </w:rPr>
        <w:t>сдружението</w:t>
      </w:r>
      <w:r w:rsidRPr="002F2B60">
        <w:rPr>
          <w:lang w:val="bg-BG"/>
        </w:rPr>
        <w:t xml:space="preserve"> са без значение в това отношение (вж</w:t>
      </w:r>
      <w:r w:rsidRPr="00CF33FF">
        <w:rPr>
          <w:i/>
          <w:iCs/>
          <w:lang w:val="bg-BG"/>
        </w:rPr>
        <w:t>. реш. № 16975 от 11.12.2019 г. по адм. д. № 12578/2019 г., ВАС, петчленна състав</w:t>
      </w:r>
      <w:r w:rsidRPr="00E32E68">
        <w:rPr>
          <w:lang w:val="ru-RU"/>
        </w:rPr>
        <w:t>).</w:t>
      </w:r>
    </w:p>
    <w:p w14:paraId="062CB753" w14:textId="77777777" w:rsidR="00304BC9" w:rsidRDefault="000F3485" w:rsidP="00304BC9">
      <w:pPr>
        <w:pStyle w:val="JuH1"/>
      </w:pPr>
      <w:bookmarkStart w:id="65" w:name="_Toc175214970"/>
      <w:bookmarkStart w:id="66" w:name="_Toc232688253"/>
      <w:r>
        <w:t>Решение на Върховния административен съд</w:t>
      </w:r>
      <w:bookmarkEnd w:id="65"/>
      <w:bookmarkEnd w:id="66"/>
    </w:p>
    <w:bookmarkStart w:id="67" w:name="F_jud_rev_FI_hearing_SAC_09_06_2020"/>
    <w:p w14:paraId="7C819B54" w14:textId="294207A7" w:rsidR="00304BC9" w:rsidRPr="00E46BDA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36</w:t>
      </w:r>
      <w:r>
        <w:fldChar w:fldCharType="end"/>
      </w:r>
      <w:bookmarkEnd w:id="67"/>
      <w:r w:rsidR="00041130">
        <w:t xml:space="preserve">. </w:t>
      </w:r>
      <w:r>
        <w:t>След това тричленният състав разгле</w:t>
      </w:r>
      <w:r w:rsidR="00DF75CF">
        <w:rPr>
          <w:lang w:val="bg-BG"/>
        </w:rPr>
        <w:t>ж</w:t>
      </w:r>
      <w:r>
        <w:t xml:space="preserve">да искането по същество. </w:t>
      </w:r>
      <w:r w:rsidR="00DF75CF">
        <w:rPr>
          <w:lang w:val="bg-BG"/>
        </w:rPr>
        <w:t>Жалоподателят</w:t>
      </w:r>
      <w:r>
        <w:t>, Агенцията и правителството се позова</w:t>
      </w:r>
      <w:r w:rsidR="00DF75CF">
        <w:rPr>
          <w:lang w:val="bg-BG"/>
        </w:rPr>
        <w:t>в</w:t>
      </w:r>
      <w:r>
        <w:t>а</w:t>
      </w:r>
      <w:r w:rsidR="00DF75CF">
        <w:rPr>
          <w:lang w:val="bg-BG"/>
        </w:rPr>
        <w:t>т</w:t>
      </w:r>
      <w:r>
        <w:t xml:space="preserve"> на по-ранните си изявления относно </w:t>
      </w:r>
      <w:r w:rsidRPr="00C07377">
        <w:t xml:space="preserve">съществото на делото </w:t>
      </w:r>
      <w:r>
        <w:t>(вж. параграфи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F_jud_rev_FI_claim \h  \* MERGEFORMAT </w:instrText>
      </w:r>
      <w:r>
        <w:fldChar w:fldCharType="separate"/>
      </w:r>
      <w:r w:rsidR="00F21D3F">
        <w:t>31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F_jud_rev_FI_response_GOV \h  \* MERGEFORMAT </w:instrText>
      </w:r>
      <w:r>
        <w:fldChar w:fldCharType="separate"/>
      </w:r>
      <w:r w:rsidR="00F21D3F">
        <w:t>33</w:t>
      </w:r>
      <w:r>
        <w:fldChar w:fldCharType="end"/>
      </w:r>
      <w:r>
        <w:t xml:space="preserve"> по-горе).</w:t>
      </w:r>
    </w:p>
    <w:bookmarkStart w:id="68" w:name="F_jud_rev_FI_jud_SAC_21_12_2020"/>
    <w:p w14:paraId="1330DDDB" w14:textId="2256C84D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37</w:t>
      </w:r>
      <w:r>
        <w:fldChar w:fldCharType="end"/>
      </w:r>
      <w:bookmarkEnd w:id="68"/>
      <w:r w:rsidR="00041130">
        <w:t xml:space="preserve">. </w:t>
      </w:r>
      <w:r>
        <w:t>През</w:t>
      </w:r>
      <w:r w:rsidR="00DF75CF">
        <w:rPr>
          <w:lang w:val="bg-BG"/>
        </w:rPr>
        <w:t xml:space="preserve"> м.</w:t>
      </w:r>
      <w:r>
        <w:t xml:space="preserve"> декември 202</w:t>
      </w:r>
      <w:r w:rsidR="001A52BE">
        <w:t>0 г. тричленният състав отхвърля</w:t>
      </w:r>
      <w:r>
        <w:t xml:space="preserve"> иска. Той отбеляз</w:t>
      </w:r>
      <w:r w:rsidR="006261FA">
        <w:rPr>
          <w:lang w:val="bg-BG"/>
        </w:rPr>
        <w:t>в</w:t>
      </w:r>
      <w:r>
        <w:t xml:space="preserve">а, че Законът от 2007 г. </w:t>
      </w:r>
      <w:r w:rsidR="001A52BE">
        <w:rPr>
          <w:lang w:val="bg-BG"/>
        </w:rPr>
        <w:t>оправомощава</w:t>
      </w:r>
      <w:r>
        <w:t xml:space="preserve"> </w:t>
      </w:r>
      <w:r w:rsidRPr="00C462F6">
        <w:t>правителството да изда</w:t>
      </w:r>
      <w:r w:rsidR="001A52BE">
        <w:rPr>
          <w:lang w:val="bg-BG"/>
        </w:rPr>
        <w:t>де</w:t>
      </w:r>
      <w:r w:rsidRPr="00C462F6">
        <w:t xml:space="preserve"> </w:t>
      </w:r>
      <w:r w:rsidR="001A52BE">
        <w:rPr>
          <w:lang w:val="bg-BG"/>
        </w:rPr>
        <w:t>правилник</w:t>
      </w:r>
      <w:r w:rsidRPr="00C462F6">
        <w:t xml:space="preserve"> във връзка с неговото прилагане, което според състава означава, че е налице надлежно законово делегиране за </w:t>
      </w:r>
      <w:r w:rsidR="001A52BE">
        <w:rPr>
          <w:lang w:val="bg-BG"/>
        </w:rPr>
        <w:t>оспор</w:t>
      </w:r>
      <w:r>
        <w:t>е</w:t>
      </w:r>
      <w:r w:rsidR="001A52BE">
        <w:rPr>
          <w:lang w:val="bg-BG"/>
        </w:rPr>
        <w:t>ния</w:t>
      </w:r>
      <w:r>
        <w:t xml:space="preserve"> </w:t>
      </w:r>
      <w:r w:rsidR="001A52BE">
        <w:rPr>
          <w:lang w:val="bg-BG"/>
        </w:rPr>
        <w:t>правилник</w:t>
      </w:r>
      <w:r>
        <w:t xml:space="preserve">. Процедурата за издаване на </w:t>
      </w:r>
      <w:r w:rsidR="001A52BE">
        <w:rPr>
          <w:lang w:val="bg-BG"/>
        </w:rPr>
        <w:t>правилника</w:t>
      </w:r>
      <w:r>
        <w:t xml:space="preserve"> е била спазена и т</w:t>
      </w:r>
      <w:r w:rsidR="001A52BE">
        <w:rPr>
          <w:lang w:val="bg-BG"/>
        </w:rPr>
        <w:t xml:space="preserve">ой </w:t>
      </w:r>
      <w:r w:rsidR="001A52BE">
        <w:t>не противоречи</w:t>
      </w:r>
      <w:r>
        <w:t xml:space="preserve"> на по-висшестоящи норми. По-специално, </w:t>
      </w:r>
      <w:r w:rsidR="00235E0A">
        <w:rPr>
          <w:lang w:val="bg-BG"/>
        </w:rPr>
        <w:t>членове</w:t>
      </w:r>
      <w:r>
        <w:t xml:space="preserve"> 49</w:t>
      </w:r>
      <w:r w:rsidR="00EA6C41">
        <w:rPr>
          <w:lang w:val="bg-BG"/>
        </w:rPr>
        <w:t>-</w:t>
      </w:r>
      <w:r w:rsidR="00EA6C41">
        <w:t>62 напълно съответства</w:t>
      </w:r>
      <w:r w:rsidR="00EA6C41">
        <w:rPr>
          <w:lang w:val="bg-BG"/>
        </w:rPr>
        <w:t>т</w:t>
      </w:r>
      <w:r w:rsidR="00EA6C41">
        <w:t xml:space="preserve"> на чл</w:t>
      </w:r>
      <w:r w:rsidR="00EA6C41">
        <w:rPr>
          <w:lang w:val="bg-BG"/>
        </w:rPr>
        <w:t>.</w:t>
      </w:r>
      <w:r>
        <w:t xml:space="preserve"> 123, </w:t>
      </w:r>
      <w:r w:rsidR="00EA6C41">
        <w:rPr>
          <w:lang w:val="bg-BG"/>
        </w:rPr>
        <w:t>ал.</w:t>
      </w:r>
      <w:r w:rsidR="00235E0A">
        <w:t xml:space="preserve"> 2, т</w:t>
      </w:r>
      <w:r w:rsidR="00235E0A">
        <w:rPr>
          <w:lang w:val="bg-BG"/>
        </w:rPr>
        <w:t>.</w:t>
      </w:r>
      <w:r>
        <w:t xml:space="preserve"> 6 от Закона от 2007 г., който </w:t>
      </w:r>
      <w:r w:rsidR="00265BCA">
        <w:rPr>
          <w:lang w:val="bg-BG"/>
        </w:rPr>
        <w:t>оправомощава</w:t>
      </w:r>
      <w:r>
        <w:t xml:space="preserve"> Агенцията да поставя своите служители </w:t>
      </w:r>
      <w:r w:rsidR="00EA6C41">
        <w:rPr>
          <w:lang w:val="bg-BG"/>
        </w:rPr>
        <w:t xml:space="preserve">на </w:t>
      </w:r>
      <w:r>
        <w:t xml:space="preserve">прикритие и да организира тяхната тайна работа по начин, определен в </w:t>
      </w:r>
      <w:r w:rsidR="00EA6C41">
        <w:rPr>
          <w:lang w:val="bg-BG"/>
        </w:rPr>
        <w:t>правилника</w:t>
      </w:r>
      <w:r w:rsidR="00EA6C41">
        <w:t xml:space="preserve"> (а именно членове</w:t>
      </w:r>
      <w:r>
        <w:t xml:space="preserve"> 49</w:t>
      </w:r>
      <w:r w:rsidR="00EA6C41">
        <w:rPr>
          <w:lang w:val="bg-BG"/>
        </w:rPr>
        <w:t>-</w:t>
      </w:r>
      <w:r>
        <w:t>62) относно прилагането на Закона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RLF_SANSA_s_123_2_6 \h  \* MERGEFORMAT </w:instrText>
      </w:r>
      <w:r>
        <w:fldChar w:fldCharType="separate"/>
      </w:r>
      <w:r w:rsidR="00F21D3F">
        <w:t>49</w:t>
      </w:r>
      <w:r>
        <w:fldChar w:fldCharType="end"/>
      </w:r>
      <w:r>
        <w:t xml:space="preserve"> по-долу). </w:t>
      </w:r>
      <w:r w:rsidR="00EA6C41">
        <w:rPr>
          <w:lang w:val="bg-BG"/>
        </w:rPr>
        <w:t>Чл.</w:t>
      </w:r>
      <w:r w:rsidR="00E539D3">
        <w:rPr>
          <w:lang w:val="bg-BG"/>
        </w:rPr>
        <w:t xml:space="preserve"> </w:t>
      </w:r>
      <w:r>
        <w:t>110</w:t>
      </w:r>
      <w:r w:rsidR="00EA6C41">
        <w:rPr>
          <w:lang w:val="bg-BG"/>
        </w:rPr>
        <w:t>,</w:t>
      </w:r>
      <w:r w:rsidR="00265BCA">
        <w:rPr>
          <w:lang w:val="bg-BG"/>
        </w:rPr>
        <w:t xml:space="preserve"> ал. 1, т. </w:t>
      </w:r>
      <w:r w:rsidR="00EA6C41">
        <w:rPr>
          <w:lang w:val="bg-BG"/>
        </w:rPr>
        <w:t xml:space="preserve">7, б. </w:t>
      </w:r>
      <w:r w:rsidR="00265BCA">
        <w:rPr>
          <w:lang w:val="bg-BG"/>
        </w:rPr>
        <w:t>„</w:t>
      </w:r>
      <w:r w:rsidR="00EA6C41">
        <w:rPr>
          <w:lang w:val="bg-BG"/>
        </w:rPr>
        <w:t>е</w:t>
      </w:r>
      <w:r w:rsidR="00265BCA">
        <w:rPr>
          <w:lang w:val="bg-BG"/>
        </w:rPr>
        <w:t>“</w:t>
      </w:r>
      <w:r w:rsidR="00E539D3">
        <w:rPr>
          <w:lang w:val="bg-BG"/>
        </w:rPr>
        <w:t xml:space="preserve"> </w:t>
      </w:r>
      <w:r>
        <w:t>също се позовава на „</w:t>
      </w:r>
      <w:r w:rsidR="00636119">
        <w:t>служители</w:t>
      </w:r>
      <w:r>
        <w:t xml:space="preserve"> </w:t>
      </w:r>
      <w:r w:rsidR="00E539D3">
        <w:rPr>
          <w:lang w:val="bg-BG"/>
        </w:rPr>
        <w:t>на</w:t>
      </w:r>
      <w:r w:rsidR="00265BCA">
        <w:rPr>
          <w:lang w:val="bg-BG"/>
        </w:rPr>
        <w:t xml:space="preserve"> </w:t>
      </w:r>
      <w:r>
        <w:t>прикритие“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RLF_SANSA_agents_in_cover \h  \* MERGEFORMAT </w:instrText>
      </w:r>
      <w:r>
        <w:fldChar w:fldCharType="separate"/>
      </w:r>
      <w:r w:rsidR="00F21D3F">
        <w:t>48</w:t>
      </w:r>
      <w:r>
        <w:fldChar w:fldCharType="end"/>
      </w:r>
      <w:r>
        <w:t xml:space="preserve"> (</w:t>
      </w:r>
      <w:r>
        <w:fldChar w:fldCharType="begin"/>
      </w:r>
      <w:r>
        <w:instrText xml:space="preserve"> REF  RLF_SANSA_agents_in_cover_s_110_1_7_e \h  \* MERGEFORMAT </w:instrText>
      </w:r>
      <w:r>
        <w:fldChar w:fldCharType="separate"/>
      </w:r>
      <w:r w:rsidR="00F21D3F">
        <w:t>b</w:t>
      </w:r>
      <w:r>
        <w:fldChar w:fldCharType="end"/>
      </w:r>
      <w:r>
        <w:t xml:space="preserve">) по-долу). Никоя от тези разпоредби не е в противоречие с </w:t>
      </w:r>
      <w:r w:rsidR="00E539D3">
        <w:rPr>
          <w:lang w:val="bg-BG"/>
        </w:rPr>
        <w:t>останалите</w:t>
      </w:r>
      <w:r>
        <w:t xml:space="preserve"> (вж. </w:t>
      </w:r>
      <w:r w:rsidRPr="003F16E9">
        <w:rPr>
          <w:i/>
          <w:iCs/>
          <w:lang w:val="bg-BG"/>
        </w:rPr>
        <w:t xml:space="preserve">реш. № 15819 от 21.12.2020 г. по адм. д. № 13588/2018 г., ВАС, </w:t>
      </w:r>
      <w:r w:rsidRPr="003F16E9">
        <w:rPr>
          <w:i/>
          <w:iCs/>
        </w:rPr>
        <w:t xml:space="preserve">II </w:t>
      </w:r>
      <w:r w:rsidRPr="003F16E9">
        <w:rPr>
          <w:i/>
          <w:iCs/>
          <w:lang w:val="bg-BG"/>
        </w:rPr>
        <w:t>о.</w:t>
      </w:r>
      <w:r>
        <w:t>).</w:t>
      </w:r>
    </w:p>
    <w:p w14:paraId="54BBC33E" w14:textId="23A8E0C3" w:rsidR="00304BC9" w:rsidRDefault="00C37365" w:rsidP="00304BC9">
      <w:pPr>
        <w:pStyle w:val="JuHA"/>
      </w:pPr>
      <w:bookmarkStart w:id="69" w:name="_Toc232688254"/>
      <w:r>
        <w:rPr>
          <w:lang w:val="bg-BG"/>
        </w:rPr>
        <w:t>При обжалване</w:t>
      </w:r>
      <w:bookmarkEnd w:id="69"/>
    </w:p>
    <w:p w14:paraId="423E1391" w14:textId="77777777" w:rsidR="00304BC9" w:rsidRPr="00EC73E4" w:rsidRDefault="000F3485" w:rsidP="00304BC9">
      <w:pPr>
        <w:pStyle w:val="JuH1"/>
      </w:pPr>
      <w:bookmarkStart w:id="70" w:name="_Toc175214972"/>
      <w:bookmarkStart w:id="71" w:name="_Toc232688255"/>
      <w:r>
        <w:t>Ход на производството</w:t>
      </w:r>
      <w:bookmarkEnd w:id="70"/>
      <w:bookmarkEnd w:id="71"/>
    </w:p>
    <w:bookmarkStart w:id="72" w:name="F_jud_rev_APP_appeal"/>
    <w:p w14:paraId="628166AF" w14:textId="548E1B78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38</w:t>
      </w:r>
      <w:r>
        <w:fldChar w:fldCharType="end"/>
      </w:r>
      <w:bookmarkEnd w:id="72"/>
      <w:r w:rsidR="00041130">
        <w:t xml:space="preserve">. </w:t>
      </w:r>
      <w:r w:rsidR="007E33A2">
        <w:rPr>
          <w:lang w:val="bg-BG"/>
        </w:rPr>
        <w:t>Сдръжението-</w:t>
      </w:r>
      <w:r w:rsidR="007E33A2">
        <w:t>ж</w:t>
      </w:r>
      <w:r>
        <w:t xml:space="preserve">албоподател обжалва решението по правни въпроси. </w:t>
      </w:r>
      <w:r w:rsidR="00B85C45">
        <w:rPr>
          <w:lang w:val="bg-BG"/>
        </w:rPr>
        <w:t>То</w:t>
      </w:r>
      <w:r>
        <w:t xml:space="preserve"> изтък</w:t>
      </w:r>
      <w:r w:rsidR="00AE7E7B">
        <w:rPr>
          <w:lang w:val="bg-BG"/>
        </w:rPr>
        <w:t>в</w:t>
      </w:r>
      <w:r>
        <w:t>а, че тричленният състав не е разгледал надлежно н</w:t>
      </w:r>
      <w:r w:rsidR="00B85C45">
        <w:t xml:space="preserve">ейния аргумент, че подзаконовият акт е приет без </w:t>
      </w:r>
      <w:r w:rsidR="00CE4AA0">
        <w:rPr>
          <w:lang w:val="bg-BG"/>
        </w:rPr>
        <w:t>съответна</w:t>
      </w:r>
      <w:r w:rsidR="00B85C45">
        <w:t xml:space="preserve"> законова делегация</w:t>
      </w:r>
      <w:r>
        <w:t>, тъй като самият Закон от 2007 г. не е дефинирал понятието „</w:t>
      </w:r>
      <w:r w:rsidR="00636119">
        <w:t>служители</w:t>
      </w:r>
      <w:r>
        <w:t xml:space="preserve"> </w:t>
      </w:r>
      <w:r w:rsidR="00B85C45">
        <w:rPr>
          <w:lang w:val="bg-BG"/>
        </w:rPr>
        <w:t>на</w:t>
      </w:r>
      <w:r>
        <w:t xml:space="preserve"> прикритие“, нито е определил тяхната роля. Освен това, съгласно член 8 от Конвенцията и съде</w:t>
      </w:r>
      <w:r w:rsidR="00B85C45">
        <w:t>бната практика на Съда, намеса от вида, произтичаща</w:t>
      </w:r>
      <w:r>
        <w:t xml:space="preserve"> от използването на „</w:t>
      </w:r>
      <w:r w:rsidR="00636119">
        <w:t>служители</w:t>
      </w:r>
      <w:r w:rsidR="00B85C45">
        <w:t xml:space="preserve"> на прикритие“, трябва да бъде съпътствана</w:t>
      </w:r>
      <w:r>
        <w:t xml:space="preserve"> от ефективни гаранции. Законът от 1997 г. е предвидил много такива гаранции </w:t>
      </w:r>
      <w:r w:rsidR="00B85C45">
        <w:rPr>
          <w:lang w:val="bg-BG"/>
        </w:rPr>
        <w:t>–</w:t>
      </w:r>
      <w:r>
        <w:t xml:space="preserve"> по-специално съдебен </w:t>
      </w:r>
      <w:r w:rsidR="00B85C45">
        <w:rPr>
          <w:lang w:val="bg-BG"/>
        </w:rPr>
        <w:t>контрол</w:t>
      </w:r>
      <w:r>
        <w:t xml:space="preserve"> – по отношение на „специалните </w:t>
      </w:r>
      <w:r w:rsidR="00B85C45">
        <w:rPr>
          <w:lang w:val="bg-BG"/>
        </w:rPr>
        <w:t xml:space="preserve">разузнавателни </w:t>
      </w:r>
      <w:r w:rsidR="00187B5D">
        <w:t>средства</w:t>
      </w:r>
      <w:r>
        <w:t xml:space="preserve">“. Тъй като </w:t>
      </w:r>
      <w:r>
        <w:lastRenderedPageBreak/>
        <w:t>„</w:t>
      </w:r>
      <w:r w:rsidR="00636119">
        <w:t>служители</w:t>
      </w:r>
      <w:r w:rsidR="00B85C45">
        <w:t>те на</w:t>
      </w:r>
      <w:r>
        <w:t xml:space="preserve"> прикритие“ също могат да се намесват в „личния живот“ и „кореспонденцията“ – по-специално на хората, работещи в организациите, в които тези </w:t>
      </w:r>
      <w:r w:rsidR="00636119">
        <w:t>служители</w:t>
      </w:r>
      <w:r>
        <w:t xml:space="preserve"> биха били внедрени – такива гаранции са необходими и по отношение на тях; те не са несъвместими с тайния характер на работата </w:t>
      </w:r>
      <w:r w:rsidR="00A060A3">
        <w:t>на</w:t>
      </w:r>
      <w:r>
        <w:t xml:space="preserve"> тези </w:t>
      </w:r>
      <w:r w:rsidR="00636119">
        <w:t>служители</w:t>
      </w:r>
      <w:r>
        <w:t>. Няма основателна причина да се прави разграничение в това отношение между „</w:t>
      </w:r>
      <w:r w:rsidR="00636119">
        <w:t>служители</w:t>
      </w:r>
      <w:r>
        <w:t xml:space="preserve"> под прикритие“ по Закона от 1997 г. и „</w:t>
      </w:r>
      <w:r w:rsidR="00636119">
        <w:t>служители</w:t>
      </w:r>
      <w:r>
        <w:t xml:space="preserve"> </w:t>
      </w:r>
      <w:r w:rsidR="009B1D46">
        <w:rPr>
          <w:lang w:val="bg-BG"/>
        </w:rPr>
        <w:t>на</w:t>
      </w:r>
      <w:r>
        <w:t xml:space="preserve"> прикритие“ по </w:t>
      </w:r>
      <w:r w:rsidR="009B1D46">
        <w:rPr>
          <w:lang w:val="bg-BG"/>
        </w:rPr>
        <w:t>Правилника</w:t>
      </w:r>
      <w:r>
        <w:t>.</w:t>
      </w:r>
    </w:p>
    <w:bookmarkStart w:id="73" w:name="F_jud_rev_APP_responses_SANS_GOV"/>
    <w:p w14:paraId="194D2C95" w14:textId="01098ABD" w:rsidR="00304BC9" w:rsidRPr="009B1D46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39</w:t>
      </w:r>
      <w:r>
        <w:fldChar w:fldCharType="end"/>
      </w:r>
      <w:bookmarkEnd w:id="73"/>
      <w:r w:rsidR="00041130">
        <w:rPr>
          <w:lang w:val="bg-BG"/>
        </w:rPr>
        <w:t xml:space="preserve">. </w:t>
      </w:r>
      <w:r w:rsidRPr="009B1D46">
        <w:rPr>
          <w:lang w:val="bg-BG"/>
        </w:rPr>
        <w:t>Аг</w:t>
      </w:r>
      <w:r w:rsidR="009B1D46" w:rsidRPr="009B1D46">
        <w:rPr>
          <w:lang w:val="bg-BG"/>
        </w:rPr>
        <w:t>енцията и правителството оспорват</w:t>
      </w:r>
      <w:r w:rsidRPr="009B1D46">
        <w:rPr>
          <w:lang w:val="bg-BG"/>
        </w:rPr>
        <w:t xml:space="preserve"> жалбата, позовавайки се на същите аргументи, които </w:t>
      </w:r>
      <w:r w:rsidR="009B1D46">
        <w:rPr>
          <w:lang w:val="bg-BG"/>
        </w:rPr>
        <w:t>са</w:t>
      </w:r>
      <w:r w:rsidRPr="009B1D46">
        <w:rPr>
          <w:lang w:val="bg-BG"/>
        </w:rPr>
        <w:t xml:space="preserve"> изтъкнали пред тричленния състав (вж. параграфи</w:t>
      </w:r>
      <w:r w:rsidR="00041130">
        <w:rPr>
          <w:lang w:val="bg-BG"/>
        </w:rPr>
        <w:t xml:space="preserve"> </w:t>
      </w:r>
      <w:r>
        <w:fldChar w:fldCharType="begin"/>
      </w:r>
      <w:r w:rsidRPr="009B1D46">
        <w:rPr>
          <w:lang w:val="bg-BG"/>
        </w:rPr>
        <w:instrText xml:space="preserve"> </w:instrText>
      </w:r>
      <w:r>
        <w:instrText>REF</w:instrText>
      </w:r>
      <w:r w:rsidRPr="009B1D46">
        <w:rPr>
          <w:lang w:val="bg-BG"/>
        </w:rPr>
        <w:instrText xml:space="preserve">  </w:instrText>
      </w:r>
      <w:r>
        <w:instrText>F</w:instrText>
      </w:r>
      <w:r w:rsidRPr="009B1D46">
        <w:rPr>
          <w:lang w:val="bg-BG"/>
        </w:rPr>
        <w:instrText>_</w:instrText>
      </w:r>
      <w:r>
        <w:instrText>jud</w:instrText>
      </w:r>
      <w:r w:rsidRPr="009B1D46">
        <w:rPr>
          <w:lang w:val="bg-BG"/>
        </w:rPr>
        <w:instrText>_</w:instrText>
      </w:r>
      <w:r>
        <w:instrText>rev</w:instrText>
      </w:r>
      <w:r w:rsidRPr="009B1D46">
        <w:rPr>
          <w:lang w:val="bg-BG"/>
        </w:rPr>
        <w:instrText>_</w:instrText>
      </w:r>
      <w:r>
        <w:instrText>FI</w:instrText>
      </w:r>
      <w:r w:rsidRPr="009B1D46">
        <w:rPr>
          <w:lang w:val="bg-BG"/>
        </w:rPr>
        <w:instrText>_</w:instrText>
      </w:r>
      <w:r>
        <w:instrText>response</w:instrText>
      </w:r>
      <w:r w:rsidRPr="009B1D46">
        <w:rPr>
          <w:lang w:val="bg-BG"/>
        </w:rPr>
        <w:instrText>_</w:instrText>
      </w:r>
      <w:r>
        <w:instrText>SANS</w:instrText>
      </w:r>
      <w:r w:rsidRPr="009B1D46">
        <w:rPr>
          <w:lang w:val="bg-BG"/>
        </w:rPr>
        <w:instrText xml:space="preserve"> \</w:instrText>
      </w:r>
      <w:r>
        <w:instrText>h</w:instrText>
      </w:r>
      <w:r w:rsidRPr="009B1D46">
        <w:rPr>
          <w:lang w:val="bg-BG"/>
        </w:rPr>
        <w:instrText xml:space="preserve">  \* </w:instrText>
      </w:r>
      <w:r>
        <w:instrText>MERGEFORMAT</w:instrText>
      </w:r>
      <w:r w:rsidRPr="009B1D46">
        <w:rPr>
          <w:lang w:val="bg-BG"/>
        </w:rPr>
        <w:instrText xml:space="preserve"> </w:instrText>
      </w:r>
      <w:r>
        <w:fldChar w:fldCharType="separate"/>
      </w:r>
      <w:r w:rsidR="00F21D3F" w:rsidRPr="009B1D46">
        <w:rPr>
          <w:lang w:val="bg-BG"/>
        </w:rPr>
        <w:t>32</w:t>
      </w:r>
      <w:r>
        <w:fldChar w:fldCharType="end"/>
      </w:r>
      <w:r w:rsidRPr="009B1D46">
        <w:rPr>
          <w:lang w:val="bg-BG"/>
        </w:rPr>
        <w:t xml:space="preserve"> -</w:t>
      </w:r>
      <w:r>
        <w:fldChar w:fldCharType="begin"/>
      </w:r>
      <w:r w:rsidRPr="009B1D46">
        <w:rPr>
          <w:lang w:val="bg-BG"/>
        </w:rPr>
        <w:instrText xml:space="preserve"> </w:instrText>
      </w:r>
      <w:r>
        <w:instrText>REF</w:instrText>
      </w:r>
      <w:r w:rsidRPr="009B1D46">
        <w:rPr>
          <w:lang w:val="bg-BG"/>
        </w:rPr>
        <w:instrText xml:space="preserve">  </w:instrText>
      </w:r>
      <w:r>
        <w:instrText>F</w:instrText>
      </w:r>
      <w:r w:rsidRPr="009B1D46">
        <w:rPr>
          <w:lang w:val="bg-BG"/>
        </w:rPr>
        <w:instrText>_</w:instrText>
      </w:r>
      <w:r>
        <w:instrText>jud</w:instrText>
      </w:r>
      <w:r w:rsidRPr="009B1D46">
        <w:rPr>
          <w:lang w:val="bg-BG"/>
        </w:rPr>
        <w:instrText>_</w:instrText>
      </w:r>
      <w:r>
        <w:instrText>rev</w:instrText>
      </w:r>
      <w:r w:rsidRPr="009B1D46">
        <w:rPr>
          <w:lang w:val="bg-BG"/>
        </w:rPr>
        <w:instrText>_</w:instrText>
      </w:r>
      <w:r>
        <w:instrText>FI</w:instrText>
      </w:r>
      <w:r w:rsidRPr="009B1D46">
        <w:rPr>
          <w:lang w:val="bg-BG"/>
        </w:rPr>
        <w:instrText>_</w:instrText>
      </w:r>
      <w:r>
        <w:instrText>response</w:instrText>
      </w:r>
      <w:r w:rsidRPr="009B1D46">
        <w:rPr>
          <w:lang w:val="bg-BG"/>
        </w:rPr>
        <w:instrText>_</w:instrText>
      </w:r>
      <w:r>
        <w:instrText>GOV</w:instrText>
      </w:r>
      <w:r w:rsidRPr="009B1D46">
        <w:rPr>
          <w:lang w:val="bg-BG"/>
        </w:rPr>
        <w:instrText xml:space="preserve"> \</w:instrText>
      </w:r>
      <w:r>
        <w:instrText>h</w:instrText>
      </w:r>
      <w:r w:rsidRPr="009B1D46">
        <w:rPr>
          <w:lang w:val="bg-BG"/>
        </w:rPr>
        <w:instrText xml:space="preserve">  \* </w:instrText>
      </w:r>
      <w:r>
        <w:instrText>MERGEFORMAT</w:instrText>
      </w:r>
      <w:r w:rsidRPr="009B1D46">
        <w:rPr>
          <w:lang w:val="bg-BG"/>
        </w:rPr>
        <w:instrText xml:space="preserve"> </w:instrText>
      </w:r>
      <w:r>
        <w:fldChar w:fldCharType="separate"/>
      </w:r>
      <w:r w:rsidR="00F21D3F" w:rsidRPr="009B1D46">
        <w:rPr>
          <w:lang w:val="bg-BG"/>
        </w:rPr>
        <w:t>33</w:t>
      </w:r>
      <w:r>
        <w:fldChar w:fldCharType="end"/>
      </w:r>
      <w:r w:rsidRPr="009B1D46">
        <w:rPr>
          <w:lang w:val="bg-BG"/>
        </w:rPr>
        <w:t xml:space="preserve"> по-горе).</w:t>
      </w:r>
    </w:p>
    <w:p w14:paraId="40B3FDE9" w14:textId="77777777" w:rsidR="00304BC9" w:rsidRDefault="000F3485" w:rsidP="00304BC9">
      <w:pPr>
        <w:pStyle w:val="JuH1"/>
      </w:pPr>
      <w:bookmarkStart w:id="74" w:name="_Toc175214973"/>
      <w:bookmarkStart w:id="75" w:name="_Toc232688256"/>
      <w:r>
        <w:t>Решение на Върховния административен съд</w:t>
      </w:r>
      <w:bookmarkEnd w:id="74"/>
      <w:bookmarkEnd w:id="75"/>
    </w:p>
    <w:bookmarkStart w:id="76" w:name="F_jud_rev_APP_jud_SAC_19_07_2021"/>
    <w:p w14:paraId="5420ACCF" w14:textId="54E02F02" w:rsidR="00304BC9" w:rsidRPr="00E32E68" w:rsidRDefault="000F3485" w:rsidP="00304BC9">
      <w:pPr>
        <w:pStyle w:val="JuPara"/>
        <w:rPr>
          <w:lang w:val="ru-RU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40</w:t>
      </w:r>
      <w:r>
        <w:fldChar w:fldCharType="end"/>
      </w:r>
      <w:bookmarkEnd w:id="76"/>
      <w:r w:rsidR="00041130">
        <w:t xml:space="preserve">. </w:t>
      </w:r>
      <w:r>
        <w:t>На 19 юли 2021 г. петчленен състав на Върховния</w:t>
      </w:r>
      <w:r w:rsidR="006F6603">
        <w:t xml:space="preserve"> административен съд потвърждава</w:t>
      </w:r>
      <w:r>
        <w:t xml:space="preserve"> решението на тричленния състав.</w:t>
      </w:r>
      <w:bookmarkStart w:id="77" w:name="_Hlk131419171"/>
      <w:r w:rsidR="006F6603">
        <w:t xml:space="preserve"> Той се съгласява</w:t>
      </w:r>
      <w:r>
        <w:t>, че е налице надлежно з</w:t>
      </w:r>
      <w:r w:rsidR="006F6603">
        <w:t>аконово делегиране за оспорения правилник</w:t>
      </w:r>
      <w:r>
        <w:t xml:space="preserve">. </w:t>
      </w:r>
      <w:r w:rsidR="006F6603">
        <w:rPr>
          <w:lang w:val="bg-BG"/>
        </w:rPr>
        <w:t>По-нататък той</w:t>
      </w:r>
      <w:r w:rsidR="006F6603">
        <w:t xml:space="preserve"> посочв</w:t>
      </w:r>
      <w:r w:rsidR="006F6603">
        <w:rPr>
          <w:lang w:val="bg-BG"/>
        </w:rPr>
        <w:t>а</w:t>
      </w:r>
      <w:r>
        <w:t>, че законът прави разграничение между „</w:t>
      </w:r>
      <w:r w:rsidR="00636119">
        <w:t>служители</w:t>
      </w:r>
      <w:r>
        <w:t xml:space="preserve"> под прикритие“ и „</w:t>
      </w:r>
      <w:r w:rsidR="00636119">
        <w:t>служители</w:t>
      </w:r>
      <w:r>
        <w:t xml:space="preserve"> на прикритие“. Анализът на законовите разпоредби, уреждащи използването на „специални</w:t>
      </w:r>
      <w:r w:rsidR="006F6603">
        <w:rPr>
          <w:lang w:val="bg-BG"/>
        </w:rPr>
        <w:t xml:space="preserve"> разузнавателни</w:t>
      </w:r>
      <w:r>
        <w:t xml:space="preserve"> средства “, показ</w:t>
      </w:r>
      <w:r w:rsidR="006F6603">
        <w:rPr>
          <w:lang w:val="bg-BG"/>
        </w:rPr>
        <w:t>в</w:t>
      </w:r>
      <w:r>
        <w:t>а, че за разлика от „</w:t>
      </w:r>
      <w:r w:rsidR="00636119">
        <w:t>служители</w:t>
      </w:r>
      <w:r>
        <w:t>те под прикритие“, „</w:t>
      </w:r>
      <w:r w:rsidR="00636119">
        <w:t>служители</w:t>
      </w:r>
      <w:r>
        <w:t xml:space="preserve">те </w:t>
      </w:r>
      <w:r w:rsidR="006F6603">
        <w:rPr>
          <w:lang w:val="bg-BG"/>
        </w:rPr>
        <w:t>на</w:t>
      </w:r>
      <w:r>
        <w:t xml:space="preserve"> прикритие“ не могат да използват такива средства. Оттук следва, че аргументът, основан на Закона от 1997 г. (вж. параграфи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RLF_SSMA \h  \* MERGEFORMAT </w:instrText>
      </w:r>
      <w:r>
        <w:fldChar w:fldCharType="separate"/>
      </w:r>
      <w:r w:rsidR="00F21D3F">
        <w:t>73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RLF_SSMA_s_10c_1 \h  \* MERGEFORMAT </w:instrText>
      </w:r>
      <w:r>
        <w:fldChar w:fldCharType="separate"/>
      </w:r>
      <w:r w:rsidR="00F21D3F">
        <w:t>75</w:t>
      </w:r>
      <w:r>
        <w:fldChar w:fldCharType="end"/>
      </w:r>
      <w:r>
        <w:t xml:space="preserve"> по-долу), че всяко използване на „</w:t>
      </w:r>
      <w:r w:rsidR="00636119">
        <w:t>служители</w:t>
      </w:r>
      <w:r w:rsidR="000C4CF9">
        <w:t xml:space="preserve"> </w:t>
      </w:r>
      <w:r w:rsidR="00E02D23">
        <w:rPr>
          <w:lang w:val="bg-BG"/>
        </w:rPr>
        <w:t>на прикритие</w:t>
      </w:r>
      <w:r>
        <w:t xml:space="preserve">“ трябва да подлежи на предварително съдебно разрешение (както се изисква от Закона от 1997 г. по отношение на „специалните </w:t>
      </w:r>
      <w:r w:rsidR="000C4CF9">
        <w:rPr>
          <w:lang w:val="bg-BG"/>
        </w:rPr>
        <w:t xml:space="preserve">разузнавателни </w:t>
      </w:r>
      <w:r w:rsidR="000C4CF9">
        <w:t>средства</w:t>
      </w:r>
      <w:r>
        <w:t xml:space="preserve">“), е неоснователен. Освен това, предвид формулировката на </w:t>
      </w:r>
      <w:r w:rsidR="00581860">
        <w:rPr>
          <w:lang w:val="bg-BG"/>
        </w:rPr>
        <w:t>чл.</w:t>
      </w:r>
      <w:r>
        <w:t xml:space="preserve"> 50 (вж. параграф</w:t>
      </w:r>
      <w:r w:rsidR="00041130">
        <w:rPr>
          <w:lang w:val="bg-BG"/>
        </w:rPr>
        <w:t xml:space="preserve"> </w:t>
      </w:r>
      <w:r>
        <w:fldChar w:fldCharType="begin"/>
      </w:r>
      <w:r>
        <w:instrText xml:space="preserve"> REF  F_Regs_2018_amnd_r_50 \h  \* MERGEFORMAT </w:instrText>
      </w:r>
      <w:r>
        <w:fldChar w:fldCharType="separate"/>
      </w:r>
      <w:r w:rsidR="00F21D3F">
        <w:t>28</w:t>
      </w:r>
      <w:r>
        <w:fldChar w:fldCharType="end"/>
      </w:r>
      <w:r>
        <w:t xml:space="preserve"> по-горе), работата на „</w:t>
      </w:r>
      <w:r w:rsidR="00636119">
        <w:t>служител</w:t>
      </w:r>
      <w:r>
        <w:t xml:space="preserve"> </w:t>
      </w:r>
      <w:r w:rsidR="00581860">
        <w:rPr>
          <w:lang w:val="bg-BG"/>
        </w:rPr>
        <w:t>на</w:t>
      </w:r>
      <w:r>
        <w:t xml:space="preserve"> прикритие“ не може да засяга личния живот, дома или кореспонденцията на никого. Следователно твърдението, че </w:t>
      </w:r>
      <w:r w:rsidR="00F46052">
        <w:rPr>
          <w:lang w:val="bg-BG"/>
        </w:rPr>
        <w:t>правилника</w:t>
      </w:r>
      <w:r w:rsidR="00F46052">
        <w:t xml:space="preserve"> нарушава </w:t>
      </w:r>
      <w:r>
        <w:t xml:space="preserve">член 8 от Конвенцията, също е неоснователно (вж. </w:t>
      </w:r>
      <w:r w:rsidRPr="00057055">
        <w:rPr>
          <w:i/>
          <w:iCs/>
          <w:lang w:val="bg-BG"/>
        </w:rPr>
        <w:t>реш. № 8672 от 19.07.2021 г. по адм. д. № 2863/2021 г., ВАС, петчл. с-в</w:t>
      </w:r>
      <w:r w:rsidRPr="00B82454">
        <w:rPr>
          <w:lang w:val="ru-RU"/>
        </w:rPr>
        <w:t>)</w:t>
      </w:r>
      <w:bookmarkEnd w:id="77"/>
      <w:r w:rsidRPr="00E32E68">
        <w:rPr>
          <w:lang w:val="ru-RU"/>
        </w:rPr>
        <w:t xml:space="preserve"> .</w:t>
      </w:r>
    </w:p>
    <w:p w14:paraId="049260E3" w14:textId="77777777" w:rsidR="00304BC9" w:rsidRDefault="000F3485" w:rsidP="00304BC9">
      <w:pPr>
        <w:pStyle w:val="JuHHead"/>
      </w:pPr>
      <w:bookmarkStart w:id="78" w:name="_Toc175214974"/>
      <w:bookmarkStart w:id="79" w:name="_Toc232688257"/>
      <w:r w:rsidRPr="0040384C">
        <w:t>ПРИЛОЖИМА ПРАВНА РАМКА</w:t>
      </w:r>
      <w:bookmarkEnd w:id="78"/>
      <w:bookmarkEnd w:id="79"/>
    </w:p>
    <w:p w14:paraId="7E9B9637" w14:textId="77777777" w:rsidR="00304BC9" w:rsidRDefault="000F3485" w:rsidP="0011320E">
      <w:pPr>
        <w:pStyle w:val="JuHIRoman"/>
      </w:pPr>
      <w:bookmarkStart w:id="80" w:name="_Toc175214975"/>
      <w:bookmarkStart w:id="81" w:name="_Toc232688258"/>
      <w:r>
        <w:t>ЗАКОН ОТ 2007 Г.</w:t>
      </w:r>
      <w:bookmarkEnd w:id="80"/>
      <w:bookmarkEnd w:id="81"/>
    </w:p>
    <w:p w14:paraId="31DEAD33" w14:textId="77777777" w:rsidR="00304BC9" w:rsidRDefault="000F3485" w:rsidP="00304BC9">
      <w:pPr>
        <w:pStyle w:val="JuHA"/>
      </w:pPr>
      <w:bookmarkStart w:id="82" w:name="_Toc174910358"/>
      <w:bookmarkStart w:id="83" w:name="_Toc232688259"/>
      <w:r w:rsidRPr="00C462F6">
        <w:t>Агенцията, нейните задачи и правомощия</w:t>
      </w:r>
      <w:bookmarkEnd w:id="82"/>
      <w:bookmarkEnd w:id="83"/>
    </w:p>
    <w:bookmarkStart w:id="84" w:name="RLF_SANSA"/>
    <w:p w14:paraId="46A742B0" w14:textId="75A49AAC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41</w:t>
      </w:r>
      <w:r w:rsidRPr="00625CAB">
        <w:fldChar w:fldCharType="end"/>
      </w:r>
      <w:bookmarkEnd w:id="84"/>
      <w:r w:rsidR="00041130">
        <w:t>. </w:t>
      </w:r>
      <w:r w:rsidR="00570EFE">
        <w:t>Законът от 2007 г.</w:t>
      </w:r>
      <w:r w:rsidR="00570EFE">
        <w:rPr>
          <w:lang w:val="bg-BG"/>
        </w:rPr>
        <w:t xml:space="preserve"> –</w:t>
      </w:r>
      <w:r w:rsidR="00F01200">
        <w:t xml:space="preserve"> с който </w:t>
      </w:r>
      <w:r w:rsidRPr="002F3B87">
        <w:t xml:space="preserve">е създадена Агенцията и </w:t>
      </w:r>
      <w:r w:rsidR="00570EFE">
        <w:rPr>
          <w:lang w:val="bg-BG"/>
        </w:rPr>
        <w:t>са</w:t>
      </w:r>
      <w:r w:rsidRPr="002F3B87">
        <w:t xml:space="preserve"> определени</w:t>
      </w:r>
      <w:r w:rsidR="00F01200">
        <w:t xml:space="preserve"> нейните задачи и правомощия – </w:t>
      </w:r>
      <w:r w:rsidRPr="002F3B87">
        <w:t xml:space="preserve">е приет през </w:t>
      </w:r>
      <w:r w:rsidR="00F01200">
        <w:rPr>
          <w:lang w:val="bg-BG"/>
        </w:rPr>
        <w:t xml:space="preserve">м. </w:t>
      </w:r>
      <w:r w:rsidR="00F01200">
        <w:t>декември 2007 г. и влиза</w:t>
      </w:r>
      <w:r w:rsidRPr="002F3B87">
        <w:t xml:space="preserve"> в сила през </w:t>
      </w:r>
      <w:r w:rsidR="00F01200">
        <w:rPr>
          <w:lang w:val="bg-BG"/>
        </w:rPr>
        <w:t xml:space="preserve">м. </w:t>
      </w:r>
      <w:r w:rsidRPr="002F3B87">
        <w:t xml:space="preserve">януари 2008 г. </w:t>
      </w:r>
      <w:r>
        <w:t xml:space="preserve">Съгласно </w:t>
      </w:r>
      <w:r w:rsidR="006062F7">
        <w:rPr>
          <w:lang w:val="bg-BG"/>
        </w:rPr>
        <w:t>§</w:t>
      </w:r>
      <w:r w:rsidRPr="002F3B87">
        <w:t xml:space="preserve"> 2, алинеи 2 и 3 от преходните разпоредби на закона Агенцията е правоприемник на</w:t>
      </w:r>
      <w:r w:rsidRPr="00457474">
        <w:t xml:space="preserve">: </w:t>
      </w:r>
      <w:r w:rsidR="009178E0">
        <w:fldChar w:fldCharType="begin"/>
      </w:r>
      <w:r w:rsidR="009178E0">
        <w:instrText xml:space="preserve"> SEQ level1 \*alphabetic \r1 \* MERGEFORMAT 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Pr="00457474">
        <w:t xml:space="preserve">) </w:t>
      </w:r>
      <w:r w:rsidRPr="002F3B87">
        <w:t xml:space="preserve">бившата </w:t>
      </w:r>
      <w:r w:rsidR="008F6FF3">
        <w:rPr>
          <w:lang w:val="bg-BG"/>
        </w:rPr>
        <w:t>Н</w:t>
      </w:r>
      <w:r w:rsidR="008F6FF3" w:rsidRPr="002F3B87">
        <w:t xml:space="preserve">ационална </w:t>
      </w:r>
      <w:r w:rsidR="008F6FF3">
        <w:t xml:space="preserve">служба </w:t>
      </w:r>
      <w:r w:rsidR="008F6FF3">
        <w:rPr>
          <w:lang w:val="bg-BG"/>
        </w:rPr>
        <w:t>„С</w:t>
      </w:r>
      <w:r w:rsidRPr="002F3B87">
        <w:t>игурност</w:t>
      </w:r>
      <w:r w:rsidR="008F6FF3">
        <w:rPr>
          <w:lang w:val="bg-BG"/>
        </w:rPr>
        <w:t>“</w:t>
      </w:r>
      <w:r w:rsidRPr="002F3B87">
        <w:t xml:space="preserve"> (която </w:t>
      </w:r>
      <w:r w:rsidRPr="00457474">
        <w:t xml:space="preserve">преди това </w:t>
      </w:r>
      <w:r w:rsidR="008F6FF3">
        <w:rPr>
          <w:lang w:val="bg-BG"/>
        </w:rPr>
        <w:t>е</w:t>
      </w:r>
      <w:r w:rsidRPr="002F3B87">
        <w:t xml:space="preserve"> част от </w:t>
      </w:r>
      <w:r w:rsidRPr="002F3B87">
        <w:lastRenderedPageBreak/>
        <w:t xml:space="preserve">Министерството на вътрешните работи); </w:t>
      </w:r>
      <w:r w:rsidR="009178E0">
        <w:fldChar w:fldCharType="begin"/>
      </w:r>
      <w:r w:rsidR="009178E0">
        <w:instrText xml:space="preserve"> S</w:instrText>
      </w:r>
      <w:r w:rsidR="009178E0">
        <w:instrText xml:space="preserve">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2F3B87">
        <w:t>) отдела на същото министерство</w:t>
      </w:r>
      <w:r w:rsidRPr="00457474">
        <w:t xml:space="preserve">, </w:t>
      </w:r>
      <w:r w:rsidRPr="002F3B87">
        <w:t xml:space="preserve">отговарящ за защитата на </w:t>
      </w:r>
      <w:r>
        <w:t>националната комуникационна инфраструктура</w:t>
      </w:r>
      <w:r w:rsidRPr="002F3B87">
        <w:t xml:space="preserve">; 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 w:rsidRPr="002F3B87">
        <w:t xml:space="preserve">) военната контраразузнавателна служба на Министерството на отбраната; и 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г</w:t>
      </w:r>
      <w:r w:rsidR="009178E0">
        <w:rPr>
          <w:noProof/>
        </w:rPr>
        <w:fldChar w:fldCharType="end"/>
      </w:r>
      <w:r w:rsidRPr="002F3B87">
        <w:t>) бившата Агенция за финансово разузнаване.</w:t>
      </w:r>
    </w:p>
    <w:bookmarkStart w:id="85" w:name="RLF_SANSA_SANS_tasks"/>
    <w:p w14:paraId="19B62684" w14:textId="69D56CCC" w:rsidR="00304BC9" w:rsidRPr="003511A9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42</w:t>
      </w:r>
      <w:r w:rsidRPr="00625CAB">
        <w:fldChar w:fldCharType="end"/>
      </w:r>
      <w:bookmarkEnd w:id="85"/>
      <w:r w:rsidR="00041130">
        <w:rPr>
          <w:lang w:val="bg-BG"/>
        </w:rPr>
        <w:t xml:space="preserve">. </w:t>
      </w:r>
      <w:r w:rsidRPr="009B7F6B">
        <w:rPr>
          <w:lang w:val="bg-BG"/>
        </w:rPr>
        <w:t xml:space="preserve">Агенцията е </w:t>
      </w:r>
      <w:r w:rsidRPr="009B7F6B">
        <w:rPr>
          <w:rFonts w:cstheme="minorHAnsi"/>
          <w:lang w:val="bg-BG"/>
        </w:rPr>
        <w:t xml:space="preserve">под прякото ръководство на </w:t>
      </w:r>
      <w:r w:rsidR="009B7F6B">
        <w:rPr>
          <w:lang w:val="bg-BG"/>
        </w:rPr>
        <w:t>Министерски съвет</w:t>
      </w:r>
      <w:r w:rsidR="00570EFE">
        <w:rPr>
          <w:lang w:val="bg-BG"/>
        </w:rPr>
        <w:t xml:space="preserve"> (чл.</w:t>
      </w:r>
      <w:r w:rsidRPr="009B7F6B">
        <w:rPr>
          <w:lang w:val="bg-BG"/>
        </w:rPr>
        <w:t xml:space="preserve"> 2, </w:t>
      </w:r>
      <w:r w:rsidR="009B7F6B">
        <w:rPr>
          <w:lang w:val="bg-BG"/>
        </w:rPr>
        <w:t>ал.</w:t>
      </w:r>
      <w:r w:rsidRPr="009B7F6B">
        <w:rPr>
          <w:lang w:val="bg-BG"/>
        </w:rPr>
        <w:t xml:space="preserve"> 1). Нейният </w:t>
      </w:r>
      <w:r w:rsidR="009B7F6B">
        <w:rPr>
          <w:lang w:val="bg-BG"/>
        </w:rPr>
        <w:t>председател</w:t>
      </w:r>
      <w:r w:rsidRPr="009B7F6B">
        <w:rPr>
          <w:lang w:val="bg-BG"/>
        </w:rPr>
        <w:t xml:space="preserve"> се назначава от президента на републиката след предложение от правителството, а двамата му заместници се назначават от </w:t>
      </w:r>
      <w:r w:rsidR="00CF4B0C">
        <w:rPr>
          <w:lang w:val="bg-BG"/>
        </w:rPr>
        <w:t>Министерски съвет</w:t>
      </w:r>
      <w:r w:rsidR="00516849">
        <w:rPr>
          <w:lang w:val="bg-BG"/>
        </w:rPr>
        <w:t xml:space="preserve"> (чл.</w:t>
      </w:r>
      <w:r w:rsidRPr="009B7F6B">
        <w:rPr>
          <w:lang w:val="bg-BG"/>
        </w:rPr>
        <w:t xml:space="preserve"> 8, </w:t>
      </w:r>
      <w:r w:rsidR="00CF4B0C">
        <w:rPr>
          <w:lang w:val="bg-BG"/>
        </w:rPr>
        <w:t>ал.</w:t>
      </w:r>
      <w:r w:rsidRPr="009B7F6B">
        <w:rPr>
          <w:lang w:val="bg-BG"/>
        </w:rPr>
        <w:t xml:space="preserve"> 1 и 2). </w:t>
      </w:r>
      <w:r w:rsidRPr="00CF4B0C">
        <w:rPr>
          <w:lang w:val="bg-BG"/>
        </w:rPr>
        <w:t>Основните задачи на Агенцията са: (</w:t>
      </w:r>
      <w:r w:rsidR="002F2B60">
        <w:fldChar w:fldCharType="begin"/>
      </w:r>
      <w:r w:rsidR="002F2B60" w:rsidRPr="00CF4B0C">
        <w:rPr>
          <w:lang w:val="bg-BG"/>
        </w:rPr>
        <w:instrText xml:space="preserve"> </w:instrText>
      </w:r>
      <w:r w:rsidR="002F2B60">
        <w:instrText>SEQ</w:instrText>
      </w:r>
      <w:r w:rsidR="002F2B60" w:rsidRPr="00CF4B0C">
        <w:rPr>
          <w:lang w:val="bg-BG"/>
        </w:rPr>
        <w:instrText xml:space="preserve"> </w:instrText>
      </w:r>
      <w:r w:rsidR="002F2B60">
        <w:instrText>level</w:instrText>
      </w:r>
      <w:r w:rsidR="002F2B60" w:rsidRPr="00CF4B0C">
        <w:rPr>
          <w:lang w:val="bg-BG"/>
        </w:rPr>
        <w:instrText>1 \*</w:instrText>
      </w:r>
      <w:r w:rsidR="002F2B60">
        <w:instrText>alphabetic</w:instrText>
      </w:r>
      <w:r w:rsidR="002F2B60" w:rsidRPr="00CF4B0C">
        <w:rPr>
          <w:lang w:val="bg-BG"/>
        </w:rPr>
        <w:instrText xml:space="preserve"> \</w:instrText>
      </w:r>
      <w:r w:rsidR="002F2B60">
        <w:instrText>r</w:instrText>
      </w:r>
      <w:r w:rsidR="002F2B60" w:rsidRPr="00CF4B0C">
        <w:rPr>
          <w:lang w:val="bg-BG"/>
        </w:rPr>
        <w:instrText xml:space="preserve">1 \* </w:instrText>
      </w:r>
      <w:r w:rsidR="002F2B60">
        <w:instrText>MERGEFORMAT</w:instrText>
      </w:r>
      <w:r w:rsidR="002F2B60" w:rsidRPr="00CF4B0C">
        <w:rPr>
          <w:lang w:val="bg-BG"/>
        </w:rPr>
        <w:instrText xml:space="preserve"> </w:instrText>
      </w:r>
      <w:r w:rsidR="002F2B60">
        <w:fldChar w:fldCharType="separate"/>
      </w:r>
      <w:r w:rsidR="00F21D3F" w:rsidRPr="00CF4B0C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CF4B0C">
        <w:rPr>
          <w:lang w:val="bg-BG"/>
        </w:rPr>
        <w:t>) да защитава</w:t>
      </w:r>
      <w:r w:rsidR="00B5089E">
        <w:rPr>
          <w:lang w:val="bg-BG"/>
        </w:rPr>
        <w:t xml:space="preserve"> националната сигурност от „посе</w:t>
      </w:r>
      <w:r w:rsidRPr="00CF4B0C">
        <w:rPr>
          <w:lang w:val="bg-BG"/>
        </w:rPr>
        <w:t>гателства, насочени срещу националните интереси, независимостта и суверенитета на Република България, [нейната] териториална цялост, основните права и свободи на гражданите, демократичното функциониране на държавата и гражданските институции или устан</w:t>
      </w:r>
      <w:r w:rsidR="00516849">
        <w:rPr>
          <w:lang w:val="bg-BG"/>
        </w:rPr>
        <w:t>овения конституционен ред“ (чл.</w:t>
      </w:r>
      <w:r w:rsidRPr="00CF4B0C">
        <w:rPr>
          <w:lang w:val="bg-BG"/>
        </w:rPr>
        <w:t xml:space="preserve"> 4, </w:t>
      </w:r>
      <w:r w:rsidR="00CF4B0C">
        <w:rPr>
          <w:lang w:val="bg-BG"/>
        </w:rPr>
        <w:t xml:space="preserve">ал. </w:t>
      </w:r>
      <w:r w:rsidRPr="00CF4B0C">
        <w:rPr>
          <w:lang w:val="bg-BG"/>
        </w:rPr>
        <w:t>1) и (</w:t>
      </w:r>
      <w:r w:rsidR="002F2B60">
        <w:fldChar w:fldCharType="begin"/>
      </w:r>
      <w:r w:rsidR="002F2B60" w:rsidRPr="00CF4B0C">
        <w:rPr>
          <w:lang w:val="bg-BG"/>
        </w:rPr>
        <w:instrText xml:space="preserve"> </w:instrText>
      </w:r>
      <w:r w:rsidR="002F2B60">
        <w:instrText>SEQ</w:instrText>
      </w:r>
      <w:r w:rsidR="002F2B60" w:rsidRPr="00CF4B0C">
        <w:rPr>
          <w:lang w:val="bg-BG"/>
        </w:rPr>
        <w:instrText xml:space="preserve"> </w:instrText>
      </w:r>
      <w:r w:rsidR="002F2B60">
        <w:instrText>level</w:instrText>
      </w:r>
      <w:r w:rsidR="002F2B60" w:rsidRPr="00CF4B0C">
        <w:rPr>
          <w:lang w:val="bg-BG"/>
        </w:rPr>
        <w:instrText>1 \*</w:instrText>
      </w:r>
      <w:r w:rsidR="002F2B60">
        <w:instrText>alphabetic</w:instrText>
      </w:r>
      <w:r w:rsidR="002F2B60" w:rsidRPr="00CF4B0C">
        <w:rPr>
          <w:lang w:val="bg-BG"/>
        </w:rPr>
        <w:instrText xml:space="preserve"> \* </w:instrText>
      </w:r>
      <w:r w:rsidR="002F2B60">
        <w:instrText>MERGEFORMAT</w:instrText>
      </w:r>
      <w:r w:rsidR="002F2B60" w:rsidRPr="00CF4B0C">
        <w:rPr>
          <w:lang w:val="bg-BG"/>
        </w:rPr>
        <w:instrText xml:space="preserve"> </w:instrText>
      </w:r>
      <w:r w:rsidR="002F2B60">
        <w:fldChar w:fldCharType="separate"/>
      </w:r>
      <w:r w:rsidR="00F21D3F" w:rsidRPr="00CF4B0C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CF4B0C">
        <w:rPr>
          <w:lang w:val="bg-BG"/>
        </w:rPr>
        <w:t>) да извършв</w:t>
      </w:r>
      <w:r w:rsidR="00B5089E">
        <w:rPr>
          <w:lang w:val="bg-BG"/>
        </w:rPr>
        <w:t>а контраразузнавателна дейност –</w:t>
      </w:r>
      <w:r w:rsidRPr="00CF4B0C">
        <w:rPr>
          <w:lang w:val="bg-BG"/>
        </w:rPr>
        <w:t xml:space="preserve"> по-специално за защита</w:t>
      </w:r>
      <w:r w:rsidR="00516849">
        <w:rPr>
          <w:lang w:val="bg-BG"/>
        </w:rPr>
        <w:t xml:space="preserve"> на стратегическите обекти (чл.</w:t>
      </w:r>
      <w:r w:rsidRPr="00CF4B0C">
        <w:rPr>
          <w:lang w:val="bg-BG"/>
        </w:rPr>
        <w:t xml:space="preserve"> 4, </w:t>
      </w:r>
      <w:r w:rsidR="00091EDB">
        <w:rPr>
          <w:lang w:val="bg-BG"/>
        </w:rPr>
        <w:t>ал.</w:t>
      </w:r>
      <w:r w:rsidRPr="00CF4B0C">
        <w:rPr>
          <w:lang w:val="bg-BG"/>
        </w:rPr>
        <w:t xml:space="preserve"> 2 и 4). </w:t>
      </w:r>
      <w:r w:rsidRPr="003511A9">
        <w:rPr>
          <w:lang w:val="bg-BG"/>
        </w:rPr>
        <w:t>Други задачи могат да ѝ бъдат в</w:t>
      </w:r>
      <w:r w:rsidR="00516849">
        <w:rPr>
          <w:lang w:val="bg-BG"/>
        </w:rPr>
        <w:t>ъзложени само [чрез] закон (чл.</w:t>
      </w:r>
      <w:r w:rsidRPr="003511A9">
        <w:rPr>
          <w:lang w:val="bg-BG"/>
        </w:rPr>
        <w:t xml:space="preserve"> 7).</w:t>
      </w:r>
    </w:p>
    <w:bookmarkStart w:id="86" w:name="RLF_SANSA_SANS_tasks_bis"/>
    <w:p w14:paraId="7BF061DA" w14:textId="77777777" w:rsidR="00304BC9" w:rsidRPr="003511A9" w:rsidRDefault="000F3485" w:rsidP="0011320E">
      <w:pPr>
        <w:pStyle w:val="JuPara"/>
        <w:rPr>
          <w:lang w:val="bg-BG"/>
        </w:rPr>
      </w:pPr>
      <w:r w:rsidRPr="00625CAB">
        <w:fldChar w:fldCharType="begin"/>
      </w:r>
      <w:r w:rsidRPr="003511A9">
        <w:rPr>
          <w:lang w:val="bg-BG"/>
        </w:rPr>
        <w:instrText xml:space="preserve"> </w:instrText>
      </w:r>
      <w:r w:rsidRPr="00625CAB">
        <w:instrText>SEQ</w:instrText>
      </w:r>
      <w:r w:rsidRPr="003511A9">
        <w:rPr>
          <w:lang w:val="bg-BG"/>
        </w:rPr>
        <w:instrText xml:space="preserve"> </w:instrText>
      </w:r>
      <w:r w:rsidRPr="00625CAB">
        <w:instrText>level</w:instrText>
      </w:r>
      <w:r w:rsidRPr="003511A9">
        <w:rPr>
          <w:lang w:val="bg-BG"/>
        </w:rPr>
        <w:instrText>0 \*</w:instrText>
      </w:r>
      <w:r w:rsidRPr="00625CAB">
        <w:instrText>arabic</w:instrText>
      </w:r>
      <w:r w:rsidRPr="003511A9">
        <w:rPr>
          <w:lang w:val="bg-BG"/>
        </w:rPr>
        <w:instrText xml:space="preserve"> \* </w:instrText>
      </w:r>
      <w:r w:rsidRPr="00625CAB">
        <w:instrText>MERGEFORMAT</w:instrText>
      </w:r>
      <w:r w:rsidRPr="003511A9">
        <w:rPr>
          <w:lang w:val="bg-BG"/>
        </w:rPr>
        <w:instrText xml:space="preserve"> </w:instrText>
      </w:r>
      <w:r w:rsidRPr="00625CAB">
        <w:fldChar w:fldCharType="separate"/>
      </w:r>
      <w:r w:rsidR="00F21D3F" w:rsidRPr="003511A9">
        <w:rPr>
          <w:noProof/>
          <w:lang w:val="bg-BG"/>
        </w:rPr>
        <w:t>43</w:t>
      </w:r>
      <w:r w:rsidRPr="00625CAB">
        <w:fldChar w:fldCharType="end"/>
      </w:r>
      <w:bookmarkEnd w:id="86"/>
      <w:r w:rsidR="00041130">
        <w:rPr>
          <w:lang w:val="bg-BG"/>
        </w:rPr>
        <w:t xml:space="preserve">. </w:t>
      </w:r>
      <w:r w:rsidRPr="003511A9">
        <w:rPr>
          <w:lang w:val="bg-BG"/>
        </w:rPr>
        <w:t>На нея например са възложени различни задачи във връзка с:</w:t>
      </w:r>
    </w:p>
    <w:p w14:paraId="4FE6E879" w14:textId="77777777" w:rsidR="00304BC9" w:rsidRPr="00290A54" w:rsidRDefault="002F2B60" w:rsidP="00304BC9">
      <w:pPr>
        <w:pStyle w:val="JuPara"/>
        <w:rPr>
          <w:lang w:val="bg-BG"/>
        </w:rPr>
      </w:pPr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1 \*</w:instrText>
      </w:r>
      <w:r>
        <w:instrText>alphabetic</w:instrText>
      </w:r>
      <w:r w:rsidRPr="00290A54">
        <w:rPr>
          <w:lang w:val="bg-BG"/>
        </w:rPr>
        <w:instrText xml:space="preserve"> \</w:instrText>
      </w:r>
      <w:r>
        <w:instrText>r</w:instrText>
      </w:r>
      <w:r w:rsidRPr="00290A54">
        <w:rPr>
          <w:lang w:val="bg-BG"/>
        </w:rPr>
        <w:instrText xml:space="preserve">1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noProof/>
          <w:lang w:val="bg-BG"/>
        </w:rPr>
        <w:t>а</w:t>
      </w:r>
      <w:r>
        <w:rPr>
          <w:noProof/>
        </w:rPr>
        <w:fldChar w:fldCharType="end"/>
      </w:r>
      <w:r w:rsidR="000F3485" w:rsidRPr="00290A54">
        <w:rPr>
          <w:lang w:val="bg-BG"/>
        </w:rPr>
        <w:t>)</w:t>
      </w:r>
      <w:r w:rsidR="000F3485">
        <w:t>  </w:t>
      </w:r>
      <w:r w:rsidR="000F3485" w:rsidRPr="00290A54">
        <w:rPr>
          <w:lang w:val="bg-BG"/>
        </w:rPr>
        <w:t>изпирането на пари и финансирането на тероризма (членове 4, 4а, 5, 5б, 9, 9а, 9б, 9в, 11, 11а, 13–14а и 15 от Закона за мерките срещу финансирането на тероризма от 2003 г. и членове 8, 9д, 36а, 68, 71–79, 81–85, 87–94, 103–04, 108–09 от Закона за мерките срещу изпирането на пари от 2018 г.);</w:t>
      </w:r>
    </w:p>
    <w:p w14:paraId="68714298" w14:textId="576D9B1C" w:rsidR="00304BC9" w:rsidRPr="00290A54" w:rsidRDefault="000F3485" w:rsidP="00304BC9">
      <w:pPr>
        <w:pStyle w:val="JuPara"/>
        <w:rPr>
          <w:lang w:val="bg-BG"/>
        </w:rPr>
      </w:pPr>
      <w:r w:rsidRPr="00290A54">
        <w:rPr>
          <w:lang w:val="bg-BG"/>
        </w:rPr>
        <w:t>(</w:t>
      </w:r>
      <w:r w:rsidR="00290A54">
        <w:fldChar w:fldCharType="begin"/>
      </w:r>
      <w:r w:rsidR="00290A54" w:rsidRPr="00290A54">
        <w:rPr>
          <w:lang w:val="bg-BG"/>
        </w:rPr>
        <w:instrText xml:space="preserve"> </w:instrText>
      </w:r>
      <w:r w:rsidR="00290A54">
        <w:instrText>SEQ</w:instrText>
      </w:r>
      <w:r w:rsidR="00290A54" w:rsidRPr="00290A54">
        <w:rPr>
          <w:lang w:val="bg-BG"/>
        </w:rPr>
        <w:instrText xml:space="preserve"> </w:instrText>
      </w:r>
      <w:r w:rsidR="00290A54">
        <w:instrText>level</w:instrText>
      </w:r>
      <w:r w:rsidR="00290A54" w:rsidRPr="00290A54">
        <w:rPr>
          <w:lang w:val="bg-BG"/>
        </w:rPr>
        <w:instrText>1 \*</w:instrText>
      </w:r>
      <w:r w:rsidR="00290A54">
        <w:instrText>alphabetic</w:instrText>
      </w:r>
      <w:r w:rsidR="00290A54" w:rsidRPr="00290A54">
        <w:rPr>
          <w:lang w:val="bg-BG"/>
        </w:rPr>
        <w:instrText xml:space="preserve"> \* </w:instrText>
      </w:r>
      <w:r w:rsidR="00290A54">
        <w:instrText>MERGEFORMAT</w:instrText>
      </w:r>
      <w:r w:rsidR="00290A54" w:rsidRPr="00290A54">
        <w:rPr>
          <w:lang w:val="bg-BG"/>
        </w:rPr>
        <w:instrText xml:space="preserve"> </w:instrText>
      </w:r>
      <w:r w:rsidR="00290A54">
        <w:fldChar w:fldCharType="separate"/>
      </w:r>
      <w:r w:rsidR="00F21D3F" w:rsidRPr="00290A54">
        <w:rPr>
          <w:noProof/>
          <w:lang w:val="bg-BG"/>
        </w:rPr>
        <w:t>б</w:t>
      </w:r>
      <w:r w:rsidR="00290A54">
        <w:rPr>
          <w:noProof/>
        </w:rPr>
        <w:fldChar w:fldCharType="end"/>
      </w:r>
      <w:r w:rsidRPr="00290A54">
        <w:rPr>
          <w:lang w:val="bg-BG"/>
        </w:rPr>
        <w:t xml:space="preserve">)  борба с тероризма (член 8, </w:t>
      </w:r>
      <w:r w:rsidR="00151570">
        <w:rPr>
          <w:lang w:val="bg-BG"/>
        </w:rPr>
        <w:t xml:space="preserve">ал. </w:t>
      </w:r>
      <w:r w:rsidRPr="00290A54">
        <w:rPr>
          <w:lang w:val="bg-BG"/>
        </w:rPr>
        <w:t>1 от Закона за мерките срещу тероризма от 2016 г.);</w:t>
      </w:r>
    </w:p>
    <w:p w14:paraId="5C14BCD9" w14:textId="46EBC200" w:rsidR="00304BC9" w:rsidRPr="00290A54" w:rsidRDefault="000F3485" w:rsidP="00304BC9">
      <w:pPr>
        <w:pStyle w:val="JuPara"/>
        <w:rPr>
          <w:lang w:val="bg-BG"/>
        </w:rPr>
      </w:pPr>
      <w:r w:rsidRPr="00290A54">
        <w:rPr>
          <w:lang w:val="bg-BG"/>
        </w:rPr>
        <w:t>(</w:t>
      </w:r>
      <w:r w:rsidR="00290A54">
        <w:fldChar w:fldCharType="begin"/>
      </w:r>
      <w:r w:rsidR="00290A54" w:rsidRPr="00290A54">
        <w:rPr>
          <w:lang w:val="bg-BG"/>
        </w:rPr>
        <w:instrText xml:space="preserve"> </w:instrText>
      </w:r>
      <w:r w:rsidR="00290A54">
        <w:instrText>SEQ</w:instrText>
      </w:r>
      <w:r w:rsidR="00290A54" w:rsidRPr="00290A54">
        <w:rPr>
          <w:lang w:val="bg-BG"/>
        </w:rPr>
        <w:instrText xml:space="preserve"> </w:instrText>
      </w:r>
      <w:r w:rsidR="00290A54">
        <w:instrText>level</w:instrText>
      </w:r>
      <w:r w:rsidR="00290A54" w:rsidRPr="00290A54">
        <w:rPr>
          <w:lang w:val="bg-BG"/>
        </w:rPr>
        <w:instrText>1 \*</w:instrText>
      </w:r>
      <w:r w:rsidR="00290A54">
        <w:instrText>alphabetic</w:instrText>
      </w:r>
      <w:r w:rsidR="00290A54" w:rsidRPr="00290A54">
        <w:rPr>
          <w:lang w:val="bg-BG"/>
        </w:rPr>
        <w:instrText xml:space="preserve"> \* </w:instrText>
      </w:r>
      <w:r w:rsidR="00290A54">
        <w:instrText>MERGEFORMAT</w:instrText>
      </w:r>
      <w:r w:rsidR="00290A54" w:rsidRPr="00290A54">
        <w:rPr>
          <w:lang w:val="bg-BG"/>
        </w:rPr>
        <w:instrText xml:space="preserve"> </w:instrText>
      </w:r>
      <w:r w:rsidR="00290A54">
        <w:fldChar w:fldCharType="separate"/>
      </w:r>
      <w:r w:rsidR="00F21D3F" w:rsidRPr="00290A54">
        <w:rPr>
          <w:noProof/>
          <w:lang w:val="bg-BG"/>
        </w:rPr>
        <w:t>в</w:t>
      </w:r>
      <w:r w:rsidR="00290A54">
        <w:rPr>
          <w:noProof/>
        </w:rPr>
        <w:fldChar w:fldCharType="end"/>
      </w:r>
      <w:r w:rsidRPr="00290A54">
        <w:rPr>
          <w:lang w:val="bg-BG"/>
        </w:rPr>
        <w:t xml:space="preserve">)  придобиване на българско гражданство (членове 33 и 35 от Закона за българското гражданство от 1998 г. и член 41, </w:t>
      </w:r>
      <w:r w:rsidR="00715E0E">
        <w:rPr>
          <w:lang w:val="bg-BG"/>
        </w:rPr>
        <w:t>ал.</w:t>
      </w:r>
      <w:r w:rsidRPr="00290A54">
        <w:rPr>
          <w:lang w:val="bg-BG"/>
        </w:rPr>
        <w:t xml:space="preserve"> 1, точка 3 от Закона от 2007 г.);</w:t>
      </w:r>
    </w:p>
    <w:p w14:paraId="229DC5CC" w14:textId="77777777" w:rsidR="00304BC9" w:rsidRPr="00FE0C4F" w:rsidRDefault="000F3485" w:rsidP="00304BC9">
      <w:pPr>
        <w:pStyle w:val="JuPara"/>
        <w:rPr>
          <w:lang w:val="bg-BG"/>
        </w:rPr>
      </w:pPr>
      <w:r w:rsidRPr="00FE0C4F">
        <w:rPr>
          <w:lang w:val="bg-BG"/>
        </w:rPr>
        <w:t>(</w:t>
      </w:r>
      <w:r w:rsidR="00FE0C4F">
        <w:fldChar w:fldCharType="begin"/>
      </w:r>
      <w:r w:rsidR="00FE0C4F" w:rsidRPr="00FE0C4F">
        <w:rPr>
          <w:lang w:val="bg-BG"/>
        </w:rPr>
        <w:instrText xml:space="preserve"> </w:instrText>
      </w:r>
      <w:r w:rsidR="00FE0C4F">
        <w:instrText>SEQ</w:instrText>
      </w:r>
      <w:r w:rsidR="00FE0C4F" w:rsidRPr="00FE0C4F">
        <w:rPr>
          <w:lang w:val="bg-BG"/>
        </w:rPr>
        <w:instrText xml:space="preserve"> </w:instrText>
      </w:r>
      <w:r w:rsidR="00FE0C4F">
        <w:instrText>level</w:instrText>
      </w:r>
      <w:r w:rsidR="00FE0C4F" w:rsidRPr="00FE0C4F">
        <w:rPr>
          <w:lang w:val="bg-BG"/>
        </w:rPr>
        <w:instrText>1 \*</w:instrText>
      </w:r>
      <w:r w:rsidR="00FE0C4F">
        <w:instrText>alphabetic</w:instrText>
      </w:r>
      <w:r w:rsidR="00FE0C4F" w:rsidRPr="00FE0C4F">
        <w:rPr>
          <w:lang w:val="bg-BG"/>
        </w:rPr>
        <w:instrText xml:space="preserve"> \* </w:instrText>
      </w:r>
      <w:r w:rsidR="00FE0C4F">
        <w:instrText>MERGEFORMAT</w:instrText>
      </w:r>
      <w:r w:rsidR="00FE0C4F" w:rsidRPr="00FE0C4F">
        <w:rPr>
          <w:lang w:val="bg-BG"/>
        </w:rPr>
        <w:instrText xml:space="preserve"> </w:instrText>
      </w:r>
      <w:r w:rsidR="00FE0C4F">
        <w:fldChar w:fldCharType="separate"/>
      </w:r>
      <w:r w:rsidR="00F21D3F" w:rsidRPr="00FE0C4F">
        <w:rPr>
          <w:noProof/>
          <w:lang w:val="bg-BG"/>
        </w:rPr>
        <w:t>г</w:t>
      </w:r>
      <w:r w:rsidR="00FE0C4F">
        <w:rPr>
          <w:noProof/>
        </w:rPr>
        <w:fldChar w:fldCharType="end"/>
      </w:r>
      <w:r w:rsidRPr="00FE0C4F">
        <w:rPr>
          <w:lang w:val="bg-BG"/>
        </w:rPr>
        <w:t>)  проверка за сигурност за достъп до определени видове класифицирана информация (членове 11, 12, 14, 48–49 от Закона за защита на класифицираната информация от 2002 г.);</w:t>
      </w:r>
    </w:p>
    <w:p w14:paraId="19B9EB58" w14:textId="18647DE2" w:rsidR="00304BC9" w:rsidRPr="00FE0C4F" w:rsidRDefault="00FE0C4F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1 \*</w:instrText>
      </w:r>
      <w:r>
        <w:instrText>alphabetic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д</w:t>
      </w:r>
      <w:r>
        <w:rPr>
          <w:noProof/>
        </w:rPr>
        <w:fldChar w:fldCharType="end"/>
      </w:r>
      <w:r w:rsidR="000F3485" w:rsidRPr="00FE0C4F">
        <w:rPr>
          <w:lang w:val="bg-BG"/>
        </w:rPr>
        <w:t>)  миграционен контрол, както и експулсиране и свързано с това задържане на чужденци (член</w:t>
      </w:r>
      <w:r w:rsidR="004824B4">
        <w:rPr>
          <w:lang w:val="bg-BG"/>
        </w:rPr>
        <w:t>ове</w:t>
      </w:r>
      <w:r w:rsidR="000F3485" w:rsidRPr="00FE0C4F">
        <w:rPr>
          <w:lang w:val="bg-BG"/>
        </w:rPr>
        <w:t xml:space="preserve"> 22, </w:t>
      </w:r>
      <w:r w:rsidR="00715E0E">
        <w:rPr>
          <w:lang w:val="bg-BG"/>
        </w:rPr>
        <w:t>ал.</w:t>
      </w:r>
      <w:r w:rsidR="000F3485" w:rsidRPr="00FE0C4F">
        <w:rPr>
          <w:lang w:val="bg-BG"/>
        </w:rPr>
        <w:t xml:space="preserve"> 4, 24в, </w:t>
      </w:r>
      <w:r w:rsidR="004824B4">
        <w:rPr>
          <w:lang w:val="bg-BG"/>
        </w:rPr>
        <w:t>ал.</w:t>
      </w:r>
      <w:r w:rsidR="000F3485" w:rsidRPr="00FE0C4F">
        <w:rPr>
          <w:lang w:val="bg-BG"/>
        </w:rPr>
        <w:t xml:space="preserve"> 17, 24и, </w:t>
      </w:r>
      <w:r w:rsidR="004824B4">
        <w:rPr>
          <w:lang w:val="bg-BG"/>
        </w:rPr>
        <w:t>ал.</w:t>
      </w:r>
      <w:r w:rsidR="000F3485" w:rsidRPr="00FE0C4F">
        <w:rPr>
          <w:lang w:val="bg-BG"/>
        </w:rPr>
        <w:t xml:space="preserve"> 11, 24и, </w:t>
      </w:r>
      <w:r w:rsidR="004824B4">
        <w:rPr>
          <w:lang w:val="bg-BG"/>
        </w:rPr>
        <w:t>ал.</w:t>
      </w:r>
      <w:r w:rsidR="000F3485" w:rsidRPr="00FE0C4F">
        <w:rPr>
          <w:lang w:val="bg-BG"/>
        </w:rPr>
        <w:t xml:space="preserve"> 6, 33з, </w:t>
      </w:r>
      <w:r w:rsidR="004824B4">
        <w:rPr>
          <w:lang w:val="bg-BG"/>
        </w:rPr>
        <w:t>ал.</w:t>
      </w:r>
      <w:r w:rsidR="004824B4" w:rsidRPr="00FE0C4F">
        <w:rPr>
          <w:lang w:val="bg-BG"/>
        </w:rPr>
        <w:t xml:space="preserve"> 1, 33кк, ал. 8, 33п, ал.</w:t>
      </w:r>
      <w:r w:rsidR="000F3485" w:rsidRPr="00FE0C4F">
        <w:rPr>
          <w:lang w:val="bg-BG"/>
        </w:rPr>
        <w:t xml:space="preserve"> 9, 42ж и 44 от Закона за чужденците </w:t>
      </w:r>
      <w:r w:rsidR="00E4568C">
        <w:rPr>
          <w:lang w:val="bg-BG"/>
        </w:rPr>
        <w:t xml:space="preserve">в Република България </w:t>
      </w:r>
      <w:r w:rsidR="000F3485" w:rsidRPr="00FE0C4F">
        <w:rPr>
          <w:lang w:val="bg-BG"/>
        </w:rPr>
        <w:t xml:space="preserve">от 1998 г. и член 41, </w:t>
      </w:r>
      <w:r w:rsidR="006A4BCC">
        <w:rPr>
          <w:lang w:val="bg-BG"/>
        </w:rPr>
        <w:t>ал.</w:t>
      </w:r>
      <w:r w:rsidR="000F3485" w:rsidRPr="00FE0C4F">
        <w:rPr>
          <w:lang w:val="bg-BG"/>
        </w:rPr>
        <w:t xml:space="preserve"> 1, точки 2 и 3 от Закона от 2007 г.);</w:t>
      </w:r>
    </w:p>
    <w:p w14:paraId="0C864658" w14:textId="14EA4AB0" w:rsidR="00304BC9" w:rsidRPr="00FE0C4F" w:rsidRDefault="000F3485" w:rsidP="00304BC9">
      <w:pPr>
        <w:pStyle w:val="JuPara"/>
        <w:rPr>
          <w:lang w:val="bg-BG"/>
        </w:rPr>
      </w:pPr>
      <w:r w:rsidRPr="00FE0C4F">
        <w:rPr>
          <w:lang w:val="bg-BG"/>
        </w:rPr>
        <w:t>(</w:t>
      </w:r>
      <w:r w:rsidR="00FE0C4F">
        <w:fldChar w:fldCharType="begin"/>
      </w:r>
      <w:r w:rsidR="00FE0C4F" w:rsidRPr="00FE0C4F">
        <w:rPr>
          <w:lang w:val="bg-BG"/>
        </w:rPr>
        <w:instrText xml:space="preserve"> </w:instrText>
      </w:r>
      <w:r w:rsidR="00FE0C4F">
        <w:instrText>SEQ</w:instrText>
      </w:r>
      <w:r w:rsidR="00FE0C4F" w:rsidRPr="00FE0C4F">
        <w:rPr>
          <w:lang w:val="bg-BG"/>
        </w:rPr>
        <w:instrText xml:space="preserve"> </w:instrText>
      </w:r>
      <w:r w:rsidR="00FE0C4F">
        <w:instrText>level</w:instrText>
      </w:r>
      <w:r w:rsidR="00FE0C4F" w:rsidRPr="00FE0C4F">
        <w:rPr>
          <w:lang w:val="bg-BG"/>
        </w:rPr>
        <w:instrText>1 \*</w:instrText>
      </w:r>
      <w:r w:rsidR="00FE0C4F">
        <w:instrText>alphabetic</w:instrText>
      </w:r>
      <w:r w:rsidR="00FE0C4F" w:rsidRPr="00FE0C4F">
        <w:rPr>
          <w:lang w:val="bg-BG"/>
        </w:rPr>
        <w:instrText xml:space="preserve"> \* </w:instrText>
      </w:r>
      <w:r w:rsidR="00FE0C4F">
        <w:instrText>MERGEFORMAT</w:instrText>
      </w:r>
      <w:r w:rsidR="00FE0C4F" w:rsidRPr="00FE0C4F">
        <w:rPr>
          <w:lang w:val="bg-BG"/>
        </w:rPr>
        <w:instrText xml:space="preserve"> </w:instrText>
      </w:r>
      <w:r w:rsidR="00FE0C4F">
        <w:fldChar w:fldCharType="separate"/>
      </w:r>
      <w:r w:rsidR="00F21D3F" w:rsidRPr="00FE0C4F">
        <w:rPr>
          <w:noProof/>
          <w:lang w:val="bg-BG"/>
        </w:rPr>
        <w:t>е</w:t>
      </w:r>
      <w:r w:rsidR="00FE0C4F">
        <w:rPr>
          <w:noProof/>
        </w:rPr>
        <w:fldChar w:fldCharType="end"/>
      </w:r>
      <w:r w:rsidRPr="00FE0C4F">
        <w:rPr>
          <w:lang w:val="bg-BG"/>
        </w:rPr>
        <w:t>)  предоставянето на убежище или хуманитарна закрила (</w:t>
      </w:r>
      <w:r w:rsidR="006A4BCC">
        <w:rPr>
          <w:lang w:val="bg-BG"/>
        </w:rPr>
        <w:t>чл.</w:t>
      </w:r>
      <w:r w:rsidRPr="00FE0C4F">
        <w:rPr>
          <w:lang w:val="bg-BG"/>
        </w:rPr>
        <w:t xml:space="preserve"> 58, </w:t>
      </w:r>
      <w:r w:rsidR="006A4BCC">
        <w:rPr>
          <w:lang w:val="bg-BG"/>
        </w:rPr>
        <w:t>ал.</w:t>
      </w:r>
      <w:r w:rsidRPr="00FE0C4F">
        <w:rPr>
          <w:lang w:val="bg-BG"/>
        </w:rPr>
        <w:t xml:space="preserve"> 10 от Закона за </w:t>
      </w:r>
      <w:r w:rsidR="00E4568C" w:rsidRPr="00FE0C4F">
        <w:rPr>
          <w:lang w:val="bg-BG"/>
        </w:rPr>
        <w:t xml:space="preserve">убежището и </w:t>
      </w:r>
      <w:r w:rsidRPr="00FE0C4F">
        <w:rPr>
          <w:lang w:val="bg-BG"/>
        </w:rPr>
        <w:t xml:space="preserve">бежанците от 2002 г. и </w:t>
      </w:r>
      <w:r w:rsidR="006A4BCC">
        <w:rPr>
          <w:lang w:val="bg-BG"/>
        </w:rPr>
        <w:t>чл.</w:t>
      </w:r>
      <w:r w:rsidR="006A4BCC" w:rsidRPr="00FE0C4F">
        <w:rPr>
          <w:lang w:val="bg-BG"/>
        </w:rPr>
        <w:t xml:space="preserve"> 41, ал.</w:t>
      </w:r>
      <w:r w:rsidRPr="00FE0C4F">
        <w:rPr>
          <w:lang w:val="bg-BG"/>
        </w:rPr>
        <w:t xml:space="preserve"> 1, точка 1 от Закона от 2007 г.);</w:t>
      </w:r>
    </w:p>
    <w:p w14:paraId="16455A5D" w14:textId="0E508886" w:rsidR="00304BC9" w:rsidRPr="00FE0C4F" w:rsidRDefault="000F3485" w:rsidP="00304BC9">
      <w:pPr>
        <w:pStyle w:val="JuPara"/>
        <w:rPr>
          <w:lang w:val="bg-BG"/>
        </w:rPr>
      </w:pPr>
      <w:r w:rsidRPr="00FE0C4F">
        <w:rPr>
          <w:lang w:val="bg-BG"/>
        </w:rPr>
        <w:t>(</w:t>
      </w:r>
      <w:r w:rsidR="00FE0C4F">
        <w:fldChar w:fldCharType="begin"/>
      </w:r>
      <w:r w:rsidR="00FE0C4F" w:rsidRPr="00FE0C4F">
        <w:rPr>
          <w:lang w:val="bg-BG"/>
        </w:rPr>
        <w:instrText xml:space="preserve"> </w:instrText>
      </w:r>
      <w:r w:rsidR="00FE0C4F">
        <w:instrText>SEQ</w:instrText>
      </w:r>
      <w:r w:rsidR="00FE0C4F" w:rsidRPr="00FE0C4F">
        <w:rPr>
          <w:lang w:val="bg-BG"/>
        </w:rPr>
        <w:instrText xml:space="preserve"> </w:instrText>
      </w:r>
      <w:r w:rsidR="00FE0C4F">
        <w:instrText>level</w:instrText>
      </w:r>
      <w:r w:rsidR="00FE0C4F" w:rsidRPr="00FE0C4F">
        <w:rPr>
          <w:lang w:val="bg-BG"/>
        </w:rPr>
        <w:instrText>1 \*</w:instrText>
      </w:r>
      <w:r w:rsidR="00FE0C4F">
        <w:instrText>alphabetic</w:instrText>
      </w:r>
      <w:r w:rsidR="00FE0C4F" w:rsidRPr="00FE0C4F">
        <w:rPr>
          <w:lang w:val="bg-BG"/>
        </w:rPr>
        <w:instrText xml:space="preserve"> \* </w:instrText>
      </w:r>
      <w:r w:rsidR="00FE0C4F">
        <w:instrText>MERGEFORMAT</w:instrText>
      </w:r>
      <w:r w:rsidR="00FE0C4F" w:rsidRPr="00FE0C4F">
        <w:rPr>
          <w:lang w:val="bg-BG"/>
        </w:rPr>
        <w:instrText xml:space="preserve"> </w:instrText>
      </w:r>
      <w:r w:rsidR="00FE0C4F">
        <w:fldChar w:fldCharType="separate"/>
      </w:r>
      <w:r w:rsidR="00F21D3F" w:rsidRPr="00FE0C4F">
        <w:rPr>
          <w:noProof/>
          <w:lang w:val="bg-BG"/>
        </w:rPr>
        <w:t>ж</w:t>
      </w:r>
      <w:r w:rsidR="00FE0C4F">
        <w:rPr>
          <w:noProof/>
        </w:rPr>
        <w:fldChar w:fldCharType="end"/>
      </w:r>
      <w:r w:rsidRPr="00FE0C4F">
        <w:rPr>
          <w:lang w:val="bg-BG"/>
        </w:rPr>
        <w:t>)  защитата на</w:t>
      </w:r>
      <w:r w:rsidR="003E29AD" w:rsidRPr="00FE0C4F">
        <w:rPr>
          <w:lang w:val="bg-BG"/>
        </w:rPr>
        <w:t xml:space="preserve"> ядрени съоръжения (членове 112</w:t>
      </w:r>
      <w:r w:rsidR="003E29AD">
        <w:rPr>
          <w:lang w:val="bg-BG"/>
        </w:rPr>
        <w:t>–</w:t>
      </w:r>
      <w:r w:rsidRPr="00FE0C4F">
        <w:rPr>
          <w:lang w:val="bg-BG"/>
        </w:rPr>
        <w:t xml:space="preserve">14 от Закона за </w:t>
      </w:r>
      <w:r w:rsidR="00256F81">
        <w:rPr>
          <w:lang w:val="bg-BG"/>
        </w:rPr>
        <w:t>безопасно</w:t>
      </w:r>
      <w:r w:rsidRPr="00FE0C4F">
        <w:rPr>
          <w:lang w:val="bg-BG"/>
        </w:rPr>
        <w:t xml:space="preserve"> използване на ядрената енергия от 2002 г.); и</w:t>
      </w:r>
    </w:p>
    <w:p w14:paraId="7DA864B1" w14:textId="56F84DBD" w:rsidR="00304BC9" w:rsidRPr="00FE0C4F" w:rsidRDefault="000F3485" w:rsidP="00304BC9">
      <w:pPr>
        <w:pStyle w:val="JuPara"/>
        <w:rPr>
          <w:rFonts w:eastAsia="Times New Roman" w:cstheme="minorHAnsi"/>
          <w:b/>
          <w:bCs/>
          <w:color w:val="565656"/>
          <w:lang w:val="bg-BG" w:eastAsia="fr-FR" w:bidi="lo-LA"/>
        </w:rPr>
      </w:pPr>
      <w:r w:rsidRPr="00FE0C4F">
        <w:rPr>
          <w:lang w:val="bg-BG"/>
        </w:rPr>
        <w:t>(</w:t>
      </w:r>
      <w:r w:rsidR="00FE0C4F">
        <w:fldChar w:fldCharType="begin"/>
      </w:r>
      <w:r w:rsidR="00FE0C4F" w:rsidRPr="00FE0C4F">
        <w:rPr>
          <w:lang w:val="bg-BG"/>
        </w:rPr>
        <w:instrText xml:space="preserve"> </w:instrText>
      </w:r>
      <w:r w:rsidR="00FE0C4F">
        <w:instrText>SEQ</w:instrText>
      </w:r>
      <w:r w:rsidR="00FE0C4F" w:rsidRPr="00FE0C4F">
        <w:rPr>
          <w:lang w:val="bg-BG"/>
        </w:rPr>
        <w:instrText xml:space="preserve"> </w:instrText>
      </w:r>
      <w:r w:rsidR="00FE0C4F">
        <w:instrText>level</w:instrText>
      </w:r>
      <w:r w:rsidR="00FE0C4F" w:rsidRPr="00FE0C4F">
        <w:rPr>
          <w:lang w:val="bg-BG"/>
        </w:rPr>
        <w:instrText>1 \*</w:instrText>
      </w:r>
      <w:r w:rsidR="00FE0C4F">
        <w:instrText>alphabetic</w:instrText>
      </w:r>
      <w:r w:rsidR="00FE0C4F" w:rsidRPr="00FE0C4F">
        <w:rPr>
          <w:lang w:val="bg-BG"/>
        </w:rPr>
        <w:instrText xml:space="preserve"> \* </w:instrText>
      </w:r>
      <w:r w:rsidR="00FE0C4F">
        <w:instrText>MERGEFORMAT</w:instrText>
      </w:r>
      <w:r w:rsidR="00FE0C4F" w:rsidRPr="00FE0C4F">
        <w:rPr>
          <w:lang w:val="bg-BG"/>
        </w:rPr>
        <w:instrText xml:space="preserve"> </w:instrText>
      </w:r>
      <w:r w:rsidR="00FE0C4F">
        <w:fldChar w:fldCharType="separate"/>
      </w:r>
      <w:r w:rsidR="00F21D3F" w:rsidRPr="00FE0C4F">
        <w:rPr>
          <w:noProof/>
          <w:lang w:val="bg-BG"/>
        </w:rPr>
        <w:t>з</w:t>
      </w:r>
      <w:r w:rsidR="00FE0C4F">
        <w:rPr>
          <w:noProof/>
        </w:rPr>
        <w:fldChar w:fldCharType="end"/>
      </w:r>
      <w:r w:rsidRPr="00FE0C4F">
        <w:rPr>
          <w:lang w:val="bg-BG"/>
        </w:rPr>
        <w:t xml:space="preserve">)  киберсигурност (член </w:t>
      </w:r>
      <w:r w:rsidR="009E361C">
        <w:rPr>
          <w:lang w:val="bg-BG"/>
        </w:rPr>
        <w:t>15 от Закона за киберсигурност</w:t>
      </w:r>
      <w:r w:rsidRPr="00FE0C4F">
        <w:rPr>
          <w:lang w:val="bg-BG"/>
        </w:rPr>
        <w:t xml:space="preserve"> от 2018 г.).</w:t>
      </w:r>
    </w:p>
    <w:bookmarkStart w:id="87" w:name="RLF_SANSA_SANS_tasks_ter"/>
    <w:p w14:paraId="402BE25F" w14:textId="3A16992B" w:rsidR="00304BC9" w:rsidRPr="009C47B4" w:rsidRDefault="000F3485" w:rsidP="00304BC9">
      <w:pPr>
        <w:pStyle w:val="JuPara"/>
        <w:rPr>
          <w:lang w:val="bg-BG"/>
        </w:rPr>
      </w:pPr>
      <w:r w:rsidRPr="00625CAB">
        <w:lastRenderedPageBreak/>
        <w:fldChar w:fldCharType="begin"/>
      </w:r>
      <w:r w:rsidRPr="00FE0C4F">
        <w:rPr>
          <w:lang w:val="bg-BG"/>
        </w:rPr>
        <w:instrText xml:space="preserve"> </w:instrText>
      </w:r>
      <w:r w:rsidRPr="00625CAB">
        <w:instrText>SEQ</w:instrText>
      </w:r>
      <w:r w:rsidRPr="00FE0C4F">
        <w:rPr>
          <w:lang w:val="bg-BG"/>
        </w:rPr>
        <w:instrText xml:space="preserve"> </w:instrText>
      </w:r>
      <w:r w:rsidRPr="00625CAB">
        <w:instrText>level</w:instrText>
      </w:r>
      <w:r w:rsidRPr="00FE0C4F">
        <w:rPr>
          <w:lang w:val="bg-BG"/>
        </w:rPr>
        <w:instrText>0 \*</w:instrText>
      </w:r>
      <w:r w:rsidRPr="00625CAB">
        <w:instrText>arabic</w:instrText>
      </w:r>
      <w:r w:rsidRPr="00FE0C4F">
        <w:rPr>
          <w:lang w:val="bg-BG"/>
        </w:rPr>
        <w:instrText xml:space="preserve"> \* </w:instrText>
      </w:r>
      <w:r w:rsidRPr="00625CAB">
        <w:instrText>MERGEFORMAT</w:instrText>
      </w:r>
      <w:r w:rsidRPr="00FE0C4F">
        <w:rPr>
          <w:lang w:val="bg-BG"/>
        </w:rPr>
        <w:instrText xml:space="preserve"> </w:instrText>
      </w:r>
      <w:r w:rsidRPr="00625CAB">
        <w:fldChar w:fldCharType="separate"/>
      </w:r>
      <w:r w:rsidR="00F21D3F" w:rsidRPr="00FE0C4F">
        <w:rPr>
          <w:noProof/>
          <w:lang w:val="bg-BG"/>
        </w:rPr>
        <w:t>44</w:t>
      </w:r>
      <w:r w:rsidRPr="00625CAB">
        <w:fldChar w:fldCharType="end"/>
      </w:r>
      <w:bookmarkEnd w:id="87"/>
      <w:r w:rsidR="00041130">
        <w:rPr>
          <w:lang w:val="bg-BG"/>
        </w:rPr>
        <w:t xml:space="preserve">. </w:t>
      </w:r>
      <w:r w:rsidR="009C47B4">
        <w:rPr>
          <w:lang w:val="bg-BG"/>
        </w:rPr>
        <w:t>В</w:t>
      </w:r>
      <w:r w:rsidR="009C47B4" w:rsidRPr="009C47B4">
        <w:rPr>
          <w:lang w:val="bg-BG"/>
        </w:rPr>
        <w:t xml:space="preserve"> периода 2013-</w:t>
      </w:r>
      <w:r w:rsidRPr="009C47B4">
        <w:rPr>
          <w:lang w:val="bg-BG"/>
        </w:rPr>
        <w:t>2015</w:t>
      </w:r>
      <w:r w:rsidR="009C47B4">
        <w:rPr>
          <w:lang w:val="bg-BG"/>
        </w:rPr>
        <w:t xml:space="preserve"> г. Агенцията има</w:t>
      </w:r>
      <w:r w:rsidRPr="009C47B4">
        <w:rPr>
          <w:lang w:val="bg-BG"/>
        </w:rPr>
        <w:t xml:space="preserve"> също така задачата да разследва престъпления, свързани</w:t>
      </w:r>
      <w:r w:rsidR="007D0EDE">
        <w:rPr>
          <w:lang w:val="bg-BG"/>
        </w:rPr>
        <w:t xml:space="preserve"> с националната сигурност (чл. </w:t>
      </w:r>
      <w:r w:rsidRPr="009C47B4">
        <w:rPr>
          <w:lang w:val="bg-BG"/>
        </w:rPr>
        <w:t xml:space="preserve">4, </w:t>
      </w:r>
      <w:r w:rsidR="009C47B4">
        <w:rPr>
          <w:lang w:val="bg-BG"/>
        </w:rPr>
        <w:t>ал.</w:t>
      </w:r>
      <w:r w:rsidRPr="009C47B4">
        <w:rPr>
          <w:lang w:val="bg-BG"/>
        </w:rPr>
        <w:t xml:space="preserve"> 6 от Закона от 2007 г., добавен през </w:t>
      </w:r>
      <w:r w:rsidR="007D0EDE">
        <w:rPr>
          <w:lang w:val="bg-BG"/>
        </w:rPr>
        <w:t xml:space="preserve">м. </w:t>
      </w:r>
      <w:r w:rsidRPr="009C47B4">
        <w:rPr>
          <w:lang w:val="bg-BG"/>
        </w:rPr>
        <w:t xml:space="preserve">юни 2013 г. и отменен през </w:t>
      </w:r>
      <w:r w:rsidR="007D0EDE">
        <w:rPr>
          <w:lang w:val="bg-BG"/>
        </w:rPr>
        <w:t xml:space="preserve">м. </w:t>
      </w:r>
      <w:r w:rsidRPr="009C47B4">
        <w:rPr>
          <w:lang w:val="bg-BG"/>
        </w:rPr>
        <w:t>февруари 2015 г.).</w:t>
      </w:r>
    </w:p>
    <w:bookmarkStart w:id="88" w:name="RLF_SANSA_SANS_powers"/>
    <w:p w14:paraId="6E982AF4" w14:textId="7DFC06DA" w:rsidR="00304BC9" w:rsidRPr="003511A9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3511A9">
        <w:rPr>
          <w:lang w:val="bg-BG"/>
        </w:rPr>
        <w:instrText xml:space="preserve"> </w:instrText>
      </w:r>
      <w:r w:rsidRPr="00625CAB">
        <w:instrText>SEQ</w:instrText>
      </w:r>
      <w:r w:rsidRPr="003511A9">
        <w:rPr>
          <w:lang w:val="bg-BG"/>
        </w:rPr>
        <w:instrText xml:space="preserve"> </w:instrText>
      </w:r>
      <w:r w:rsidRPr="00625CAB">
        <w:instrText>level</w:instrText>
      </w:r>
      <w:r w:rsidRPr="003511A9">
        <w:rPr>
          <w:lang w:val="bg-BG"/>
        </w:rPr>
        <w:instrText>0 \*</w:instrText>
      </w:r>
      <w:r w:rsidRPr="00625CAB">
        <w:instrText>arabic</w:instrText>
      </w:r>
      <w:r w:rsidRPr="003511A9">
        <w:rPr>
          <w:lang w:val="bg-BG"/>
        </w:rPr>
        <w:instrText xml:space="preserve"> \* </w:instrText>
      </w:r>
      <w:r w:rsidRPr="00625CAB">
        <w:instrText>MERGEFORMAT</w:instrText>
      </w:r>
      <w:r w:rsidRPr="003511A9">
        <w:rPr>
          <w:lang w:val="bg-BG"/>
        </w:rPr>
        <w:instrText xml:space="preserve"> </w:instrText>
      </w:r>
      <w:r w:rsidRPr="00625CAB">
        <w:fldChar w:fldCharType="separate"/>
      </w:r>
      <w:r w:rsidR="00F21D3F" w:rsidRPr="003511A9">
        <w:rPr>
          <w:noProof/>
          <w:lang w:val="bg-BG"/>
        </w:rPr>
        <w:t>45</w:t>
      </w:r>
      <w:r w:rsidRPr="00625CAB">
        <w:fldChar w:fldCharType="end"/>
      </w:r>
      <w:bookmarkEnd w:id="88"/>
      <w:r w:rsidR="00041130" w:rsidRPr="003511A9">
        <w:rPr>
          <w:lang w:val="bg-BG"/>
        </w:rPr>
        <w:t>.</w:t>
      </w:r>
      <w:r w:rsidR="00041130">
        <w:t> </w:t>
      </w:r>
      <w:r w:rsidRPr="003511A9">
        <w:rPr>
          <w:lang w:val="bg-BG"/>
        </w:rPr>
        <w:t>Двете основни области на дейност на Агенцията са събирането и анализирането на разузнавателна информация (членове 18</w:t>
      </w:r>
      <w:r w:rsidR="009C47B4">
        <w:rPr>
          <w:lang w:val="bg-BG"/>
        </w:rPr>
        <w:t>-</w:t>
      </w:r>
      <w:r w:rsidRPr="003511A9">
        <w:rPr>
          <w:lang w:val="bg-BG"/>
        </w:rPr>
        <w:t>20 и 28</w:t>
      </w:r>
      <w:r w:rsidR="009C47B4">
        <w:rPr>
          <w:lang w:val="bg-BG"/>
        </w:rPr>
        <w:t>-</w:t>
      </w:r>
      <w:r w:rsidRPr="003511A9">
        <w:rPr>
          <w:lang w:val="bg-BG"/>
        </w:rPr>
        <w:t>29 от Закона от 2007 г.). По-специално, тя може да извършва анализ, прогнозиране и контрол на информацията (</w:t>
      </w:r>
      <w:r w:rsidRPr="00F4076B">
        <w:rPr>
          <w:i/>
          <w:iCs/>
          <w:lang w:val="bg-BG"/>
        </w:rPr>
        <w:t>прогностична [</w:t>
      </w:r>
      <w:r w:rsidRPr="003A6C5F">
        <w:rPr>
          <w:i/>
          <w:iCs/>
          <w:lang w:val="bg-BG"/>
        </w:rPr>
        <w:t>и</w:t>
      </w:r>
      <w:r w:rsidRPr="00F4076B">
        <w:rPr>
          <w:i/>
          <w:iCs/>
          <w:lang w:val="bg-BG"/>
        </w:rPr>
        <w:t>] контролна дейност</w:t>
      </w:r>
      <w:r w:rsidRPr="003511A9">
        <w:rPr>
          <w:lang w:val="bg-BG"/>
        </w:rPr>
        <w:t>), като използва собствена информация или информация, получена от други органи, която е от значение</w:t>
      </w:r>
      <w:r w:rsidR="00593182">
        <w:rPr>
          <w:lang w:val="bg-BG"/>
        </w:rPr>
        <w:t xml:space="preserve"> за националната сигурност (чл.</w:t>
      </w:r>
      <w:r w:rsidRPr="003511A9">
        <w:rPr>
          <w:lang w:val="bg-BG"/>
        </w:rPr>
        <w:t xml:space="preserve"> 4, </w:t>
      </w:r>
      <w:r w:rsidR="009C47B4">
        <w:rPr>
          <w:lang w:val="bg-BG"/>
        </w:rPr>
        <w:t>ал.</w:t>
      </w:r>
      <w:r w:rsidRPr="003511A9">
        <w:rPr>
          <w:lang w:val="bg-BG"/>
        </w:rPr>
        <w:t xml:space="preserve"> 3). Тя може да наблюда</w:t>
      </w:r>
      <w:r w:rsidR="00593182">
        <w:rPr>
          <w:lang w:val="bg-BG"/>
        </w:rPr>
        <w:t>ва лица, обекти и дейности (чл.</w:t>
      </w:r>
      <w:r w:rsidRPr="003511A9">
        <w:rPr>
          <w:lang w:val="bg-BG"/>
        </w:rPr>
        <w:t xml:space="preserve"> 5).</w:t>
      </w:r>
    </w:p>
    <w:bookmarkStart w:id="89" w:name="RLF_SANSA_SANS_powers_bis"/>
    <w:p w14:paraId="5EB4C7AD" w14:textId="235BDC7A" w:rsidR="00304BC9" w:rsidRPr="00D81804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3511A9">
        <w:rPr>
          <w:lang w:val="bg-BG"/>
        </w:rPr>
        <w:instrText xml:space="preserve"> </w:instrText>
      </w:r>
      <w:r w:rsidRPr="00625CAB">
        <w:instrText>SEQ</w:instrText>
      </w:r>
      <w:r w:rsidRPr="003511A9">
        <w:rPr>
          <w:lang w:val="bg-BG"/>
        </w:rPr>
        <w:instrText xml:space="preserve"> </w:instrText>
      </w:r>
      <w:r w:rsidRPr="00625CAB">
        <w:instrText>level</w:instrText>
      </w:r>
      <w:r w:rsidRPr="003511A9">
        <w:rPr>
          <w:lang w:val="bg-BG"/>
        </w:rPr>
        <w:instrText>0 \*</w:instrText>
      </w:r>
      <w:r w:rsidRPr="00625CAB">
        <w:instrText>arabic</w:instrText>
      </w:r>
      <w:r w:rsidRPr="003511A9">
        <w:rPr>
          <w:lang w:val="bg-BG"/>
        </w:rPr>
        <w:instrText xml:space="preserve"> \* </w:instrText>
      </w:r>
      <w:r w:rsidRPr="00625CAB">
        <w:instrText>MERGEFORMAT</w:instrText>
      </w:r>
      <w:r w:rsidRPr="003511A9">
        <w:rPr>
          <w:lang w:val="bg-BG"/>
        </w:rPr>
        <w:instrText xml:space="preserve"> </w:instrText>
      </w:r>
      <w:r w:rsidRPr="00625CAB">
        <w:fldChar w:fldCharType="separate"/>
      </w:r>
      <w:r w:rsidR="00F21D3F" w:rsidRPr="003511A9">
        <w:rPr>
          <w:noProof/>
          <w:lang w:val="bg-BG"/>
        </w:rPr>
        <w:t>46</w:t>
      </w:r>
      <w:r w:rsidRPr="00625CAB">
        <w:fldChar w:fldCharType="end"/>
      </w:r>
      <w:bookmarkEnd w:id="89"/>
      <w:r w:rsidR="00041130">
        <w:rPr>
          <w:lang w:val="bg-BG"/>
        </w:rPr>
        <w:t xml:space="preserve">. </w:t>
      </w:r>
      <w:r w:rsidRPr="00D81804">
        <w:rPr>
          <w:lang w:val="bg-BG"/>
        </w:rPr>
        <w:t>Агенцията може, наред с другото, (</w:t>
      </w:r>
      <w:r w:rsidR="002F2B60">
        <w:fldChar w:fldCharType="begin"/>
      </w:r>
      <w:r w:rsidR="002F2B60" w:rsidRPr="00D81804">
        <w:rPr>
          <w:lang w:val="bg-BG"/>
        </w:rPr>
        <w:instrText xml:space="preserve"> </w:instrText>
      </w:r>
      <w:r w:rsidR="002F2B60">
        <w:instrText>SEQ</w:instrText>
      </w:r>
      <w:r w:rsidR="002F2B60" w:rsidRPr="00D81804">
        <w:rPr>
          <w:lang w:val="bg-BG"/>
        </w:rPr>
        <w:instrText xml:space="preserve"> </w:instrText>
      </w:r>
      <w:r w:rsidR="002F2B60">
        <w:instrText>level</w:instrText>
      </w:r>
      <w:r w:rsidR="002F2B60" w:rsidRPr="00D81804">
        <w:rPr>
          <w:lang w:val="bg-BG"/>
        </w:rPr>
        <w:instrText>1 \*</w:instrText>
      </w:r>
      <w:r w:rsidR="002F2B60">
        <w:instrText>alphabetic</w:instrText>
      </w:r>
      <w:r w:rsidR="002F2B60" w:rsidRPr="00D81804">
        <w:rPr>
          <w:lang w:val="bg-BG"/>
        </w:rPr>
        <w:instrText xml:space="preserve"> \</w:instrText>
      </w:r>
      <w:r w:rsidR="002F2B60">
        <w:instrText>r</w:instrText>
      </w:r>
      <w:r w:rsidR="002F2B60" w:rsidRPr="00D81804">
        <w:rPr>
          <w:lang w:val="bg-BG"/>
        </w:rPr>
        <w:instrText xml:space="preserve">1 \* </w:instrText>
      </w:r>
      <w:r w:rsidR="002F2B60">
        <w:instrText>MERGEFORMAT</w:instrText>
      </w:r>
      <w:r w:rsidR="002F2B60" w:rsidRPr="00D81804">
        <w:rPr>
          <w:lang w:val="bg-BG"/>
        </w:rPr>
        <w:instrText xml:space="preserve"> </w:instrText>
      </w:r>
      <w:r w:rsidR="002F2B60">
        <w:fldChar w:fldCharType="separate"/>
      </w:r>
      <w:r w:rsidR="00F21D3F" w:rsidRPr="00D81804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D81804">
        <w:rPr>
          <w:lang w:val="bg-BG"/>
        </w:rPr>
        <w:t>) да извършва наблюдение, (</w:t>
      </w:r>
      <w:r w:rsidR="002F2B60">
        <w:fldChar w:fldCharType="begin"/>
      </w:r>
      <w:r w:rsidR="002F2B60" w:rsidRPr="00D81804">
        <w:rPr>
          <w:lang w:val="bg-BG"/>
        </w:rPr>
        <w:instrText xml:space="preserve"> </w:instrText>
      </w:r>
      <w:r w:rsidR="002F2B60">
        <w:instrText>SEQ</w:instrText>
      </w:r>
      <w:r w:rsidR="002F2B60" w:rsidRPr="00D81804">
        <w:rPr>
          <w:lang w:val="bg-BG"/>
        </w:rPr>
        <w:instrText xml:space="preserve"> </w:instrText>
      </w:r>
      <w:r w:rsidR="002F2B60">
        <w:instrText>level</w:instrText>
      </w:r>
      <w:r w:rsidR="002F2B60" w:rsidRPr="00D81804">
        <w:rPr>
          <w:lang w:val="bg-BG"/>
        </w:rPr>
        <w:instrText>1 \*</w:instrText>
      </w:r>
      <w:r w:rsidR="002F2B60">
        <w:instrText>alphabetic</w:instrText>
      </w:r>
      <w:r w:rsidR="002F2B60" w:rsidRPr="00D81804">
        <w:rPr>
          <w:lang w:val="bg-BG"/>
        </w:rPr>
        <w:instrText xml:space="preserve"> \* </w:instrText>
      </w:r>
      <w:r w:rsidR="002F2B60">
        <w:instrText>MERGEFORMAT</w:instrText>
      </w:r>
      <w:r w:rsidR="002F2B60" w:rsidRPr="00D81804">
        <w:rPr>
          <w:lang w:val="bg-BG"/>
        </w:rPr>
        <w:instrText xml:space="preserve"> </w:instrText>
      </w:r>
      <w:r w:rsidR="002F2B60">
        <w:fldChar w:fldCharType="separate"/>
      </w:r>
      <w:r w:rsidR="00F21D3F" w:rsidRPr="00D81804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D81804">
        <w:rPr>
          <w:lang w:val="bg-BG"/>
        </w:rPr>
        <w:t xml:space="preserve">) да внедрява </w:t>
      </w:r>
      <w:r w:rsidR="00636119" w:rsidRPr="00D81804">
        <w:rPr>
          <w:lang w:val="bg-BG"/>
        </w:rPr>
        <w:t>служители</w:t>
      </w:r>
      <w:r w:rsidRPr="00D81804">
        <w:rPr>
          <w:lang w:val="bg-BG"/>
        </w:rPr>
        <w:t xml:space="preserve"> в хода на своите операции и (</w:t>
      </w:r>
      <w:r w:rsidR="002F2B60">
        <w:fldChar w:fldCharType="begin"/>
      </w:r>
      <w:r w:rsidR="002F2B60" w:rsidRPr="00D81804">
        <w:rPr>
          <w:lang w:val="bg-BG"/>
        </w:rPr>
        <w:instrText xml:space="preserve"> </w:instrText>
      </w:r>
      <w:r w:rsidR="002F2B60">
        <w:instrText>SEQ</w:instrText>
      </w:r>
      <w:r w:rsidR="002F2B60" w:rsidRPr="00D81804">
        <w:rPr>
          <w:lang w:val="bg-BG"/>
        </w:rPr>
        <w:instrText xml:space="preserve"> </w:instrText>
      </w:r>
      <w:r w:rsidR="002F2B60">
        <w:instrText>level</w:instrText>
      </w:r>
      <w:r w:rsidR="002F2B60" w:rsidRPr="00D81804">
        <w:rPr>
          <w:lang w:val="bg-BG"/>
        </w:rPr>
        <w:instrText>1 \*</w:instrText>
      </w:r>
      <w:r w:rsidR="002F2B60">
        <w:instrText>alphabetic</w:instrText>
      </w:r>
      <w:r w:rsidR="002F2B60" w:rsidRPr="00D81804">
        <w:rPr>
          <w:lang w:val="bg-BG"/>
        </w:rPr>
        <w:instrText xml:space="preserve"> \* </w:instrText>
      </w:r>
      <w:r w:rsidR="002F2B60">
        <w:instrText>MERGEFORMAT</w:instrText>
      </w:r>
      <w:r w:rsidR="002F2B60" w:rsidRPr="00D81804">
        <w:rPr>
          <w:lang w:val="bg-BG"/>
        </w:rPr>
        <w:instrText xml:space="preserve"> </w:instrText>
      </w:r>
      <w:r w:rsidR="002F2B60">
        <w:fldChar w:fldCharType="separate"/>
      </w:r>
      <w:r w:rsidR="00F21D3F" w:rsidRPr="00D81804">
        <w:rPr>
          <w:noProof/>
          <w:lang w:val="bg-BG"/>
        </w:rPr>
        <w:t>в</w:t>
      </w:r>
      <w:r w:rsidR="002F2B60">
        <w:rPr>
          <w:noProof/>
        </w:rPr>
        <w:fldChar w:fldCharType="end"/>
      </w:r>
      <w:r w:rsidRPr="00D81804">
        <w:rPr>
          <w:lang w:val="bg-BG"/>
        </w:rPr>
        <w:t>) да използва юридически лица с нестопанска ц</w:t>
      </w:r>
      <w:r w:rsidR="00593182">
        <w:rPr>
          <w:lang w:val="bg-BG"/>
        </w:rPr>
        <w:t>ел или търговски дружества (чл.</w:t>
      </w:r>
      <w:r w:rsidRPr="00D81804">
        <w:rPr>
          <w:lang w:val="bg-BG"/>
        </w:rPr>
        <w:t xml:space="preserve"> 20, </w:t>
      </w:r>
      <w:r w:rsidR="00D81804">
        <w:rPr>
          <w:lang w:val="bg-BG"/>
        </w:rPr>
        <w:t>ал.</w:t>
      </w:r>
      <w:r w:rsidRPr="00D81804">
        <w:rPr>
          <w:lang w:val="bg-BG"/>
        </w:rPr>
        <w:t xml:space="preserve"> 1, точки 6, 12 и 20 от Закона от 2007 г.). Тя може да извършва всичко това чрез „специфични методи и техники“, „специални </w:t>
      </w:r>
      <w:r w:rsidR="005B5765">
        <w:rPr>
          <w:lang w:val="bg-BG"/>
        </w:rPr>
        <w:t xml:space="preserve">разузнавателни </w:t>
      </w:r>
      <w:r w:rsidRPr="00D81804">
        <w:rPr>
          <w:lang w:val="bg-BG"/>
        </w:rPr>
        <w:t>средства“ и лица, които сътрудничат на Агенцията (</w:t>
      </w:r>
      <w:r w:rsidR="00D81804">
        <w:rPr>
          <w:lang w:val="bg-BG"/>
        </w:rPr>
        <w:t>чл.</w:t>
      </w:r>
      <w:r w:rsidRPr="00D81804">
        <w:rPr>
          <w:lang w:val="bg-BG"/>
        </w:rPr>
        <w:t xml:space="preserve"> 20, </w:t>
      </w:r>
      <w:r w:rsidR="00D81804">
        <w:rPr>
          <w:lang w:val="bg-BG"/>
        </w:rPr>
        <w:t>ал.</w:t>
      </w:r>
      <w:r w:rsidRPr="00D81804">
        <w:rPr>
          <w:lang w:val="bg-BG"/>
        </w:rPr>
        <w:t xml:space="preserve"> 2).</w:t>
      </w:r>
    </w:p>
    <w:bookmarkStart w:id="90" w:name="RLF_SANSA_SANS_powers_special_means_surv"/>
    <w:p w14:paraId="585D2D8F" w14:textId="64A27D99" w:rsidR="00304BC9" w:rsidRPr="003511A9" w:rsidRDefault="000F3485" w:rsidP="00304BC9">
      <w:pPr>
        <w:pStyle w:val="JuPara"/>
        <w:rPr>
          <w:rFonts w:cstheme="minorHAnsi"/>
          <w:lang w:val="bg-BG"/>
        </w:rPr>
      </w:pPr>
      <w:r w:rsidRPr="00625CAB">
        <w:fldChar w:fldCharType="begin"/>
      </w:r>
      <w:r w:rsidRPr="003511A9">
        <w:rPr>
          <w:lang w:val="bg-BG"/>
        </w:rPr>
        <w:instrText xml:space="preserve"> </w:instrText>
      </w:r>
      <w:r w:rsidRPr="00625CAB">
        <w:instrText>SEQ</w:instrText>
      </w:r>
      <w:r w:rsidRPr="003511A9">
        <w:rPr>
          <w:lang w:val="bg-BG"/>
        </w:rPr>
        <w:instrText xml:space="preserve"> </w:instrText>
      </w:r>
      <w:r w:rsidRPr="00625CAB">
        <w:instrText>level</w:instrText>
      </w:r>
      <w:r w:rsidRPr="003511A9">
        <w:rPr>
          <w:lang w:val="bg-BG"/>
        </w:rPr>
        <w:instrText>0 \*</w:instrText>
      </w:r>
      <w:r w:rsidRPr="00625CAB">
        <w:instrText>arabic</w:instrText>
      </w:r>
      <w:r w:rsidRPr="003511A9">
        <w:rPr>
          <w:lang w:val="bg-BG"/>
        </w:rPr>
        <w:instrText xml:space="preserve"> \* </w:instrText>
      </w:r>
      <w:r w:rsidRPr="00625CAB">
        <w:instrText>MERGEFORMAT</w:instrText>
      </w:r>
      <w:r w:rsidRPr="003511A9">
        <w:rPr>
          <w:lang w:val="bg-BG"/>
        </w:rPr>
        <w:instrText xml:space="preserve"> </w:instrText>
      </w:r>
      <w:r w:rsidRPr="00625CAB">
        <w:fldChar w:fldCharType="separate"/>
      </w:r>
      <w:r w:rsidR="00F21D3F" w:rsidRPr="003511A9">
        <w:rPr>
          <w:noProof/>
          <w:lang w:val="bg-BG"/>
        </w:rPr>
        <w:t>47</w:t>
      </w:r>
      <w:r w:rsidRPr="00625CAB">
        <w:fldChar w:fldCharType="end"/>
      </w:r>
      <w:bookmarkEnd w:id="90"/>
      <w:r w:rsidR="00041130">
        <w:rPr>
          <w:lang w:val="bg-BG"/>
        </w:rPr>
        <w:t xml:space="preserve">. </w:t>
      </w:r>
      <w:r w:rsidRPr="003511A9">
        <w:rPr>
          <w:lang w:val="bg-BG"/>
        </w:rPr>
        <w:t>Член 21 от Закона от 2007 г. уточнява, че Агенцията разполага и може да използва „специални</w:t>
      </w:r>
      <w:r w:rsidR="00593182">
        <w:rPr>
          <w:lang w:val="bg-BG"/>
        </w:rPr>
        <w:t xml:space="preserve"> разузнавателни</w:t>
      </w:r>
      <w:r w:rsidRPr="003511A9">
        <w:rPr>
          <w:lang w:val="bg-BG"/>
        </w:rPr>
        <w:t xml:space="preserve"> средства“ при условията, определени в Закона от 1997 г. </w:t>
      </w:r>
      <w:r w:rsidRPr="003511A9">
        <w:rPr>
          <w:rFonts w:cstheme="minorHAnsi"/>
          <w:lang w:val="bg-BG"/>
        </w:rPr>
        <w:t>(вж. параграф</w:t>
      </w:r>
      <w:r w:rsidR="00041130">
        <w:rPr>
          <w:rFonts w:cstheme="minorHAnsi"/>
          <w:lang w:val="bg-BG"/>
        </w:rPr>
        <w:t xml:space="preserve"> </w:t>
      </w:r>
      <w:r>
        <w:rPr>
          <w:rFonts w:cstheme="minorHAnsi"/>
        </w:rPr>
        <w:fldChar w:fldCharType="begin"/>
      </w:r>
      <w:r w:rsidRPr="003511A9">
        <w:rPr>
          <w:rFonts w:cstheme="minorHAnsi"/>
          <w:lang w:val="bg-BG"/>
        </w:rPr>
        <w:instrText xml:space="preserve"> </w:instrText>
      </w:r>
      <w:r>
        <w:rPr>
          <w:rFonts w:cstheme="minorHAnsi"/>
        </w:rPr>
        <w:instrText>REF</w:instrText>
      </w:r>
      <w:r w:rsidRPr="003511A9">
        <w:rPr>
          <w:rFonts w:cstheme="minorHAnsi"/>
          <w:lang w:val="bg-BG"/>
        </w:rPr>
        <w:instrText xml:space="preserve">  </w:instrText>
      </w:r>
      <w:r>
        <w:rPr>
          <w:rFonts w:cstheme="minorHAnsi"/>
        </w:rPr>
        <w:instrText>RLF</w:instrText>
      </w:r>
      <w:r w:rsidRPr="003511A9">
        <w:rPr>
          <w:rFonts w:cstheme="minorHAnsi"/>
          <w:lang w:val="bg-BG"/>
        </w:rPr>
        <w:instrText>_</w:instrText>
      </w:r>
      <w:r>
        <w:rPr>
          <w:rFonts w:cstheme="minorHAnsi"/>
        </w:rPr>
        <w:instrText>SSMA</w:instrText>
      </w:r>
      <w:r w:rsidRPr="003511A9">
        <w:rPr>
          <w:rFonts w:cstheme="minorHAnsi"/>
          <w:lang w:val="bg-BG"/>
        </w:rPr>
        <w:instrText xml:space="preserve"> \</w:instrText>
      </w:r>
      <w:r>
        <w:rPr>
          <w:rFonts w:cstheme="minorHAnsi"/>
        </w:rPr>
        <w:instrText>h</w:instrText>
      </w:r>
      <w:r w:rsidRPr="003511A9">
        <w:rPr>
          <w:rFonts w:cstheme="minorHAnsi"/>
          <w:lang w:val="bg-BG"/>
        </w:rPr>
        <w:instrText xml:space="preserve">  \* </w:instrText>
      </w:r>
      <w:r>
        <w:rPr>
          <w:rFonts w:cstheme="minorHAnsi"/>
        </w:rPr>
        <w:instrText>MERGEFORMAT</w:instrText>
      </w:r>
      <w:r w:rsidRPr="003511A9">
        <w:rPr>
          <w:rFonts w:cstheme="minorHAnsi"/>
          <w:lang w:val="bg-BG"/>
        </w:rPr>
        <w:instrText xml:space="preserve">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F21D3F" w:rsidRPr="003511A9">
        <w:rPr>
          <w:lang w:val="bg-BG"/>
        </w:rPr>
        <w:t>73</w:t>
      </w:r>
      <w:r>
        <w:rPr>
          <w:rFonts w:cstheme="minorHAnsi"/>
        </w:rPr>
        <w:fldChar w:fldCharType="end"/>
      </w:r>
      <w:r w:rsidRPr="003511A9">
        <w:rPr>
          <w:rFonts w:cstheme="minorHAnsi"/>
          <w:lang w:val="bg-BG"/>
        </w:rPr>
        <w:t xml:space="preserve"> по-долу).</w:t>
      </w:r>
    </w:p>
    <w:p w14:paraId="09A9AE81" w14:textId="7E62DB9E" w:rsidR="00304BC9" w:rsidRPr="003511A9" w:rsidRDefault="000F3485" w:rsidP="00304BC9">
      <w:pPr>
        <w:pStyle w:val="JuHA"/>
        <w:rPr>
          <w:lang w:val="bg-BG"/>
        </w:rPr>
      </w:pPr>
      <w:bookmarkStart w:id="91" w:name="_Toc232688260"/>
      <w:r w:rsidRPr="003511A9">
        <w:rPr>
          <w:lang w:val="bg-BG"/>
        </w:rPr>
        <w:t>„</w:t>
      </w:r>
      <w:r w:rsidR="00636119" w:rsidRPr="003511A9">
        <w:rPr>
          <w:lang w:val="bg-BG"/>
        </w:rPr>
        <w:t>Служители</w:t>
      </w:r>
      <w:r w:rsidRPr="003511A9">
        <w:rPr>
          <w:lang w:val="bg-BG"/>
        </w:rPr>
        <w:t xml:space="preserve"> </w:t>
      </w:r>
      <w:r w:rsidR="005B5765">
        <w:rPr>
          <w:lang w:val="bg-BG"/>
        </w:rPr>
        <w:t>на</w:t>
      </w:r>
      <w:r w:rsidRPr="003511A9">
        <w:rPr>
          <w:lang w:val="bg-BG"/>
        </w:rPr>
        <w:t xml:space="preserve"> прикритие“, използвани от Агенцията</w:t>
      </w:r>
      <w:bookmarkEnd w:id="91"/>
    </w:p>
    <w:bookmarkStart w:id="92" w:name="RLF_SANSA_agents_in_cover"/>
    <w:p w14:paraId="4D983F63" w14:textId="77777777" w:rsidR="00304BC9" w:rsidRPr="00290A54" w:rsidRDefault="000F3485" w:rsidP="00A005DE">
      <w:pPr>
        <w:pStyle w:val="JuPara"/>
        <w:keepNext/>
        <w:rPr>
          <w:lang w:val="bg-BG"/>
        </w:rPr>
      </w:pPr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0 \*</w:instrText>
      </w:r>
      <w:r>
        <w:instrText>arabic</w:instrText>
      </w:r>
      <w:r w:rsidRPr="00290A54">
        <w:rPr>
          <w:lang w:val="bg-BG"/>
        </w:rPr>
        <w:instrText xml:space="preserve">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noProof/>
          <w:lang w:val="bg-BG"/>
        </w:rPr>
        <w:t>48</w:t>
      </w:r>
      <w:r>
        <w:fldChar w:fldCharType="end"/>
      </w:r>
      <w:bookmarkEnd w:id="92"/>
      <w:r w:rsidR="00041130" w:rsidRPr="00290A54">
        <w:rPr>
          <w:lang w:val="bg-BG"/>
        </w:rPr>
        <w:t xml:space="preserve">. </w:t>
      </w:r>
      <w:r w:rsidRPr="00290A54">
        <w:rPr>
          <w:lang w:val="bg-BG"/>
        </w:rPr>
        <w:t xml:space="preserve">Законът от 2007 г. споменава конкретно термина „служители </w:t>
      </w:r>
      <w:r w:rsidRPr="0014773C">
        <w:rPr>
          <w:i/>
          <w:iCs/>
          <w:lang w:val="bg-BG"/>
        </w:rPr>
        <w:t>на прикритие</w:t>
      </w:r>
      <w:r w:rsidRPr="00290A54">
        <w:rPr>
          <w:lang w:val="bg-BG"/>
        </w:rPr>
        <w:t>“ в две разпоредби:</w:t>
      </w:r>
    </w:p>
    <w:p w14:paraId="64C49F77" w14:textId="3E957745" w:rsidR="00304BC9" w:rsidRPr="00290A54" w:rsidRDefault="000F3485" w:rsidP="00304BC9">
      <w:pPr>
        <w:pStyle w:val="JuPara"/>
        <w:rPr>
          <w:lang w:val="bg-BG"/>
        </w:rPr>
      </w:pPr>
      <w:r w:rsidRPr="00290A54">
        <w:rPr>
          <w:lang w:val="bg-BG"/>
        </w:rPr>
        <w:t>(</w:t>
      </w:r>
      <w:bookmarkStart w:id="93" w:name="RLF_SANSA_agents_in_cover_s_35a"/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1 \*</w:instrText>
      </w:r>
      <w:r>
        <w:instrText>alphabetic</w:instrText>
      </w:r>
      <w:r w:rsidRPr="00290A54">
        <w:rPr>
          <w:lang w:val="bg-BG"/>
        </w:rPr>
        <w:instrText xml:space="preserve"> \</w:instrText>
      </w:r>
      <w:r>
        <w:instrText>r</w:instrText>
      </w:r>
      <w:r w:rsidRPr="00290A54">
        <w:rPr>
          <w:lang w:val="bg-BG"/>
        </w:rPr>
        <w:instrText xml:space="preserve">1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>
        <w:rPr>
          <w:noProof/>
        </w:rPr>
        <w:t>a</w:t>
      </w:r>
      <w:r>
        <w:fldChar w:fldCharType="end"/>
      </w:r>
      <w:bookmarkEnd w:id="93"/>
      <w:r w:rsidRPr="00290A54">
        <w:rPr>
          <w:lang w:val="bg-BG"/>
        </w:rPr>
        <w:t xml:space="preserve">)  </w:t>
      </w:r>
      <w:r w:rsidR="0021412A">
        <w:rPr>
          <w:lang w:val="bg-BG"/>
        </w:rPr>
        <w:t>чл.</w:t>
      </w:r>
      <w:r w:rsidRPr="00290A54">
        <w:rPr>
          <w:lang w:val="bg-BG"/>
        </w:rPr>
        <w:t xml:space="preserve"> 35а, добавен през </w:t>
      </w:r>
      <w:r w:rsidR="000778CB">
        <w:rPr>
          <w:lang w:val="bg-BG"/>
        </w:rPr>
        <w:t xml:space="preserve">м. </w:t>
      </w:r>
      <w:r w:rsidRPr="00290A54">
        <w:rPr>
          <w:lang w:val="bg-BG"/>
        </w:rPr>
        <w:t xml:space="preserve">юли 2018 г., в който се посочва, че Агенцията може да откаже </w:t>
      </w:r>
      <w:r w:rsidR="008E1572">
        <w:rPr>
          <w:lang w:val="bg-BG"/>
        </w:rPr>
        <w:t xml:space="preserve">– </w:t>
      </w:r>
      <w:r w:rsidRPr="00290A54">
        <w:rPr>
          <w:lang w:val="bg-BG"/>
        </w:rPr>
        <w:t xml:space="preserve">с цел да защити своите </w:t>
      </w:r>
      <w:r w:rsidR="008E1572">
        <w:rPr>
          <w:lang w:val="bg-BG"/>
        </w:rPr>
        <w:t xml:space="preserve">способи и средства </w:t>
      </w:r>
      <w:r w:rsidRPr="00290A54">
        <w:rPr>
          <w:lang w:val="bg-BG"/>
        </w:rPr>
        <w:t>за събиране</w:t>
      </w:r>
      <w:r w:rsidR="008E1572" w:rsidRPr="00290A54">
        <w:rPr>
          <w:lang w:val="bg-BG"/>
        </w:rPr>
        <w:t xml:space="preserve"> на разузнавателна информация </w:t>
      </w:r>
      <w:r w:rsidR="008E1572">
        <w:rPr>
          <w:lang w:val="bg-BG"/>
        </w:rPr>
        <w:t xml:space="preserve">– </w:t>
      </w:r>
      <w:r w:rsidRPr="00290A54">
        <w:rPr>
          <w:lang w:val="bg-BG"/>
        </w:rPr>
        <w:t>да разкрие информация за „</w:t>
      </w:r>
      <w:r w:rsidR="00636119" w:rsidRPr="00290A54">
        <w:rPr>
          <w:lang w:val="bg-BG"/>
        </w:rPr>
        <w:t>служители</w:t>
      </w:r>
      <w:r w:rsidRPr="00290A54">
        <w:rPr>
          <w:lang w:val="bg-BG"/>
        </w:rPr>
        <w:t xml:space="preserve"> </w:t>
      </w:r>
      <w:r w:rsidR="0021412A">
        <w:rPr>
          <w:lang w:val="bg-BG"/>
        </w:rPr>
        <w:t>на</w:t>
      </w:r>
      <w:r w:rsidRPr="00290A54">
        <w:rPr>
          <w:lang w:val="bg-BG"/>
        </w:rPr>
        <w:t xml:space="preserve"> прикритие“ или информатори; и</w:t>
      </w:r>
    </w:p>
    <w:p w14:paraId="662684A6" w14:textId="3B929DFC" w:rsidR="00304BC9" w:rsidRPr="00290A54" w:rsidRDefault="000F3485" w:rsidP="00304BC9">
      <w:pPr>
        <w:pStyle w:val="JuPara"/>
        <w:rPr>
          <w:lang w:val="bg-BG"/>
        </w:rPr>
      </w:pPr>
      <w:r w:rsidRPr="00290A54">
        <w:rPr>
          <w:lang w:val="bg-BG"/>
        </w:rPr>
        <w:t>(</w:t>
      </w:r>
      <w:bookmarkStart w:id="94" w:name="RLF_SANSA_agents_in_cover_s_110_1_7_e"/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1 \*</w:instrText>
      </w:r>
      <w:r>
        <w:instrText>alphabetic</w:instrText>
      </w:r>
      <w:r w:rsidRPr="00290A54">
        <w:rPr>
          <w:lang w:val="bg-BG"/>
        </w:rPr>
        <w:instrText xml:space="preserve">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>
        <w:rPr>
          <w:noProof/>
        </w:rPr>
        <w:t>b</w:t>
      </w:r>
      <w:r>
        <w:fldChar w:fldCharType="end"/>
      </w:r>
      <w:bookmarkEnd w:id="94"/>
      <w:r w:rsidRPr="00290A54">
        <w:rPr>
          <w:lang w:val="bg-BG"/>
        </w:rPr>
        <w:t xml:space="preserve">)  </w:t>
      </w:r>
      <w:r w:rsidR="007136BF">
        <w:rPr>
          <w:lang w:val="bg-BG"/>
        </w:rPr>
        <w:t>чл.</w:t>
      </w:r>
      <w:r w:rsidRPr="00290A54">
        <w:rPr>
          <w:lang w:val="bg-BG"/>
        </w:rPr>
        <w:t>110</w:t>
      </w:r>
      <w:r w:rsidR="007136BF">
        <w:rPr>
          <w:lang w:val="bg-BG"/>
        </w:rPr>
        <w:t>, ал. 1, т. 7, б. „е“</w:t>
      </w:r>
      <w:r w:rsidRPr="00290A54">
        <w:rPr>
          <w:lang w:val="bg-BG"/>
        </w:rPr>
        <w:t>, който фигурира в закона от момента на неговото приемане в първоначалния му вид и съгласно който служители на Агенцията, които са „</w:t>
      </w:r>
      <w:r w:rsidR="00636119" w:rsidRPr="00290A54">
        <w:rPr>
          <w:lang w:val="bg-BG"/>
        </w:rPr>
        <w:t>служители</w:t>
      </w:r>
      <w:r w:rsidRPr="00290A54">
        <w:rPr>
          <w:lang w:val="bg-BG"/>
        </w:rPr>
        <w:t xml:space="preserve"> </w:t>
      </w:r>
      <w:r w:rsidR="007136BF">
        <w:rPr>
          <w:lang w:val="bg-BG"/>
        </w:rPr>
        <w:t>на</w:t>
      </w:r>
      <w:r w:rsidRPr="00290A54">
        <w:rPr>
          <w:lang w:val="bg-BG"/>
        </w:rPr>
        <w:t xml:space="preserve"> прикритие“, могат да бъдат уволнени, ако не изпълняват задълженията си ефективно.</w:t>
      </w:r>
    </w:p>
    <w:bookmarkStart w:id="95" w:name="RLF_SANSA_s_123_2_6"/>
    <w:p w14:paraId="6EBBCE23" w14:textId="4D4C4FCD" w:rsidR="00304BC9" w:rsidRPr="00471B3E" w:rsidRDefault="000F3485" w:rsidP="00304BC9">
      <w:pPr>
        <w:pStyle w:val="JuPara"/>
        <w:rPr>
          <w:lang w:val="bg-BG"/>
        </w:rPr>
      </w:pPr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0 \*</w:instrText>
      </w:r>
      <w:r>
        <w:instrText>arabic</w:instrText>
      </w:r>
      <w:r w:rsidRPr="00290A54">
        <w:rPr>
          <w:lang w:val="bg-BG"/>
        </w:rPr>
        <w:instrText xml:space="preserve">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noProof/>
          <w:lang w:val="bg-BG"/>
        </w:rPr>
        <w:t>49</w:t>
      </w:r>
      <w:r>
        <w:fldChar w:fldCharType="end"/>
      </w:r>
      <w:bookmarkEnd w:id="95"/>
      <w:r w:rsidR="00041130">
        <w:rPr>
          <w:lang w:val="bg-BG"/>
        </w:rPr>
        <w:t xml:space="preserve">. </w:t>
      </w:r>
      <w:r w:rsidR="000778CB">
        <w:rPr>
          <w:lang w:val="bg-BG"/>
        </w:rPr>
        <w:t>Освен това, чл.</w:t>
      </w:r>
      <w:r w:rsidRPr="00471B3E">
        <w:rPr>
          <w:lang w:val="bg-BG"/>
        </w:rPr>
        <w:t xml:space="preserve"> 123, </w:t>
      </w:r>
      <w:r w:rsidR="00471B3E">
        <w:rPr>
          <w:lang w:val="bg-BG"/>
        </w:rPr>
        <w:t xml:space="preserve">ал. 2, т. </w:t>
      </w:r>
      <w:r w:rsidR="00CD279F">
        <w:rPr>
          <w:lang w:val="bg-BG"/>
        </w:rPr>
        <w:t>6 от Закона от 2007 г. –</w:t>
      </w:r>
      <w:r w:rsidRPr="00471B3E">
        <w:rPr>
          <w:lang w:val="bg-BG"/>
        </w:rPr>
        <w:t xml:space="preserve"> който също е част от закона от момента на неговото </w:t>
      </w:r>
      <w:r w:rsidR="00CD279F">
        <w:rPr>
          <w:lang w:val="bg-BG"/>
        </w:rPr>
        <w:t xml:space="preserve">приемане в първоначалния му вид – </w:t>
      </w:r>
      <w:r w:rsidRPr="00471B3E">
        <w:rPr>
          <w:lang w:val="bg-BG"/>
        </w:rPr>
        <w:t xml:space="preserve">постановява, че правомощията на Агенцията включват „организиране на </w:t>
      </w:r>
      <w:r w:rsidRPr="00C467B1">
        <w:rPr>
          <w:i/>
          <w:iCs/>
          <w:lang w:val="bg-BG"/>
        </w:rPr>
        <w:t>прикриването на служители на Агенцията</w:t>
      </w:r>
      <w:r w:rsidRPr="00471B3E">
        <w:rPr>
          <w:lang w:val="bg-BG"/>
        </w:rPr>
        <w:t xml:space="preserve"> и тяхната </w:t>
      </w:r>
      <w:r w:rsidR="006104B1">
        <w:rPr>
          <w:lang w:val="bg-BG"/>
        </w:rPr>
        <w:t>дейност</w:t>
      </w:r>
      <w:r w:rsidRPr="00471B3E">
        <w:rPr>
          <w:lang w:val="bg-BG"/>
        </w:rPr>
        <w:t xml:space="preserve">, при условия и по </w:t>
      </w:r>
      <w:r w:rsidR="006104B1">
        <w:rPr>
          <w:lang w:val="bg-BG"/>
        </w:rPr>
        <w:t>ред, определени</w:t>
      </w:r>
      <w:r w:rsidRPr="00471B3E">
        <w:rPr>
          <w:lang w:val="bg-BG"/>
        </w:rPr>
        <w:t xml:space="preserve"> </w:t>
      </w:r>
      <w:r w:rsidR="006104B1" w:rsidRPr="006104B1">
        <w:rPr>
          <w:lang w:val="bg-BG"/>
        </w:rPr>
        <w:t>с</w:t>
      </w:r>
      <w:r w:rsidR="006104B1" w:rsidRPr="006104B1">
        <w:t> </w:t>
      </w:r>
      <w:r w:rsidR="006104B1" w:rsidRPr="006104B1">
        <w:rPr>
          <w:lang w:val="bg-BG"/>
        </w:rPr>
        <w:t>правилника за прилагане на закона</w:t>
      </w:r>
      <w:r w:rsidRPr="00471B3E">
        <w:rPr>
          <w:lang w:val="bg-BG"/>
        </w:rPr>
        <w:t>“.</w:t>
      </w:r>
    </w:p>
    <w:p w14:paraId="35DFFBE4" w14:textId="77777777" w:rsidR="00304BC9" w:rsidRDefault="000F3485" w:rsidP="00304BC9">
      <w:pPr>
        <w:pStyle w:val="JuHA"/>
      </w:pPr>
      <w:bookmarkStart w:id="96" w:name="_Toc175233040"/>
      <w:bookmarkStart w:id="97" w:name="_Toc232688261"/>
      <w:r>
        <w:lastRenderedPageBreak/>
        <w:t>Информатори, наети от Агенцията</w:t>
      </w:r>
      <w:bookmarkEnd w:id="96"/>
      <w:bookmarkEnd w:id="97"/>
    </w:p>
    <w:bookmarkStart w:id="98" w:name="RLF_SANSA_SANS_collaborators"/>
    <w:bookmarkStart w:id="99" w:name="_Toc175565264"/>
    <w:p w14:paraId="6CCF384F" w14:textId="0CE124FC" w:rsidR="00304BC9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50</w:t>
      </w:r>
      <w:r w:rsidRPr="00625CAB">
        <w:fldChar w:fldCharType="end"/>
      </w:r>
      <w:bookmarkEnd w:id="98"/>
      <w:r w:rsidRPr="00625CAB">
        <w:t>.</w:t>
      </w:r>
      <w:r w:rsidR="00041130">
        <w:t> </w:t>
      </w:r>
      <w:r>
        <w:t>Агенцията може да използва информатори (</w:t>
      </w:r>
      <w:r w:rsidRPr="005F39DD">
        <w:rPr>
          <w:i/>
          <w:iCs/>
          <w:lang w:val="bg-BG"/>
        </w:rPr>
        <w:t>сътрудници</w:t>
      </w:r>
      <w:r>
        <w:t>), които трябва да бъдат защитени по време на или във връзк</w:t>
      </w:r>
      <w:r w:rsidR="006D4B6F">
        <w:t>а с тяхното сътрудничество (чл.</w:t>
      </w:r>
      <w:r>
        <w:t xml:space="preserve"> 23, </w:t>
      </w:r>
      <w:r w:rsidR="004A6B11">
        <w:rPr>
          <w:lang w:val="bg-BG"/>
        </w:rPr>
        <w:t>ал.</w:t>
      </w:r>
      <w:r>
        <w:t xml:space="preserve"> 1 и 3, точка 2 от Закона от 2007 г.). Тяхната самоличност, лични данни и работа </w:t>
      </w:r>
      <w:r w:rsidR="00AA1AFD">
        <w:t>трябва да се пазят в тайна (чл.</w:t>
      </w:r>
      <w:r>
        <w:t xml:space="preserve"> 23, </w:t>
      </w:r>
      <w:r w:rsidR="004A6B11">
        <w:rPr>
          <w:lang w:val="bg-BG"/>
        </w:rPr>
        <w:t>ал.</w:t>
      </w:r>
      <w:r w:rsidR="004A6B11">
        <w:t xml:space="preserve"> 3, т.</w:t>
      </w:r>
      <w:r>
        <w:t xml:space="preserve"> 3). Информация за тях може да бъде предоставяна на съдилищата или на прокуратурата само във връзка с конкретно наказателно дело, в съответствие с изискванията на </w:t>
      </w:r>
      <w:r w:rsidRPr="005628E4">
        <w:t xml:space="preserve">Закона за защита на класифицираната информация от 2002 г. </w:t>
      </w:r>
      <w:r>
        <w:t xml:space="preserve">– и само след като съответните информатори са </w:t>
      </w:r>
      <w:r w:rsidR="0047262A">
        <w:t>дали съгласието си за това (чл.</w:t>
      </w:r>
      <w:r>
        <w:t xml:space="preserve"> 23, </w:t>
      </w:r>
      <w:r w:rsidR="00E90F9C">
        <w:rPr>
          <w:lang w:val="bg-BG"/>
        </w:rPr>
        <w:t>ал.</w:t>
      </w:r>
      <w:r>
        <w:t xml:space="preserve"> 4). Агенцията може също така да не разкрива информация за информаторите, за да защити своите методи или техники за събиране на</w:t>
      </w:r>
      <w:r w:rsidR="0047262A">
        <w:t xml:space="preserve"> разузнавателна информация (чл.</w:t>
      </w:r>
      <w:r>
        <w:t xml:space="preserve"> 35а).</w:t>
      </w:r>
    </w:p>
    <w:p w14:paraId="64B030C6" w14:textId="77777777" w:rsidR="00304BC9" w:rsidRDefault="000F3485" w:rsidP="00304BC9">
      <w:pPr>
        <w:pStyle w:val="JuHA"/>
      </w:pPr>
      <w:bookmarkStart w:id="100" w:name="_Toc232688262"/>
      <w:r>
        <w:t>Обработка на данни от Агенцията</w:t>
      </w:r>
      <w:bookmarkEnd w:id="99"/>
      <w:bookmarkEnd w:id="100"/>
    </w:p>
    <w:bookmarkStart w:id="101" w:name="RLF_SANSA_s_28_1_29_1_2"/>
    <w:p w14:paraId="564C025B" w14:textId="4D01B8D5" w:rsidR="00304BC9" w:rsidRPr="00CB0B73" w:rsidRDefault="000F3485" w:rsidP="00304BC9">
      <w:pPr>
        <w:pStyle w:val="JuPara"/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SEQ level0 \*arabic \* MERGEFORMAT </w:instrText>
      </w:r>
      <w:r>
        <w:rPr>
          <w:rFonts w:cstheme="minorHAnsi"/>
        </w:rPr>
        <w:fldChar w:fldCharType="separate"/>
      </w:r>
      <w:r w:rsidR="00F21D3F">
        <w:rPr>
          <w:rFonts w:cstheme="minorHAnsi"/>
          <w:noProof/>
        </w:rPr>
        <w:t>51</w:t>
      </w:r>
      <w:r>
        <w:rPr>
          <w:rFonts w:cstheme="minorHAnsi"/>
        </w:rPr>
        <w:fldChar w:fldCharType="end"/>
      </w:r>
      <w:bookmarkEnd w:id="101"/>
      <w:r w:rsidR="00041130">
        <w:rPr>
          <w:rFonts w:cstheme="minorHAnsi"/>
        </w:rPr>
        <w:t xml:space="preserve">. </w:t>
      </w:r>
      <w:r>
        <w:rPr>
          <w:rFonts w:cstheme="minorHAnsi"/>
        </w:rPr>
        <w:t xml:space="preserve">Агенцията може да поддържа и използва </w:t>
      </w:r>
      <w:r w:rsidR="00CB686C" w:rsidRPr="00CB686C">
        <w:rPr>
          <w:rFonts w:cstheme="minorHAnsi"/>
        </w:rPr>
        <w:t xml:space="preserve">информационни фондове </w:t>
      </w:r>
      <w:r>
        <w:rPr>
          <w:rFonts w:cstheme="minorHAnsi"/>
        </w:rPr>
        <w:t>(</w:t>
      </w:r>
      <w:r w:rsidR="00A724D9">
        <w:rPr>
          <w:rFonts w:cstheme="minorHAnsi"/>
          <w:lang w:val="bg-BG"/>
        </w:rPr>
        <w:t>чл.</w:t>
      </w:r>
      <w:r>
        <w:rPr>
          <w:rFonts w:cstheme="minorHAnsi"/>
        </w:rPr>
        <w:t xml:space="preserve"> 28, </w:t>
      </w:r>
      <w:r w:rsidR="00A724D9">
        <w:rPr>
          <w:rFonts w:cstheme="minorHAnsi"/>
          <w:lang w:val="bg-BG"/>
        </w:rPr>
        <w:t>ал.</w:t>
      </w:r>
      <w:r>
        <w:rPr>
          <w:rFonts w:cstheme="minorHAnsi"/>
        </w:rPr>
        <w:t xml:space="preserve"> 1 </w:t>
      </w:r>
      <w:r>
        <w:t>от Закона от 2007 г.</w:t>
      </w:r>
      <w:r>
        <w:rPr>
          <w:rFonts w:cstheme="minorHAnsi"/>
        </w:rPr>
        <w:t>) и да обработва информация – включително лични данни (</w:t>
      </w:r>
      <w:r w:rsidR="00A724D9">
        <w:rPr>
          <w:rFonts w:cstheme="minorHAnsi"/>
          <w:lang w:val="bg-BG"/>
        </w:rPr>
        <w:t>чл.</w:t>
      </w:r>
      <w:r>
        <w:rPr>
          <w:rFonts w:cstheme="minorHAnsi"/>
        </w:rPr>
        <w:t xml:space="preserve"> 29, </w:t>
      </w:r>
      <w:r w:rsidR="00A724D9">
        <w:rPr>
          <w:rFonts w:cstheme="minorHAnsi"/>
          <w:lang w:val="bg-BG"/>
        </w:rPr>
        <w:t>ал.</w:t>
      </w:r>
      <w:r>
        <w:rPr>
          <w:rFonts w:cstheme="minorHAnsi"/>
        </w:rPr>
        <w:t xml:space="preserve"> 1 и 2).</w:t>
      </w:r>
    </w:p>
    <w:bookmarkStart w:id="102" w:name="RLF_SANSA_s_36_1"/>
    <w:bookmarkStart w:id="103" w:name="RLF_SANSA_s_34_1_2_9_36_2"/>
    <w:p w14:paraId="3D034283" w14:textId="3B59022D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52</w:t>
      </w:r>
      <w:r>
        <w:fldChar w:fldCharType="end"/>
      </w:r>
      <w:bookmarkEnd w:id="102"/>
      <w:bookmarkEnd w:id="103"/>
      <w:r w:rsidR="00041130">
        <w:t xml:space="preserve">. </w:t>
      </w:r>
      <w:r w:rsidR="001F59AE">
        <w:rPr>
          <w:lang w:val="bg-BG"/>
        </w:rPr>
        <w:t>Информационните фондове</w:t>
      </w:r>
      <w:r>
        <w:t xml:space="preserve"> на Агенцията могат </w:t>
      </w:r>
      <w:r w:rsidR="001F59AE">
        <w:t>да бъдат автоматизирани (чл.</w:t>
      </w:r>
      <w:r>
        <w:t xml:space="preserve"> 34, </w:t>
      </w:r>
      <w:r w:rsidR="001F59AE">
        <w:rPr>
          <w:lang w:val="bg-BG"/>
        </w:rPr>
        <w:t>ал.</w:t>
      </w:r>
      <w:r>
        <w:t xml:space="preserve"> 1 и </w:t>
      </w:r>
      <w:r w:rsidR="001F59AE">
        <w:rPr>
          <w:lang w:val="bg-BG"/>
        </w:rPr>
        <w:t xml:space="preserve">чл. </w:t>
      </w:r>
      <w:r>
        <w:t xml:space="preserve">36, </w:t>
      </w:r>
      <w:r w:rsidR="001F59AE">
        <w:rPr>
          <w:lang w:val="bg-BG"/>
        </w:rPr>
        <w:t>ал.</w:t>
      </w:r>
      <w:r>
        <w:t xml:space="preserve"> 2 от Закона от 2007 г.). Те могат да се използват за обработка на л</w:t>
      </w:r>
      <w:r w:rsidR="003C79A8">
        <w:t>ични данни (чл.</w:t>
      </w:r>
      <w:r>
        <w:t xml:space="preserve"> 34, </w:t>
      </w:r>
      <w:r w:rsidR="00890417">
        <w:rPr>
          <w:lang w:val="bg-BG"/>
        </w:rPr>
        <w:t>ал.</w:t>
      </w:r>
      <w:r>
        <w:t xml:space="preserve">2). Администратор на данните е </w:t>
      </w:r>
      <w:r w:rsidR="00890417">
        <w:rPr>
          <w:lang w:val="bg-BG"/>
        </w:rPr>
        <w:t>председателят</w:t>
      </w:r>
      <w:r>
        <w:t xml:space="preserve"> на Агенцията, който може да възложи обработката на лични данни на </w:t>
      </w:r>
      <w:r w:rsidR="003C79A8">
        <w:t>определени длъжностни лица (чл.</w:t>
      </w:r>
      <w:r>
        <w:t xml:space="preserve"> 34, </w:t>
      </w:r>
      <w:r w:rsidR="00890417">
        <w:rPr>
          <w:lang w:val="bg-BG"/>
        </w:rPr>
        <w:t>ал.</w:t>
      </w:r>
      <w:r>
        <w:t xml:space="preserve"> 9).</w:t>
      </w:r>
    </w:p>
    <w:bookmarkStart w:id="104" w:name="RLF_SANSA_s_34_2"/>
    <w:p w14:paraId="411B732E" w14:textId="5A052322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53</w:t>
      </w:r>
      <w:r w:rsidRPr="00625CAB">
        <w:fldChar w:fldCharType="end"/>
      </w:r>
      <w:bookmarkEnd w:id="104"/>
      <w:r w:rsidR="00041130">
        <w:t>. </w:t>
      </w:r>
      <w:r>
        <w:t>При обработката на лични данни, свързани с дейности по опазване на националната сигурност, Агенцията: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>) не иска съгласието на засегнатите лица; (</w:t>
      </w:r>
      <w:r w:rsidR="009178E0">
        <w:fldChar w:fldCharType="begin"/>
      </w:r>
      <w:r w:rsidR="009178E0">
        <w:instrText xml:space="preserve"> SEQ level1 \*alphabetic \* MERG</w:instrText>
      </w:r>
      <w:r w:rsidR="009178E0">
        <w:instrText xml:space="preserve">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>) не ги уведомява преди или по време на обработката; или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>
        <w:t xml:space="preserve">) не предоставя лични данни на други лица (член 34, </w:t>
      </w:r>
      <w:r w:rsidR="00890417">
        <w:rPr>
          <w:lang w:val="bg-BG"/>
        </w:rPr>
        <w:t>ал.</w:t>
      </w:r>
      <w:r>
        <w:t xml:space="preserve"> 2). Тези лични данни трябва да бъдат изтрити, ако вече няма законно основание за съхраняването им или ако то</w:t>
      </w:r>
      <w:r w:rsidR="003C79A8">
        <w:t>ва бъде разпоредено от съд (чл.</w:t>
      </w:r>
      <w:r>
        <w:t xml:space="preserve"> 34, </w:t>
      </w:r>
      <w:r w:rsidR="00890417">
        <w:rPr>
          <w:lang w:val="bg-BG"/>
        </w:rPr>
        <w:t>ал.</w:t>
      </w:r>
      <w:r>
        <w:t xml:space="preserve"> 5). Факторите, които трябва да се вземат предвид при тази оценка, включват: възрастта на засегнатото лице, естеството на обработваните данни, необходимостта от обработването им до приключването на съдебно производство или разследване, както и изтичането на всеки зако</w:t>
      </w:r>
      <w:r w:rsidR="00CE587E">
        <w:t>ноустановен давностен срок (чл.</w:t>
      </w:r>
      <w:r>
        <w:t xml:space="preserve"> 34, </w:t>
      </w:r>
      <w:r w:rsidR="00196B30">
        <w:rPr>
          <w:lang w:val="bg-BG"/>
        </w:rPr>
        <w:t>ал.</w:t>
      </w:r>
      <w:r>
        <w:t xml:space="preserve"> 6). Личните данни от базите данни на Агенцията могат да се предоставят само на органите за опазване на националната сигурност или на съдебните органи за нуждите на </w:t>
      </w:r>
      <w:r w:rsidR="00CE587E">
        <w:t>конкретно наказателно дело (чл.</w:t>
      </w:r>
      <w:r>
        <w:t xml:space="preserve"> 34, </w:t>
      </w:r>
      <w:r w:rsidR="00196B30">
        <w:rPr>
          <w:lang w:val="bg-BG"/>
        </w:rPr>
        <w:t>ал.</w:t>
      </w:r>
      <w:r>
        <w:t xml:space="preserve"> 7). Тези данни могат да се предоставят и на чуждестранни органи съгласно международен договор, </w:t>
      </w:r>
      <w:r w:rsidR="00CE587E">
        <w:t>по който България е страна (чл.</w:t>
      </w:r>
      <w:r>
        <w:t xml:space="preserve"> 34, </w:t>
      </w:r>
      <w:r w:rsidR="00196B30">
        <w:rPr>
          <w:lang w:val="bg-BG"/>
        </w:rPr>
        <w:t>ал.</w:t>
      </w:r>
      <w:r>
        <w:t xml:space="preserve"> 8).</w:t>
      </w:r>
    </w:p>
    <w:bookmarkStart w:id="105" w:name="RLF_SANSA_personal_data_regs_1"/>
    <w:p w14:paraId="551E9283" w14:textId="16DB97E8" w:rsidR="00304BC9" w:rsidRDefault="000F3485" w:rsidP="00304BC9">
      <w:pPr>
        <w:pStyle w:val="JuPara"/>
      </w:pPr>
      <w:r w:rsidRPr="00625CAB">
        <w:lastRenderedPageBreak/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54</w:t>
      </w:r>
      <w:r w:rsidRPr="00625CAB">
        <w:fldChar w:fldCharType="end"/>
      </w:r>
      <w:bookmarkStart w:id="106" w:name="_Hlk182300159"/>
      <w:bookmarkEnd w:id="105"/>
      <w:r w:rsidR="00041130">
        <w:t xml:space="preserve">. </w:t>
      </w:r>
      <w:r w:rsidR="00667FD5">
        <w:rPr>
          <w:lang w:val="bg-BG"/>
        </w:rPr>
        <w:t>Наредбата</w:t>
      </w:r>
      <w:r w:rsidRPr="00625CAB">
        <w:t>,</w:t>
      </w:r>
      <w:r w:rsidR="00667FD5">
        <w:t xml:space="preserve"> издадена</w:t>
      </w:r>
      <w:r>
        <w:t xml:space="preserve"> от </w:t>
      </w:r>
      <w:r w:rsidR="00667FD5">
        <w:rPr>
          <w:lang w:val="bg-BG"/>
        </w:rPr>
        <w:t>председателя</w:t>
      </w:r>
      <w:r>
        <w:t xml:space="preserve"> на Агенцията през </w:t>
      </w:r>
      <w:r w:rsidR="00667FD5">
        <w:rPr>
          <w:lang w:val="bg-BG"/>
        </w:rPr>
        <w:t xml:space="preserve">м. </w:t>
      </w:r>
      <w:r>
        <w:t>октомври 2019 г. съг</w:t>
      </w:r>
      <w:r w:rsidR="00667FD5">
        <w:t>ласно законово делегиране в чл.</w:t>
      </w:r>
      <w:r>
        <w:t xml:space="preserve"> 34, </w:t>
      </w:r>
      <w:r w:rsidR="00667FD5">
        <w:rPr>
          <w:lang w:val="bg-BG"/>
        </w:rPr>
        <w:t>ал.</w:t>
      </w:r>
      <w:r>
        <w:t xml:space="preserve"> 10 от </w:t>
      </w:r>
      <w:r w:rsidRPr="00B421B2">
        <w:t>Закона</w:t>
      </w:r>
      <w:r>
        <w:t xml:space="preserve"> от 2007 г. </w:t>
      </w:r>
      <w:r w:rsidRPr="00B421B2">
        <w:t>(</w:t>
      </w:r>
      <w:r w:rsidRPr="00B421B2">
        <w:rPr>
          <w:i/>
          <w:iCs/>
          <w:lang w:val="bg-BG"/>
        </w:rPr>
        <w:t>Наредба № I-4 от 22.10.2019 г. за реда за обработване на лични данни в Държавна агенция „Национална сигурност“</w:t>
      </w:r>
      <w:r w:rsidRPr="00B421B2">
        <w:t xml:space="preserve">) установява по-подробни </w:t>
      </w:r>
      <w:r>
        <w:t>правила за обработването на лични данни от Агенцията.</w:t>
      </w:r>
      <w:bookmarkEnd w:id="106"/>
      <w:r>
        <w:t xml:space="preserve"> Съгласно </w:t>
      </w:r>
      <w:r w:rsidR="001044CA">
        <w:rPr>
          <w:lang w:val="bg-BG"/>
        </w:rPr>
        <w:t>чл.</w:t>
      </w:r>
      <w:r>
        <w:t xml:space="preserve"> 2 това обработване трябва да е в съответствие с принципите на </w:t>
      </w:r>
      <w:r w:rsidR="00C3177A">
        <w:rPr>
          <w:lang w:val="bg-BG"/>
        </w:rPr>
        <w:t>законосъобразност</w:t>
      </w:r>
      <w:r>
        <w:t xml:space="preserve">, цялостност, </w:t>
      </w:r>
      <w:r w:rsidR="00C3177A">
        <w:rPr>
          <w:lang w:val="bg-BG"/>
        </w:rPr>
        <w:t>съотносимост</w:t>
      </w:r>
      <w:r>
        <w:t xml:space="preserve"> и пропорционалност, както и сигурност на данните. Съгласно </w:t>
      </w:r>
      <w:r w:rsidR="001044CA">
        <w:rPr>
          <w:lang w:val="bg-BG"/>
        </w:rPr>
        <w:t>чл.</w:t>
      </w:r>
      <w:r>
        <w:t xml:space="preserve"> 4 </w:t>
      </w:r>
      <w:r w:rsidR="001044CA">
        <w:rPr>
          <w:lang w:val="bg-BG"/>
        </w:rPr>
        <w:t>председателят</w:t>
      </w:r>
      <w:r>
        <w:t xml:space="preserve"> на Агенцията: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 xml:space="preserve">) определя как Агенцията създава, </w:t>
      </w:r>
      <w:r w:rsidR="008E39AC">
        <w:rPr>
          <w:lang w:val="bg-BG"/>
        </w:rPr>
        <w:t>експлоатира</w:t>
      </w:r>
      <w:r>
        <w:t xml:space="preserve"> и контролира </w:t>
      </w:r>
      <w:r w:rsidR="001044CA">
        <w:rPr>
          <w:lang w:val="bg-BG"/>
        </w:rPr>
        <w:t>информационни фондове</w:t>
      </w:r>
      <w:r>
        <w:t>, съдържащи лични данни;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>) проверява дали обработването на такива данни отговаря на изискванията за тяхната защита;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>
        <w:t>) предприема мерки за отстраняване на нередностите;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г</w:t>
      </w:r>
      <w:r w:rsidR="009178E0">
        <w:rPr>
          <w:noProof/>
        </w:rPr>
        <w:fldChar w:fldCharType="end"/>
      </w:r>
      <w:r>
        <w:t>) подпомага Комисията за защита на личните данни (вж. параграфи</w:t>
      </w:r>
      <w:r w:rsidR="001044CA">
        <w:rPr>
          <w:lang w:val="bg-BG"/>
        </w:rPr>
        <w:t xml:space="preserve"> </w:t>
      </w:r>
      <w:r>
        <w:fldChar w:fldCharType="begin"/>
      </w:r>
      <w:r>
        <w:instrText xml:space="preserve"> REF  RLF_PPDA_CPPD \h  \* MERGEFORMAT </w:instrText>
      </w:r>
      <w:r>
        <w:fldChar w:fldCharType="separate"/>
      </w:r>
      <w:r w:rsidR="00F21D3F">
        <w:t>91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RLF_PPDA_CPPD_quinquies \h  \* MERGEFORMAT </w:instrText>
      </w:r>
      <w:r>
        <w:fldChar w:fldCharType="separate"/>
      </w:r>
      <w:r w:rsidR="00F21D3F">
        <w:t>95</w:t>
      </w:r>
      <w:r>
        <w:fldChar w:fldCharType="end"/>
      </w:r>
      <w:r>
        <w:t xml:space="preserve"> по-долу) при упражняването на нейните надзорни функции съгласно </w:t>
      </w:r>
      <w:r w:rsidRPr="00186680">
        <w:t xml:space="preserve">Закона за защита на личните данни от 2002 г. </w:t>
      </w:r>
      <w:r>
        <w:t>(вж. параграфи</w:t>
      </w:r>
      <w:r w:rsidR="001044CA">
        <w:rPr>
          <w:lang w:val="bg-BG"/>
        </w:rPr>
        <w:t xml:space="preserve"> </w:t>
      </w:r>
      <w:r>
        <w:fldChar w:fldCharType="begin"/>
      </w:r>
      <w:r>
        <w:instrText xml:space="preserve"> REF  RLF_PPDA \h  \* MERGEFORMAT </w:instrText>
      </w:r>
      <w:r>
        <w:fldChar w:fldCharType="separate"/>
      </w:r>
      <w:r w:rsidR="00F21D3F">
        <w:t>78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RLF_PPDA_remedies_LED \h  \* MERGEFORMAT </w:instrText>
      </w:r>
      <w:r>
        <w:fldChar w:fldCharType="separate"/>
      </w:r>
      <w:r w:rsidR="00F21D3F">
        <w:t>99</w:t>
      </w:r>
      <w:r>
        <w:fldChar w:fldCharType="end"/>
      </w:r>
      <w:r>
        <w:t xml:space="preserve"> по-долу). </w:t>
      </w:r>
      <w:r w:rsidR="001044CA">
        <w:rPr>
          <w:lang w:val="bg-BG"/>
        </w:rPr>
        <w:t>Председателят</w:t>
      </w:r>
      <w:r>
        <w:t xml:space="preserve"> на Агенцията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>) определя кои служители на Агенцията могат да обработват лични данни (</w:t>
      </w:r>
      <w:r w:rsidR="001044CA">
        <w:rPr>
          <w:lang w:val="bg-BG"/>
        </w:rPr>
        <w:t xml:space="preserve">чл. </w:t>
      </w:r>
      <w:r>
        <w:t xml:space="preserve">6, </w:t>
      </w:r>
      <w:r w:rsidR="004350DF">
        <w:rPr>
          <w:lang w:val="bg-BG"/>
        </w:rPr>
        <w:t xml:space="preserve">ал. </w:t>
      </w:r>
      <w:r>
        <w:t>1)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 xml:space="preserve">) решава, във всеки отделен случай, дали такива данни, обработвани от Агенцията, трябва да бъдат изтрити, въз основа на препоръка от съответния ръководител на </w:t>
      </w:r>
      <w:r w:rsidR="003D1478">
        <w:rPr>
          <w:lang w:val="bg-BG"/>
        </w:rPr>
        <w:t>структурно ниво</w:t>
      </w:r>
      <w:r>
        <w:t xml:space="preserve"> (</w:t>
      </w:r>
      <w:r w:rsidR="001044CA">
        <w:rPr>
          <w:lang w:val="bg-BG"/>
        </w:rPr>
        <w:t>чл.</w:t>
      </w:r>
      <w:r>
        <w:t xml:space="preserve"> 17).</w:t>
      </w:r>
    </w:p>
    <w:p w14:paraId="10E78D86" w14:textId="77777777" w:rsidR="00304BC9" w:rsidRPr="00C462F6" w:rsidRDefault="000F3485" w:rsidP="00304BC9">
      <w:pPr>
        <w:pStyle w:val="JuHA"/>
      </w:pPr>
      <w:bookmarkStart w:id="107" w:name="_Toc232688263"/>
      <w:r w:rsidRPr="00625CAB">
        <w:t xml:space="preserve">Общ </w:t>
      </w:r>
      <w:r w:rsidRPr="00C462F6">
        <w:t>надзор върху работата на Агенцията</w:t>
      </w:r>
      <w:bookmarkEnd w:id="107"/>
    </w:p>
    <w:p w14:paraId="1E2D10AB" w14:textId="77777777" w:rsidR="00304BC9" w:rsidRPr="00625CAB" w:rsidRDefault="000F3485" w:rsidP="00304BC9">
      <w:pPr>
        <w:pStyle w:val="JuH1"/>
      </w:pPr>
      <w:bookmarkStart w:id="108" w:name="_Toc175214983"/>
      <w:bookmarkStart w:id="109" w:name="_Toc232688264"/>
      <w:r w:rsidRPr="00625CAB">
        <w:t>От Парламента</w:t>
      </w:r>
      <w:bookmarkEnd w:id="109"/>
    </w:p>
    <w:bookmarkStart w:id="110" w:name="RLF_SANSA_s_132_1_etc"/>
    <w:p w14:paraId="41E5326F" w14:textId="7CE75FB2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55</w:t>
      </w:r>
      <w:r w:rsidRPr="00625CAB">
        <w:fldChar w:fldCharType="end"/>
      </w:r>
      <w:bookmarkEnd w:id="110"/>
      <w:r w:rsidR="00041130">
        <w:t>. </w:t>
      </w:r>
      <w:r>
        <w:t>Българският парламент (Народното събрание) разполага със специална постоянна комисия –</w:t>
      </w:r>
      <w:bookmarkStart w:id="111" w:name="_Hlk182296154"/>
      <w:r>
        <w:t xml:space="preserve"> </w:t>
      </w:r>
      <w:r w:rsidRPr="00F75337">
        <w:t xml:space="preserve">Комисията за </w:t>
      </w:r>
      <w:r>
        <w:t xml:space="preserve">контрол </w:t>
      </w:r>
      <w:r w:rsidRPr="00F75337">
        <w:t>върху службите за сигурност, прилагането и използването на специални</w:t>
      </w:r>
      <w:r w:rsidR="00B44FC4">
        <w:rPr>
          <w:lang w:val="bg-BG"/>
        </w:rPr>
        <w:t xml:space="preserve"> разузнавателни</w:t>
      </w:r>
      <w:r w:rsidRPr="00F75337">
        <w:t xml:space="preserve"> средства и достъпа до данни съгласно Закона за електронните съобщения</w:t>
      </w:r>
      <w:bookmarkEnd w:id="111"/>
      <w:r>
        <w:t xml:space="preserve"> – на която, наред с другото, е възложено да контролира дейно</w:t>
      </w:r>
      <w:r w:rsidR="005A0E41">
        <w:t>стта на Агенцията съгласно: чл.</w:t>
      </w:r>
      <w:r>
        <w:t xml:space="preserve"> 132, </w:t>
      </w:r>
      <w:r w:rsidR="00B44FC4">
        <w:rPr>
          <w:lang w:val="bg-BG"/>
        </w:rPr>
        <w:t>ал</w:t>
      </w:r>
      <w:r w:rsidR="005A0E41">
        <w:rPr>
          <w:lang w:val="bg-BG"/>
        </w:rPr>
        <w:t>.</w:t>
      </w:r>
      <w:r w:rsidR="005A0E41">
        <w:t xml:space="preserve"> 1 от Закона от 2007 г. и чл.</w:t>
      </w:r>
      <w:r>
        <w:t xml:space="preserve"> 22, </w:t>
      </w:r>
      <w:r w:rsidR="00B44FC4">
        <w:rPr>
          <w:lang w:val="bg-BG"/>
        </w:rPr>
        <w:t>ал.</w:t>
      </w:r>
      <w:r>
        <w:t xml:space="preserve"> 1 от Закона </w:t>
      </w:r>
      <w:r w:rsidRPr="0067034E">
        <w:t xml:space="preserve">за управлението и функционирането на системата за защита на националната сигурност от 2015 г. </w:t>
      </w:r>
      <w:r>
        <w:t>(„Законът от 2015</w:t>
      </w:r>
      <w:r w:rsidR="00704844">
        <w:t xml:space="preserve"> г</w:t>
      </w:r>
      <w:r>
        <w:t xml:space="preserve">.“); </w:t>
      </w:r>
      <w:r w:rsidR="00BD5B82">
        <w:rPr>
          <w:lang w:val="bg-BG"/>
        </w:rPr>
        <w:t>чл.</w:t>
      </w:r>
      <w:r>
        <w:t xml:space="preserve"> 16, </w:t>
      </w:r>
      <w:r>
        <w:rPr>
          <w:rFonts w:cstheme="minorHAnsi"/>
        </w:rPr>
        <w:t>§</w:t>
      </w:r>
      <w:r w:rsidR="00E26CB6">
        <w:t xml:space="preserve"> 1, т.</w:t>
      </w:r>
      <w:r>
        <w:t xml:space="preserve"> 11 </w:t>
      </w:r>
      <w:r w:rsidRPr="000F6B9D">
        <w:t>от Правилника на Народното събрание за</w:t>
      </w:r>
      <w:r>
        <w:t xml:space="preserve"> 2021–2022, 2022–2023 и 2023–2024 г</w:t>
      </w:r>
      <w:r w:rsidRPr="000F6B9D">
        <w:t xml:space="preserve">. </w:t>
      </w:r>
      <w:r>
        <w:t>(ко</w:t>
      </w:r>
      <w:r w:rsidR="00BD5B82">
        <w:rPr>
          <w:lang w:val="bg-BG"/>
        </w:rPr>
        <w:t>й</w:t>
      </w:r>
      <w:r w:rsidR="00BD5B82">
        <w:t xml:space="preserve">то е отменен с </w:t>
      </w:r>
      <w:r w:rsidR="00BD5B82">
        <w:rPr>
          <w:lang w:val="bg-BG"/>
        </w:rPr>
        <w:t>чл.</w:t>
      </w:r>
      <w:r>
        <w:t xml:space="preserve"> 16, </w:t>
      </w:r>
      <w:r>
        <w:rPr>
          <w:rFonts w:cstheme="minorHAnsi"/>
        </w:rPr>
        <w:t>§</w:t>
      </w:r>
      <w:r>
        <w:t xml:space="preserve"> 1, точка 10 от Правилника </w:t>
      </w:r>
      <w:r w:rsidRPr="000F6B9D">
        <w:t xml:space="preserve">на Народното събрание </w:t>
      </w:r>
      <w:r>
        <w:t>за 2024 г.);</w:t>
      </w:r>
      <w:r w:rsidRPr="000F6B9D">
        <w:t xml:space="preserve"> и </w:t>
      </w:r>
      <w:r w:rsidR="00BD5B82">
        <w:rPr>
          <w:lang w:val="bg-BG"/>
        </w:rPr>
        <w:t>чл.</w:t>
      </w:r>
      <w:r>
        <w:t xml:space="preserve"> 4 </w:t>
      </w:r>
      <w:r w:rsidRPr="000F6B9D">
        <w:t xml:space="preserve">от </w:t>
      </w:r>
      <w:r>
        <w:t xml:space="preserve">най-новите (и почти идентични) версии на </w:t>
      </w:r>
      <w:r w:rsidRPr="000F6B9D">
        <w:t>правилника на комисията</w:t>
      </w:r>
      <w:r>
        <w:t xml:space="preserve">, които </w:t>
      </w:r>
      <w:r w:rsidR="00BD5B82">
        <w:rPr>
          <w:lang w:val="bg-BG"/>
        </w:rPr>
        <w:t>са</w:t>
      </w:r>
      <w:r>
        <w:t xml:space="preserve"> приети през </w:t>
      </w:r>
      <w:r w:rsidR="00BD5B82">
        <w:rPr>
          <w:lang w:val="bg-BG"/>
        </w:rPr>
        <w:t xml:space="preserve">м. </w:t>
      </w:r>
      <w:r>
        <w:t>януари 2022 г.,</w:t>
      </w:r>
      <w:r w:rsidR="00BD5B82">
        <w:rPr>
          <w:lang w:val="bg-BG"/>
        </w:rPr>
        <w:t xml:space="preserve"> м.</w:t>
      </w:r>
      <w:r>
        <w:t xml:space="preserve"> ноември 2022 г., </w:t>
      </w:r>
      <w:r w:rsidR="00BD5B82">
        <w:rPr>
          <w:lang w:val="bg-BG"/>
        </w:rPr>
        <w:t xml:space="preserve">м. </w:t>
      </w:r>
      <w:r>
        <w:t xml:space="preserve">май 2023 г. и </w:t>
      </w:r>
      <w:r w:rsidR="00BD5B82">
        <w:rPr>
          <w:lang w:val="bg-BG"/>
        </w:rPr>
        <w:t xml:space="preserve">м. </w:t>
      </w:r>
      <w:r>
        <w:t xml:space="preserve">юли 2024 г.). През </w:t>
      </w:r>
      <w:r w:rsidR="00704844">
        <w:t>периода</w:t>
      </w:r>
      <w:r w:rsidR="00E26CB6">
        <w:t xml:space="preserve"> 2021-</w:t>
      </w:r>
      <w:r>
        <w:t>2023 г</w:t>
      </w:r>
      <w:r w:rsidR="00704844">
        <w:t xml:space="preserve">. </w:t>
      </w:r>
      <w:r w:rsidR="00B00C25">
        <w:t xml:space="preserve">комисията има </w:t>
      </w:r>
      <w:r>
        <w:t>четиринадесет членове, а от</w:t>
      </w:r>
      <w:r w:rsidR="00B00C25">
        <w:rPr>
          <w:lang w:val="bg-BG"/>
        </w:rPr>
        <w:t xml:space="preserve"> м.</w:t>
      </w:r>
      <w:r>
        <w:t xml:space="preserve"> май 2023 г. насам има дванадесет членове. </w:t>
      </w:r>
      <w:r w:rsidRPr="00B1032E">
        <w:t>Комисията се преобразува при всеки нов парламент</w:t>
      </w:r>
      <w:r>
        <w:t xml:space="preserve">. </w:t>
      </w:r>
      <w:r w:rsidRPr="00B421B2">
        <w:t xml:space="preserve">Съгласно </w:t>
      </w:r>
      <w:r>
        <w:t xml:space="preserve">всички последователни решения за нейното избиране (последните </w:t>
      </w:r>
      <w:r w:rsidR="00586DF1">
        <w:rPr>
          <w:lang w:val="bg-BG"/>
        </w:rPr>
        <w:t>са</w:t>
      </w:r>
      <w:r>
        <w:t xml:space="preserve"> взети през </w:t>
      </w:r>
      <w:r w:rsidR="00586DF1">
        <w:rPr>
          <w:lang w:val="bg-BG"/>
        </w:rPr>
        <w:t xml:space="preserve">м. </w:t>
      </w:r>
      <w:r>
        <w:t xml:space="preserve">декември 2021 г., </w:t>
      </w:r>
      <w:r w:rsidR="00586DF1">
        <w:rPr>
          <w:lang w:val="bg-BG"/>
        </w:rPr>
        <w:t xml:space="preserve">м. </w:t>
      </w:r>
      <w:r>
        <w:t xml:space="preserve">октомври 2022 г., </w:t>
      </w:r>
      <w:r w:rsidR="00586DF1">
        <w:rPr>
          <w:lang w:val="bg-BG"/>
        </w:rPr>
        <w:t xml:space="preserve">м. </w:t>
      </w:r>
      <w:r>
        <w:t xml:space="preserve">май 2023 г. и </w:t>
      </w:r>
      <w:r w:rsidR="00586DF1">
        <w:rPr>
          <w:lang w:val="bg-BG"/>
        </w:rPr>
        <w:t xml:space="preserve">м. </w:t>
      </w:r>
      <w:r>
        <w:t xml:space="preserve">юли 2024 г.), тя трябва да се състои от членове на парламента от всяка парламентарна група. Тя трябва да проверява, по-специално, дали в своята работа службите за </w:t>
      </w:r>
      <w:r>
        <w:lastRenderedPageBreak/>
        <w:t>сигурност спазват правните разпоредби, гарантиращи</w:t>
      </w:r>
      <w:r w:rsidR="001B4E5F">
        <w:t xml:space="preserve"> основните права на човека (чл.</w:t>
      </w:r>
      <w:r>
        <w:t xml:space="preserve"> 15, </w:t>
      </w:r>
      <w:r w:rsidR="00A21992">
        <w:rPr>
          <w:rFonts w:cstheme="minorHAnsi"/>
          <w:lang w:val="bg-BG"/>
        </w:rPr>
        <w:t>ал.</w:t>
      </w:r>
      <w:r>
        <w:t xml:space="preserve"> 1, точка 6 от </w:t>
      </w:r>
      <w:r w:rsidRPr="000F6B9D">
        <w:t>Правилника на комисията</w:t>
      </w:r>
      <w:r>
        <w:t xml:space="preserve">). Тя може да поиска от службите за сигурност да </w:t>
      </w:r>
      <w:r w:rsidR="00D26895">
        <w:t>изготвят тематични доклади (чл.</w:t>
      </w:r>
      <w:r>
        <w:t xml:space="preserve"> 15, </w:t>
      </w:r>
      <w:r w:rsidR="00D26895">
        <w:rPr>
          <w:rFonts w:cstheme="minorHAnsi"/>
          <w:lang w:val="bg-BG"/>
        </w:rPr>
        <w:t xml:space="preserve">ал. </w:t>
      </w:r>
      <w:r>
        <w:t xml:space="preserve">1, точка 4 от </w:t>
      </w:r>
      <w:r w:rsidRPr="000F6B9D">
        <w:t>Правилника на комисията</w:t>
      </w:r>
      <w:r>
        <w:t>). Тя може също така да разглежда доклади от физически лица или организации относно неправомерно поведение на служител</w:t>
      </w:r>
      <w:r w:rsidR="00D26895">
        <w:t>и на службите за сигурност (чл.</w:t>
      </w:r>
      <w:r>
        <w:t xml:space="preserve"> 15, </w:t>
      </w:r>
      <w:r w:rsidR="00E55794">
        <w:rPr>
          <w:rFonts w:cstheme="minorHAnsi"/>
          <w:lang w:val="bg-BG"/>
        </w:rPr>
        <w:t>ал.</w:t>
      </w:r>
      <w:r w:rsidR="00E55794">
        <w:t xml:space="preserve"> 1, т.</w:t>
      </w:r>
      <w:r>
        <w:t xml:space="preserve"> 9 от </w:t>
      </w:r>
      <w:r w:rsidRPr="000F6B9D">
        <w:t>Правилника на комисията</w:t>
      </w:r>
      <w:r>
        <w:t>) и да препраща незаконно поведение на тези служби, което е установила в хода на собствените си проверки (или за което са постъпили жалби от физически лица), към прокуратурата ил</w:t>
      </w:r>
      <w:r w:rsidR="00D26895">
        <w:t>и други компетентни органи (чл.</w:t>
      </w:r>
      <w:r>
        <w:t xml:space="preserve"> 15, </w:t>
      </w:r>
      <w:r w:rsidR="00E55794">
        <w:rPr>
          <w:rFonts w:cstheme="minorHAnsi"/>
          <w:lang w:val="bg-BG"/>
        </w:rPr>
        <w:t>ал.</w:t>
      </w:r>
      <w:r w:rsidR="00E55794">
        <w:t xml:space="preserve"> 1, т.</w:t>
      </w:r>
      <w:r>
        <w:t xml:space="preserve"> 10 от </w:t>
      </w:r>
      <w:r w:rsidRPr="000F6B9D">
        <w:t>Правилника на комисията</w:t>
      </w:r>
      <w:r>
        <w:t>).</w:t>
      </w:r>
    </w:p>
    <w:bookmarkStart w:id="112" w:name="RLF_SANSA_s_132_2_etc"/>
    <w:p w14:paraId="10CC9CA7" w14:textId="699E0E23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56</w:t>
      </w:r>
      <w:r w:rsidRPr="00625CAB">
        <w:fldChar w:fldCharType="end"/>
      </w:r>
      <w:bookmarkEnd w:id="112"/>
      <w:r w:rsidRPr="00625CAB">
        <w:t>.  </w:t>
      </w:r>
      <w:r w:rsidR="00E55794">
        <w:rPr>
          <w:lang w:val="bg-BG"/>
        </w:rPr>
        <w:t>Председателят</w:t>
      </w:r>
      <w:r>
        <w:t>, заместник-</w:t>
      </w:r>
      <w:r w:rsidR="00E55794">
        <w:rPr>
          <w:lang w:val="bg-BG"/>
        </w:rPr>
        <w:t xml:space="preserve">председателите </w:t>
      </w:r>
      <w:r>
        <w:t>и служителите на Агенцията трябва да се я</w:t>
      </w:r>
      <w:r w:rsidR="00845371">
        <w:t>вят пред Парламента или Коми</w:t>
      </w:r>
      <w:r w:rsidR="00845371">
        <w:rPr>
          <w:lang w:val="bg-BG"/>
        </w:rPr>
        <w:t>сията</w:t>
      </w:r>
      <w:r>
        <w:t>, ако бъдат поканени да го направят, и да предоставят на тях всяка информация, която са длъжни да разкрият (</w:t>
      </w:r>
      <w:r w:rsidR="00845371">
        <w:rPr>
          <w:lang w:val="bg-BG"/>
        </w:rPr>
        <w:t xml:space="preserve">чл. </w:t>
      </w:r>
      <w:r>
        <w:t xml:space="preserve">132, </w:t>
      </w:r>
      <w:r w:rsidR="00845371">
        <w:rPr>
          <w:lang w:val="bg-BG"/>
        </w:rPr>
        <w:t>ал.</w:t>
      </w:r>
      <w:r w:rsidR="00845371">
        <w:t xml:space="preserve"> 2 от Закона от 2007 г., чл. 22, ал.</w:t>
      </w:r>
      <w:r>
        <w:t xml:space="preserve"> 2 от Закона от 2015 г. и член 15, </w:t>
      </w:r>
      <w:r w:rsidR="00845371">
        <w:rPr>
          <w:rFonts w:cstheme="minorHAnsi"/>
          <w:lang w:val="bg-BG"/>
        </w:rPr>
        <w:t>ал.</w:t>
      </w:r>
      <w:r>
        <w:t xml:space="preserve"> 1, точка 5 от </w:t>
      </w:r>
      <w:r w:rsidR="00807DDE">
        <w:t>Правилника на Комисията</w:t>
      </w:r>
      <w:r>
        <w:t xml:space="preserve">). </w:t>
      </w:r>
      <w:r w:rsidRPr="00F21746">
        <w:rPr>
          <w:i/>
          <w:iCs/>
        </w:rPr>
        <w:t xml:space="preserve">В края </w:t>
      </w:r>
      <w:r>
        <w:t xml:space="preserve">на член 22, </w:t>
      </w:r>
      <w:r w:rsidR="00807DDE">
        <w:rPr>
          <w:lang w:val="bg-BG"/>
        </w:rPr>
        <w:t>ал.</w:t>
      </w:r>
      <w:r>
        <w:t xml:space="preserve"> 2 от Закона от 2015 г. се предвижда, че това трябва да се извърши по начин, който е в съответствие с изискванията на </w:t>
      </w:r>
      <w:r w:rsidRPr="00186680">
        <w:t xml:space="preserve">Закона за защита на </w:t>
      </w:r>
      <w:r>
        <w:t xml:space="preserve">класифицираната информация </w:t>
      </w:r>
      <w:r w:rsidR="00807DDE">
        <w:t>от 2002 г</w:t>
      </w:r>
      <w:r>
        <w:t>.</w:t>
      </w:r>
    </w:p>
    <w:p w14:paraId="14A25B5B" w14:textId="77777777" w:rsidR="00304BC9" w:rsidRPr="00625CAB" w:rsidRDefault="000F3485" w:rsidP="00304BC9">
      <w:pPr>
        <w:pStyle w:val="JuH1"/>
      </w:pPr>
      <w:bookmarkStart w:id="113" w:name="_Toc232688265"/>
      <w:r w:rsidRPr="00625CAB">
        <w:t>От правителството</w:t>
      </w:r>
      <w:bookmarkEnd w:id="113"/>
    </w:p>
    <w:bookmarkStart w:id="114" w:name="RLF_SANSA_s_132_3_etc"/>
    <w:p w14:paraId="33977DBD" w14:textId="7FEE2E99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57</w:t>
      </w:r>
      <w:r w:rsidRPr="00625CAB">
        <w:fldChar w:fldCharType="end"/>
      </w:r>
      <w:bookmarkEnd w:id="114"/>
      <w:r w:rsidR="00041130">
        <w:t>. </w:t>
      </w:r>
      <w:r w:rsidR="00807DDE">
        <w:rPr>
          <w:lang w:val="bg-BG"/>
        </w:rPr>
        <w:t>Председателят</w:t>
      </w:r>
      <w:r>
        <w:t xml:space="preserve"> на Агенцията представя на правителството годишен доклад за дейността на Агенцията, а правителството от своя страна внася този доклад в Парламента</w:t>
      </w:r>
      <w:r w:rsidR="009A29C7">
        <w:t>, който го одобрява (чл.</w:t>
      </w:r>
      <w:r w:rsidR="00807DDE">
        <w:t xml:space="preserve"> 132, ал.</w:t>
      </w:r>
      <w:r>
        <w:t xml:space="preserve"> 3 о</w:t>
      </w:r>
      <w:r w:rsidR="009A29C7">
        <w:t>т Закона от 2007 г. и чл.</w:t>
      </w:r>
      <w:r w:rsidR="00807DDE">
        <w:t xml:space="preserve"> 22, ал.</w:t>
      </w:r>
      <w:r>
        <w:t xml:space="preserve"> 3 от Закона от 2015 г.).</w:t>
      </w:r>
    </w:p>
    <w:p w14:paraId="55BF80AB" w14:textId="77777777" w:rsidR="00304BC9" w:rsidRPr="00625CAB" w:rsidRDefault="000F3485" w:rsidP="00304BC9">
      <w:pPr>
        <w:pStyle w:val="JuH1"/>
      </w:pPr>
      <w:bookmarkStart w:id="115" w:name="_Toc232688266"/>
      <w:r w:rsidRPr="00625CAB">
        <w:t>От президента на републиката</w:t>
      </w:r>
      <w:bookmarkEnd w:id="115"/>
    </w:p>
    <w:bookmarkStart w:id="116" w:name="RLF_SANSA_s_132a"/>
    <w:p w14:paraId="2EB80520" w14:textId="4093B67A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58</w:t>
      </w:r>
      <w:r w:rsidRPr="00625CAB">
        <w:fldChar w:fldCharType="end"/>
      </w:r>
      <w:bookmarkEnd w:id="116"/>
      <w:r w:rsidR="00041130">
        <w:t>. </w:t>
      </w:r>
      <w:r>
        <w:t xml:space="preserve">Президентът на републиката може да изисква от </w:t>
      </w:r>
      <w:r w:rsidR="000141EA">
        <w:rPr>
          <w:lang w:val="bg-BG"/>
        </w:rPr>
        <w:t>председателя</w:t>
      </w:r>
      <w:r>
        <w:t xml:space="preserve"> на Агенцията да изготви анализи на въпроси, свързан</w:t>
      </w:r>
      <w:r w:rsidR="00265852">
        <w:t>и с националната сигурност (чл.</w:t>
      </w:r>
      <w:r>
        <w:t xml:space="preserve"> 132а от Закона от 2007 г.).</w:t>
      </w:r>
    </w:p>
    <w:p w14:paraId="64A970C4" w14:textId="77777777" w:rsidR="00304BC9" w:rsidRPr="00625CAB" w:rsidRDefault="000F3485" w:rsidP="00304BC9">
      <w:pPr>
        <w:pStyle w:val="JuHA"/>
      </w:pPr>
      <w:bookmarkStart w:id="117" w:name="_Toc175214977"/>
      <w:bookmarkStart w:id="118" w:name="_Toc232688267"/>
      <w:r w:rsidRPr="00625CAB">
        <w:t>Достъп до лични данни, обработвани от Агенцията</w:t>
      </w:r>
      <w:bookmarkEnd w:id="117"/>
      <w:bookmarkEnd w:id="118"/>
    </w:p>
    <w:p w14:paraId="53580EBB" w14:textId="3AB26DCE" w:rsidR="00304BC9" w:rsidRPr="00625CAB" w:rsidRDefault="000F3485" w:rsidP="00304BC9">
      <w:pPr>
        <w:pStyle w:val="JuH1"/>
      </w:pPr>
      <w:bookmarkStart w:id="119" w:name="_Toc175214978"/>
      <w:bookmarkStart w:id="120" w:name="_Toc232688268"/>
      <w:r w:rsidRPr="00625CAB">
        <w:t xml:space="preserve">Съответни законови </w:t>
      </w:r>
      <w:r w:rsidR="004403EE">
        <w:rPr>
          <w:lang w:val="bg-BG"/>
        </w:rPr>
        <w:t xml:space="preserve">и позакнови </w:t>
      </w:r>
      <w:r w:rsidRPr="00625CAB">
        <w:t>разпоредби</w:t>
      </w:r>
      <w:bookmarkEnd w:id="119"/>
      <w:bookmarkEnd w:id="120"/>
    </w:p>
    <w:bookmarkStart w:id="121" w:name="RLF_SANSA_s_35_3"/>
    <w:p w14:paraId="7439FB9D" w14:textId="2A316F8C" w:rsidR="00304BC9" w:rsidRPr="00625CAB" w:rsidRDefault="000F3485" w:rsidP="00304BC9">
      <w:pPr>
        <w:pStyle w:val="JuPara"/>
      </w:pPr>
      <w:r w:rsidRPr="00625CAB">
        <w:rPr>
          <w:lang w:bidi="en-US"/>
        </w:rPr>
        <w:fldChar w:fldCharType="begin"/>
      </w:r>
      <w:r w:rsidRPr="00625CAB">
        <w:rPr>
          <w:lang w:bidi="en-US"/>
        </w:rPr>
        <w:instrText xml:space="preserve"> SEQ level0 \*arabic \* MERGEFORMAT </w:instrText>
      </w:r>
      <w:r w:rsidRPr="00625CAB">
        <w:rPr>
          <w:lang w:bidi="en-US"/>
        </w:rPr>
        <w:fldChar w:fldCharType="separate"/>
      </w:r>
      <w:r w:rsidR="00F21D3F">
        <w:rPr>
          <w:noProof/>
          <w:lang w:bidi="en-US"/>
        </w:rPr>
        <w:t>59</w:t>
      </w:r>
      <w:r w:rsidRPr="00625CAB">
        <w:rPr>
          <w:lang w:bidi="en-US"/>
        </w:rPr>
        <w:fldChar w:fldCharType="end"/>
      </w:r>
      <w:bookmarkEnd w:id="121"/>
      <w:r w:rsidR="00041130">
        <w:rPr>
          <w:lang w:bidi="en-US"/>
        </w:rPr>
        <w:t xml:space="preserve">. </w:t>
      </w:r>
      <w:r w:rsidRPr="00625CAB">
        <w:rPr>
          <w:lang w:bidi="en-US"/>
        </w:rPr>
        <w:t>Служителите на Агенцията не могат да разкриват информация, с която разполага Агенцията, на други държавни органи, организации, юридически лица или частни лица, освен в слу</w:t>
      </w:r>
      <w:r w:rsidR="005E7909">
        <w:rPr>
          <w:lang w:bidi="en-US"/>
        </w:rPr>
        <w:t>чаите, предвидени в закона (чл.</w:t>
      </w:r>
      <w:r w:rsidRPr="00625CAB">
        <w:rPr>
          <w:lang w:bidi="en-US"/>
        </w:rPr>
        <w:t xml:space="preserve"> 35, </w:t>
      </w:r>
      <w:r w:rsidR="004403EE">
        <w:rPr>
          <w:lang w:val="bg-BG" w:bidi="en-US"/>
        </w:rPr>
        <w:t>ал.</w:t>
      </w:r>
      <w:r w:rsidRPr="00625CAB">
        <w:rPr>
          <w:lang w:bidi="en-US"/>
        </w:rPr>
        <w:t xml:space="preserve"> 3).</w:t>
      </w:r>
    </w:p>
    <w:bookmarkStart w:id="122" w:name="RLF_SANSA_s_36_4_5_6"/>
    <w:p w14:paraId="6F76B483" w14:textId="69904C29" w:rsidR="00304BC9" w:rsidRPr="00625CAB" w:rsidRDefault="000F3485" w:rsidP="00304BC9">
      <w:pPr>
        <w:pStyle w:val="JuPara"/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60</w:t>
      </w:r>
      <w:r w:rsidRPr="00625CAB">
        <w:fldChar w:fldCharType="end"/>
      </w:r>
      <w:bookmarkEnd w:id="122"/>
      <w:r w:rsidR="00041130">
        <w:t>. </w:t>
      </w:r>
      <w:r>
        <w:t xml:space="preserve">Всеки има право да поиска достъп до лични данни, които се отнасят до него и се обработват в </w:t>
      </w:r>
      <w:r w:rsidR="004403EE">
        <w:rPr>
          <w:lang w:val="bg-BG"/>
        </w:rPr>
        <w:t>информационните фондове</w:t>
      </w:r>
      <w:r>
        <w:t xml:space="preserve"> на А</w:t>
      </w:r>
      <w:r w:rsidR="005E7909">
        <w:t>генцията без негово знание (чл.</w:t>
      </w:r>
      <w:r>
        <w:t xml:space="preserve"> 36, </w:t>
      </w:r>
      <w:r w:rsidR="004403EE">
        <w:rPr>
          <w:lang w:val="bg-BG"/>
        </w:rPr>
        <w:t>ал.</w:t>
      </w:r>
      <w:r>
        <w:t xml:space="preserve"> 4). </w:t>
      </w:r>
      <w:r w:rsidR="00545FF0">
        <w:rPr>
          <w:lang w:val="bg-BG"/>
        </w:rPr>
        <w:t>Предсеателят</w:t>
      </w:r>
      <w:r>
        <w:t xml:space="preserve"> на Агенцията или надлежно упълномощен негов заместник трябва да отговори на </w:t>
      </w:r>
      <w:r>
        <w:lastRenderedPageBreak/>
        <w:t>такова искане в срок от четирина</w:t>
      </w:r>
      <w:r w:rsidR="005E7909">
        <w:t>десет дни от подаването му (чл.</w:t>
      </w:r>
      <w:r>
        <w:t xml:space="preserve"> 36, </w:t>
      </w:r>
      <w:r w:rsidR="00545FF0">
        <w:rPr>
          <w:lang w:val="bg-BG"/>
        </w:rPr>
        <w:t>ал.</w:t>
      </w:r>
      <w:r>
        <w:t xml:space="preserve"> 5). Ако физическо лице поиска това, на него трябва да бъде предоставено хартиено копие на всички лични данни, отнасящи се до него, които се обработват</w:t>
      </w:r>
      <w:r w:rsidR="005E7909">
        <w:t xml:space="preserve"> от Агенцията (чл.</w:t>
      </w:r>
      <w:r>
        <w:t xml:space="preserve"> 36, </w:t>
      </w:r>
      <w:r w:rsidR="00545FF0">
        <w:rPr>
          <w:lang w:val="bg-BG"/>
        </w:rPr>
        <w:t>ал.</w:t>
      </w:r>
      <w:r>
        <w:t xml:space="preserve"> 6).</w:t>
      </w:r>
    </w:p>
    <w:bookmarkStart w:id="123" w:name="RLF_SANSA_s_35_2"/>
    <w:p w14:paraId="37F7F6CF" w14:textId="3A4B8F9D" w:rsidR="00304BC9" w:rsidRPr="00765BF5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61</w:t>
      </w:r>
      <w:r w:rsidRPr="00625CAB">
        <w:fldChar w:fldCharType="end"/>
      </w:r>
      <w:bookmarkEnd w:id="123"/>
      <w:r w:rsidR="00041130">
        <w:rPr>
          <w:lang w:val="bg-BG"/>
        </w:rPr>
        <w:t xml:space="preserve">. </w:t>
      </w:r>
      <w:r w:rsidRPr="00765BF5">
        <w:rPr>
          <w:lang w:val="bg-BG"/>
        </w:rPr>
        <w:t>Ако упражняването на правото на достъп може да разкрие лични данни на друго лице, администраторът на данни трябва да предостави достъп само до онези данни, които се отнасят до лицет</w:t>
      </w:r>
      <w:r w:rsidR="009D6630">
        <w:rPr>
          <w:lang w:val="bg-BG"/>
        </w:rPr>
        <w:t>о, което иска достъп (чл.</w:t>
      </w:r>
      <w:r w:rsidR="00765BF5" w:rsidRPr="00765BF5">
        <w:rPr>
          <w:lang w:val="bg-BG"/>
        </w:rPr>
        <w:t xml:space="preserve"> 35, ал. </w:t>
      </w:r>
      <w:r w:rsidRPr="00765BF5">
        <w:rPr>
          <w:lang w:val="bg-BG"/>
        </w:rPr>
        <w:t>2).</w:t>
      </w:r>
    </w:p>
    <w:bookmarkStart w:id="124" w:name="RLF_SANSA_s_36_10"/>
    <w:p w14:paraId="3EC4285C" w14:textId="3AA59C9E" w:rsidR="00304BC9" w:rsidRPr="00625CAB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3511A9">
        <w:rPr>
          <w:lang w:val="bg-BG"/>
        </w:rPr>
        <w:instrText xml:space="preserve"> </w:instrText>
      </w:r>
      <w:r w:rsidRPr="00625CAB">
        <w:instrText>SEQ</w:instrText>
      </w:r>
      <w:r w:rsidRPr="003511A9">
        <w:rPr>
          <w:lang w:val="bg-BG"/>
        </w:rPr>
        <w:instrText xml:space="preserve"> </w:instrText>
      </w:r>
      <w:r w:rsidRPr="00625CAB">
        <w:instrText>level</w:instrText>
      </w:r>
      <w:r w:rsidRPr="003511A9">
        <w:rPr>
          <w:lang w:val="bg-BG"/>
        </w:rPr>
        <w:instrText>0 \*</w:instrText>
      </w:r>
      <w:r w:rsidRPr="00625CAB">
        <w:instrText>arabic</w:instrText>
      </w:r>
      <w:r w:rsidRPr="003511A9">
        <w:rPr>
          <w:lang w:val="bg-BG"/>
        </w:rPr>
        <w:instrText xml:space="preserve"> \* </w:instrText>
      </w:r>
      <w:r w:rsidRPr="00625CAB">
        <w:instrText>MERGEFORMAT</w:instrText>
      </w:r>
      <w:r w:rsidRPr="003511A9">
        <w:rPr>
          <w:lang w:val="bg-BG"/>
        </w:rPr>
        <w:instrText xml:space="preserve"> </w:instrText>
      </w:r>
      <w:r w:rsidRPr="00625CAB">
        <w:fldChar w:fldCharType="separate"/>
      </w:r>
      <w:r w:rsidR="00F21D3F" w:rsidRPr="003511A9">
        <w:rPr>
          <w:noProof/>
          <w:lang w:val="bg-BG"/>
        </w:rPr>
        <w:t>62</w:t>
      </w:r>
      <w:r w:rsidRPr="00625CAB">
        <w:fldChar w:fldCharType="end"/>
      </w:r>
      <w:bookmarkEnd w:id="124"/>
      <w:r w:rsidR="00041130" w:rsidRPr="003511A9">
        <w:rPr>
          <w:lang w:val="bg-BG"/>
        </w:rPr>
        <w:t>.</w:t>
      </w:r>
      <w:r w:rsidR="00041130">
        <w:t> </w:t>
      </w:r>
      <w:r w:rsidR="007F5893" w:rsidRPr="003511A9">
        <w:rPr>
          <w:lang w:val="bg-BG"/>
        </w:rPr>
        <w:t>Точният ред</w:t>
      </w:r>
      <w:r w:rsidRPr="003511A9">
        <w:rPr>
          <w:lang w:val="bg-BG"/>
        </w:rPr>
        <w:t xml:space="preserve"> за достъп до базите данни на Агенцията е </w:t>
      </w:r>
      <w:r w:rsidR="00765BF5">
        <w:rPr>
          <w:lang w:val="bg-BG"/>
        </w:rPr>
        <w:t>уреден</w:t>
      </w:r>
      <w:r w:rsidR="00765BF5" w:rsidRPr="003511A9">
        <w:rPr>
          <w:lang w:val="bg-BG"/>
        </w:rPr>
        <w:t xml:space="preserve"> в наредба, </w:t>
      </w:r>
      <w:r w:rsidR="00F64DBD">
        <w:rPr>
          <w:lang w:val="bg-BG"/>
        </w:rPr>
        <w:t>издадена</w:t>
      </w:r>
      <w:r w:rsidRPr="003511A9">
        <w:rPr>
          <w:lang w:val="bg-BG"/>
        </w:rPr>
        <w:t xml:space="preserve"> от нейния </w:t>
      </w:r>
      <w:r w:rsidR="00765BF5">
        <w:rPr>
          <w:lang w:val="bg-BG"/>
        </w:rPr>
        <w:t>председател</w:t>
      </w:r>
      <w:r w:rsidRPr="003511A9">
        <w:rPr>
          <w:lang w:val="bg-BG"/>
        </w:rPr>
        <w:t xml:space="preserve"> (</w:t>
      </w:r>
      <w:r w:rsidR="00765BF5">
        <w:rPr>
          <w:lang w:val="bg-BG"/>
        </w:rPr>
        <w:t>чл.</w:t>
      </w:r>
      <w:r w:rsidR="00765BF5" w:rsidRPr="003511A9">
        <w:rPr>
          <w:lang w:val="bg-BG"/>
        </w:rPr>
        <w:t>36, ал. 10</w:t>
      </w:r>
      <w:r w:rsidR="00F64DBD" w:rsidRPr="003511A9">
        <w:rPr>
          <w:lang w:val="bg-BG"/>
        </w:rPr>
        <w:t>). Тази наредба</w:t>
      </w:r>
      <w:r w:rsidRPr="003511A9">
        <w:rPr>
          <w:lang w:val="bg-BG"/>
        </w:rPr>
        <w:t xml:space="preserve"> </w:t>
      </w:r>
      <w:r w:rsidRPr="00BE7658">
        <w:rPr>
          <w:lang w:val="ru-RU"/>
        </w:rPr>
        <w:t>(</w:t>
      </w:r>
      <w:r w:rsidRPr="0024335B">
        <w:rPr>
          <w:i/>
          <w:iCs/>
          <w:lang w:val="bg-BG"/>
        </w:rPr>
        <w:t xml:space="preserve">Наредба № I-7 от 13.07.2009 г. за реда за достъп до информационните фондове на Държавна агенция „Национална </w:t>
      </w:r>
      <w:r>
        <w:rPr>
          <w:i/>
          <w:iCs/>
          <w:lang w:val="bg-BG"/>
        </w:rPr>
        <w:t>сигурност“</w:t>
      </w:r>
      <w:r w:rsidRPr="00BE7658">
        <w:rPr>
          <w:lang w:val="ru-RU"/>
        </w:rPr>
        <w:t xml:space="preserve">) </w:t>
      </w:r>
      <w:r w:rsidR="00F64DBD">
        <w:rPr>
          <w:lang w:val="bg-BG"/>
        </w:rPr>
        <w:t>е издадена</w:t>
      </w:r>
      <w:r w:rsidRPr="003511A9">
        <w:rPr>
          <w:lang w:val="bg-BG"/>
        </w:rPr>
        <w:t xml:space="preserve"> през</w:t>
      </w:r>
      <w:r w:rsidRPr="00BE7658">
        <w:rPr>
          <w:lang w:val="ru-RU"/>
        </w:rPr>
        <w:t xml:space="preserve"> 2009 г.</w:t>
      </w:r>
    </w:p>
    <w:bookmarkStart w:id="125" w:name="RLF_SANSA_s_36_7"/>
    <w:p w14:paraId="064D1E01" w14:textId="4D6F0D72" w:rsidR="00304BC9" w:rsidRPr="002F2B60" w:rsidRDefault="000F3485" w:rsidP="00304BC9">
      <w:pPr>
        <w:pStyle w:val="JuPara"/>
        <w:rPr>
          <w:lang w:val="bg-BG"/>
        </w:rPr>
      </w:pPr>
      <w:r w:rsidRPr="00625CAB">
        <w:rPr>
          <w:lang w:val="bg-BG"/>
        </w:rPr>
        <w:fldChar w:fldCharType="begin"/>
      </w:r>
      <w:r w:rsidRPr="00625CAB">
        <w:rPr>
          <w:lang w:val="bg-BG"/>
        </w:rPr>
        <w:instrText xml:space="preserve"> SEQ level0 \*arabic \* MERGEFORMAT </w:instrText>
      </w:r>
      <w:r w:rsidRPr="00625CAB">
        <w:rPr>
          <w:lang w:val="bg-BG"/>
        </w:rPr>
        <w:fldChar w:fldCharType="separate"/>
      </w:r>
      <w:r w:rsidR="00F21D3F">
        <w:rPr>
          <w:noProof/>
          <w:lang w:val="bg-BG"/>
        </w:rPr>
        <w:t>63</w:t>
      </w:r>
      <w:r w:rsidRPr="00625CAB">
        <w:rPr>
          <w:lang w:val="bg-BG"/>
        </w:rPr>
        <w:fldChar w:fldCharType="end"/>
      </w:r>
      <w:bookmarkEnd w:id="125"/>
      <w:r w:rsidR="00041130">
        <w:rPr>
          <w:lang w:val="bg-BG"/>
        </w:rPr>
        <w:t>. </w:t>
      </w:r>
      <w:r w:rsidRPr="002F2B60">
        <w:rPr>
          <w:lang w:val="bg-BG"/>
        </w:rPr>
        <w:t xml:space="preserve">Агенцията може да откаже, изцяло или частично, да разкрие данни, ако това би застрашило националната сигурност, защитата на информация, класифицирана като „държавна тайна“ или „служебна тайна“, или поверителността на източниците ѝ на информация или на </w:t>
      </w:r>
      <w:r w:rsidR="00583D77">
        <w:rPr>
          <w:lang w:val="bg-BG"/>
        </w:rPr>
        <w:t>н</w:t>
      </w:r>
      <w:r w:rsidR="00583D77" w:rsidRPr="00583D77">
        <w:rPr>
          <w:lang w:val="bg-BG"/>
        </w:rPr>
        <w:t>егласните методи и средства</w:t>
      </w:r>
      <w:r w:rsidRPr="002F2B60">
        <w:rPr>
          <w:lang w:val="bg-BG"/>
        </w:rPr>
        <w:t>, които използва за събиране на тази информация, или ако разкриването по друг начин би попречило на законоустано</w:t>
      </w:r>
      <w:r w:rsidR="00153596">
        <w:rPr>
          <w:lang w:val="bg-BG"/>
        </w:rPr>
        <w:t>вените задачи на Агенцията (чл.</w:t>
      </w:r>
      <w:r w:rsidRPr="002F2B60">
        <w:rPr>
          <w:lang w:val="bg-BG"/>
        </w:rPr>
        <w:t xml:space="preserve"> 36, </w:t>
      </w:r>
      <w:r w:rsidR="00FD4878">
        <w:rPr>
          <w:lang w:val="bg-BG"/>
        </w:rPr>
        <w:t xml:space="preserve">ал. 7 и чл. </w:t>
      </w:r>
      <w:r w:rsidRPr="002F2B60">
        <w:rPr>
          <w:lang w:val="bg-BG"/>
        </w:rPr>
        <w:t xml:space="preserve">11, </w:t>
      </w:r>
      <w:r w:rsidR="00FD4878">
        <w:rPr>
          <w:lang w:val="bg-BG"/>
        </w:rPr>
        <w:t>ал.</w:t>
      </w:r>
      <w:r w:rsidRPr="002F2B60">
        <w:rPr>
          <w:lang w:val="bg-BG"/>
        </w:rPr>
        <w:t xml:space="preserve"> 1).</w:t>
      </w:r>
    </w:p>
    <w:bookmarkStart w:id="126" w:name="RLF_SANSA_s_36_8"/>
    <w:p w14:paraId="5784B1E7" w14:textId="43659B9E" w:rsidR="00304BC9" w:rsidRPr="002F2B60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2F2B60">
        <w:rPr>
          <w:lang w:val="bg-BG"/>
        </w:rPr>
        <w:instrText xml:space="preserve"> </w:instrText>
      </w:r>
      <w:r w:rsidRPr="00625CAB">
        <w:instrText>SEQ</w:instrText>
      </w:r>
      <w:r w:rsidRPr="002F2B60">
        <w:rPr>
          <w:lang w:val="bg-BG"/>
        </w:rPr>
        <w:instrText xml:space="preserve"> </w:instrText>
      </w:r>
      <w:r w:rsidRPr="00625CAB">
        <w:instrText>level</w:instrText>
      </w:r>
      <w:r w:rsidRPr="002F2B60">
        <w:rPr>
          <w:lang w:val="bg-BG"/>
        </w:rPr>
        <w:instrText>0 \*</w:instrText>
      </w:r>
      <w:r w:rsidRPr="00625CAB">
        <w:instrText>arabic</w:instrText>
      </w:r>
      <w:r w:rsidRPr="002F2B60">
        <w:rPr>
          <w:lang w:val="bg-BG"/>
        </w:rPr>
        <w:instrText xml:space="preserve"> \* </w:instrText>
      </w:r>
      <w:r w:rsidRPr="00625CAB">
        <w:instrText>MERGEFORMAT</w:instrText>
      </w:r>
      <w:r w:rsidRPr="002F2B60">
        <w:rPr>
          <w:lang w:val="bg-BG"/>
        </w:rPr>
        <w:instrText xml:space="preserve"> </w:instrText>
      </w:r>
      <w:r w:rsidRPr="00625CAB">
        <w:fldChar w:fldCharType="separate"/>
      </w:r>
      <w:r w:rsidR="00F21D3F" w:rsidRPr="002F2B60">
        <w:rPr>
          <w:noProof/>
          <w:lang w:val="bg-BG"/>
        </w:rPr>
        <w:t>64</w:t>
      </w:r>
      <w:r w:rsidRPr="00625CAB">
        <w:fldChar w:fldCharType="end"/>
      </w:r>
      <w:bookmarkEnd w:id="126"/>
      <w:r w:rsidR="00041130" w:rsidRPr="002F2B60">
        <w:rPr>
          <w:lang w:val="bg-BG"/>
        </w:rPr>
        <w:t>.</w:t>
      </w:r>
      <w:r w:rsidR="00041130">
        <w:t> </w:t>
      </w:r>
      <w:r w:rsidRPr="002F2B60">
        <w:rPr>
          <w:lang w:val="bg-BG"/>
        </w:rPr>
        <w:t>Лице, чието искане е било отхвърлено, трябва да бъде уведомено за това в писмена форма, но е необходимо да бъдат посочени само правните основания за този отказ (</w:t>
      </w:r>
      <w:r w:rsidR="00583D77">
        <w:rPr>
          <w:lang w:val="bg-BG"/>
        </w:rPr>
        <w:t>чл.</w:t>
      </w:r>
      <w:r w:rsidRPr="002F2B60">
        <w:rPr>
          <w:lang w:val="bg-BG"/>
        </w:rPr>
        <w:t xml:space="preserve"> 36, </w:t>
      </w:r>
      <w:r w:rsidR="00583D77">
        <w:rPr>
          <w:lang w:val="bg-BG"/>
        </w:rPr>
        <w:t xml:space="preserve">ал. </w:t>
      </w:r>
      <w:r w:rsidR="00476F07">
        <w:rPr>
          <w:lang w:val="bg-BG"/>
        </w:rPr>
        <w:t xml:space="preserve">8 и чл. </w:t>
      </w:r>
      <w:r w:rsidRPr="002F2B60">
        <w:rPr>
          <w:lang w:val="bg-BG"/>
        </w:rPr>
        <w:t xml:space="preserve">11, </w:t>
      </w:r>
      <w:r w:rsidR="00476F07">
        <w:rPr>
          <w:lang w:val="bg-BG"/>
        </w:rPr>
        <w:t>ал.</w:t>
      </w:r>
      <w:r w:rsidRPr="002F2B60">
        <w:rPr>
          <w:lang w:val="bg-BG"/>
        </w:rPr>
        <w:t xml:space="preserve"> 2). Липсата на отговор в рамките на срока се счита за отказ (</w:t>
      </w:r>
      <w:r w:rsidR="00476F07">
        <w:rPr>
          <w:lang w:val="bg-BG"/>
        </w:rPr>
        <w:t>чл.</w:t>
      </w:r>
      <w:r w:rsidRPr="002F2B60">
        <w:rPr>
          <w:lang w:val="bg-BG"/>
        </w:rPr>
        <w:t xml:space="preserve"> 36, </w:t>
      </w:r>
      <w:r w:rsidR="00476F07">
        <w:rPr>
          <w:lang w:val="bg-BG"/>
        </w:rPr>
        <w:t>ал.</w:t>
      </w:r>
      <w:r w:rsidRPr="002F2B60">
        <w:rPr>
          <w:lang w:val="bg-BG"/>
        </w:rPr>
        <w:t xml:space="preserve"> 8, </w:t>
      </w:r>
      <w:r w:rsidRPr="002F2B60">
        <w:rPr>
          <w:i/>
          <w:iCs/>
          <w:lang w:val="bg-BG"/>
        </w:rPr>
        <w:t>в края</w:t>
      </w:r>
      <w:r w:rsidRPr="002F2B60">
        <w:rPr>
          <w:lang w:val="bg-BG"/>
        </w:rPr>
        <w:t>).</w:t>
      </w:r>
    </w:p>
    <w:bookmarkStart w:id="127" w:name="RLF_SANSA_s_36_9"/>
    <w:p w14:paraId="18A9C4D6" w14:textId="2227E596" w:rsidR="00304BC9" w:rsidRPr="002F2B60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2F2B60">
        <w:rPr>
          <w:lang w:val="bg-BG"/>
        </w:rPr>
        <w:instrText xml:space="preserve"> </w:instrText>
      </w:r>
      <w:r w:rsidRPr="00625CAB">
        <w:instrText>SEQ</w:instrText>
      </w:r>
      <w:r w:rsidRPr="002F2B60">
        <w:rPr>
          <w:lang w:val="bg-BG"/>
        </w:rPr>
        <w:instrText xml:space="preserve"> </w:instrText>
      </w:r>
      <w:r w:rsidRPr="00625CAB">
        <w:instrText>level</w:instrText>
      </w:r>
      <w:r w:rsidRPr="002F2B60">
        <w:rPr>
          <w:lang w:val="bg-BG"/>
        </w:rPr>
        <w:instrText>0 \*</w:instrText>
      </w:r>
      <w:r w:rsidRPr="00625CAB">
        <w:instrText>arabic</w:instrText>
      </w:r>
      <w:r w:rsidRPr="002F2B60">
        <w:rPr>
          <w:lang w:val="bg-BG"/>
        </w:rPr>
        <w:instrText xml:space="preserve"> \* </w:instrText>
      </w:r>
      <w:r w:rsidRPr="00625CAB">
        <w:instrText>MERGEFORMAT</w:instrText>
      </w:r>
      <w:r w:rsidRPr="002F2B60">
        <w:rPr>
          <w:lang w:val="bg-BG"/>
        </w:rPr>
        <w:instrText xml:space="preserve"> </w:instrText>
      </w:r>
      <w:r w:rsidRPr="00625CAB">
        <w:fldChar w:fldCharType="separate"/>
      </w:r>
      <w:r w:rsidR="00F21D3F" w:rsidRPr="002F2B60">
        <w:rPr>
          <w:noProof/>
          <w:lang w:val="bg-BG"/>
        </w:rPr>
        <w:t>65</w:t>
      </w:r>
      <w:r w:rsidRPr="00625CAB">
        <w:fldChar w:fldCharType="end"/>
      </w:r>
      <w:bookmarkEnd w:id="127"/>
      <w:r w:rsidR="00041130">
        <w:rPr>
          <w:lang w:val="bg-BG"/>
        </w:rPr>
        <w:t xml:space="preserve">. </w:t>
      </w:r>
      <w:r w:rsidRPr="002F2B60">
        <w:rPr>
          <w:lang w:val="bg-BG"/>
        </w:rPr>
        <w:t>Всеки такъв отказ подлежи на съдебно обжалване съгласно съответните разпоредби на Админист</w:t>
      </w:r>
      <w:r w:rsidR="00C56159">
        <w:rPr>
          <w:lang w:val="bg-BG"/>
        </w:rPr>
        <w:t>ративнопроцесуалния кодекс (чл.</w:t>
      </w:r>
      <w:r w:rsidRPr="002F2B60">
        <w:rPr>
          <w:lang w:val="bg-BG"/>
        </w:rPr>
        <w:t xml:space="preserve"> 36, </w:t>
      </w:r>
      <w:r w:rsidR="00476F07">
        <w:rPr>
          <w:lang w:val="bg-BG"/>
        </w:rPr>
        <w:t>ал. 9) –</w:t>
      </w:r>
      <w:r w:rsidRPr="002F2B60">
        <w:rPr>
          <w:lang w:val="bg-BG"/>
        </w:rPr>
        <w:t xml:space="preserve"> по-специално чрез съдебен контрол.</w:t>
      </w:r>
    </w:p>
    <w:p w14:paraId="43F0F805" w14:textId="77777777" w:rsidR="00304BC9" w:rsidRPr="002F2B60" w:rsidRDefault="000F3485" w:rsidP="00304BC9">
      <w:pPr>
        <w:pStyle w:val="JuH1"/>
        <w:rPr>
          <w:lang w:val="bg-BG"/>
        </w:rPr>
      </w:pPr>
      <w:bookmarkStart w:id="128" w:name="_Toc175214979"/>
      <w:bookmarkStart w:id="129" w:name="_Toc232688269"/>
      <w:r w:rsidRPr="002F2B60">
        <w:rPr>
          <w:lang w:val="bg-BG"/>
        </w:rPr>
        <w:t>Съдебна практика на българските съдилища по тези разпоредби</w:t>
      </w:r>
      <w:bookmarkEnd w:id="128"/>
      <w:bookmarkEnd w:id="129"/>
    </w:p>
    <w:p w14:paraId="0E67AD17" w14:textId="77777777" w:rsidR="00304BC9" w:rsidRPr="00625CAB" w:rsidRDefault="000F3485" w:rsidP="00304BC9">
      <w:pPr>
        <w:pStyle w:val="JuHa0"/>
      </w:pPr>
      <w:bookmarkStart w:id="130" w:name="_Toc175214980"/>
      <w:bookmarkStart w:id="131" w:name="_Toc232688270"/>
      <w:r w:rsidRPr="00625CAB">
        <w:t>Дело от 2012 г.</w:t>
      </w:r>
      <w:bookmarkEnd w:id="130"/>
      <w:bookmarkEnd w:id="131"/>
    </w:p>
    <w:bookmarkStart w:id="132" w:name="RLF_SANSA_s_36_7_case_law_NGOs"/>
    <w:p w14:paraId="3A67F398" w14:textId="4C7C04C4" w:rsidR="00304BC9" w:rsidRPr="002F2B60" w:rsidRDefault="000F3485" w:rsidP="00304BC9">
      <w:pPr>
        <w:pStyle w:val="JuPara"/>
        <w:rPr>
          <w:lang w:val="bg-BG"/>
        </w:rPr>
      </w:pPr>
      <w:r w:rsidRPr="00625CAB">
        <w:rPr>
          <w:lang w:val="bg-BG"/>
        </w:rPr>
        <w:fldChar w:fldCharType="begin"/>
      </w:r>
      <w:r w:rsidRPr="00625CAB">
        <w:rPr>
          <w:lang w:val="bg-BG"/>
        </w:rPr>
        <w:instrText xml:space="preserve"> SEQ level0 \*arabic \* MERGEFORMAT </w:instrText>
      </w:r>
      <w:r w:rsidRPr="00625CAB">
        <w:rPr>
          <w:lang w:val="bg-BG"/>
        </w:rPr>
        <w:fldChar w:fldCharType="separate"/>
      </w:r>
      <w:r w:rsidR="00F21D3F">
        <w:rPr>
          <w:noProof/>
          <w:lang w:val="bg-BG"/>
        </w:rPr>
        <w:t>66</w:t>
      </w:r>
      <w:r w:rsidRPr="00625CAB">
        <w:rPr>
          <w:lang w:val="bg-BG"/>
        </w:rPr>
        <w:fldChar w:fldCharType="end"/>
      </w:r>
      <w:bookmarkEnd w:id="132"/>
      <w:r w:rsidR="00041130">
        <w:rPr>
          <w:lang w:val="bg-BG"/>
        </w:rPr>
        <w:t>. </w:t>
      </w:r>
      <w:r w:rsidRPr="00B822F5">
        <w:t>В решение от 2012 г. (</w:t>
      </w:r>
      <w:r w:rsidRPr="00B822F5">
        <w:rPr>
          <w:i/>
          <w:iCs/>
          <w:lang w:val="bg-BG"/>
        </w:rPr>
        <w:t>реш. № 593 от 08.02.2012 г. по адм. д. № 6653/2011 г., АдмС-София-град</w:t>
      </w:r>
      <w:r w:rsidR="0000281B">
        <w:rPr>
          <w:lang w:val="bg-BG"/>
        </w:rPr>
        <w:t>) –</w:t>
      </w:r>
      <w:r w:rsidRPr="002F2B60">
        <w:rPr>
          <w:lang w:val="bg-BG"/>
        </w:rPr>
        <w:t xml:space="preserve"> което, както изглежда, не е би</w:t>
      </w:r>
      <w:r w:rsidR="0000281B">
        <w:rPr>
          <w:lang w:val="bg-BG"/>
        </w:rPr>
        <w:t>ло обжалвано – Административен</w:t>
      </w:r>
      <w:r w:rsidRPr="002F2B60">
        <w:rPr>
          <w:lang w:val="bg-BG"/>
        </w:rPr>
        <w:t xml:space="preserve"> съд </w:t>
      </w:r>
      <w:r w:rsidR="0000281B">
        <w:rPr>
          <w:lang w:val="bg-BG"/>
        </w:rPr>
        <w:t>София-</w:t>
      </w:r>
      <w:r w:rsidR="0000281B" w:rsidRPr="002F2B60">
        <w:rPr>
          <w:lang w:val="bg-BG"/>
        </w:rPr>
        <w:t xml:space="preserve">град </w:t>
      </w:r>
      <w:r w:rsidRPr="002F2B60">
        <w:rPr>
          <w:lang w:val="bg-BG"/>
        </w:rPr>
        <w:t xml:space="preserve">е отхвърлил </w:t>
      </w:r>
      <w:r w:rsidR="0000281B">
        <w:rPr>
          <w:lang w:val="bg-BG"/>
        </w:rPr>
        <w:t xml:space="preserve">жалба </w:t>
      </w:r>
      <w:r w:rsidRPr="002F2B60">
        <w:rPr>
          <w:lang w:val="bg-BG"/>
        </w:rPr>
        <w:t xml:space="preserve">за съдебен контрол, </w:t>
      </w:r>
      <w:r w:rsidR="0000281B">
        <w:rPr>
          <w:lang w:val="bg-BG"/>
        </w:rPr>
        <w:t>подадена</w:t>
      </w:r>
      <w:r w:rsidRPr="002F2B60">
        <w:rPr>
          <w:lang w:val="bg-BG"/>
        </w:rPr>
        <w:t xml:space="preserve"> от неправителствена организация във връзка с отказа на Агенцията да разкрие колко такива организации е разследвала между </w:t>
      </w:r>
      <w:r w:rsidR="00261E45">
        <w:rPr>
          <w:lang w:val="bg-BG"/>
        </w:rPr>
        <w:t xml:space="preserve">м. </w:t>
      </w:r>
      <w:r w:rsidRPr="002F2B60">
        <w:rPr>
          <w:lang w:val="bg-BG"/>
        </w:rPr>
        <w:t xml:space="preserve">януари 2008 г. и </w:t>
      </w:r>
      <w:r w:rsidR="00261E45">
        <w:rPr>
          <w:lang w:val="bg-BG"/>
        </w:rPr>
        <w:t xml:space="preserve">м. </w:t>
      </w:r>
      <w:r w:rsidRPr="002F2B60">
        <w:rPr>
          <w:lang w:val="bg-BG"/>
        </w:rPr>
        <w:t>юли 2011 г. и какви резултати са дали тези разследвания. Съдът констатира, наред с другото, че информацията за дейността на службите за сигурност и нейните резултати представлява „държавна т</w:t>
      </w:r>
      <w:r w:rsidR="00261E45">
        <w:rPr>
          <w:lang w:val="bg-BG"/>
        </w:rPr>
        <w:t>айна“ и на тази основа постановява</w:t>
      </w:r>
      <w:r w:rsidRPr="002F2B60">
        <w:rPr>
          <w:lang w:val="bg-BG"/>
        </w:rPr>
        <w:t>, че търсената от организацията информ</w:t>
      </w:r>
      <w:r w:rsidR="00261E45">
        <w:rPr>
          <w:lang w:val="bg-BG"/>
        </w:rPr>
        <w:t>ация е класифицирана. Той посочва</w:t>
      </w:r>
      <w:r w:rsidRPr="002F2B60">
        <w:rPr>
          <w:lang w:val="bg-BG"/>
        </w:rPr>
        <w:t xml:space="preserve"> също, че разкриването на такава информация е </w:t>
      </w:r>
      <w:r w:rsidR="00261E45">
        <w:rPr>
          <w:lang w:val="bg-BG"/>
        </w:rPr>
        <w:t>забранено и по силата на чл.</w:t>
      </w:r>
      <w:r w:rsidRPr="002F2B60">
        <w:rPr>
          <w:lang w:val="bg-BG"/>
        </w:rPr>
        <w:t xml:space="preserve"> 36, </w:t>
      </w:r>
      <w:r w:rsidR="00261E45">
        <w:rPr>
          <w:lang w:val="bg-BG"/>
        </w:rPr>
        <w:t>ал.</w:t>
      </w:r>
      <w:r w:rsidRPr="002F2B60">
        <w:rPr>
          <w:lang w:val="bg-BG"/>
        </w:rPr>
        <w:t xml:space="preserve"> 7 от Закона от 2007 г. (вж. параграф</w:t>
      </w:r>
      <w:r w:rsidR="00261E45">
        <w:rPr>
          <w:lang w:val="bg-BG"/>
        </w:rPr>
        <w:t xml:space="preserve"> </w:t>
      </w:r>
      <w:r>
        <w:fldChar w:fldCharType="begin"/>
      </w:r>
      <w:r w:rsidRPr="002F2B60">
        <w:rPr>
          <w:lang w:val="bg-BG"/>
        </w:rPr>
        <w:instrText xml:space="preserve"> </w:instrText>
      </w:r>
      <w:r>
        <w:instrText>REF</w:instrText>
      </w:r>
      <w:r w:rsidRPr="002F2B60">
        <w:rPr>
          <w:lang w:val="bg-BG"/>
        </w:rPr>
        <w:instrText xml:space="preserve">  </w:instrText>
      </w:r>
      <w:r>
        <w:instrText>RLF</w:instrText>
      </w:r>
      <w:r w:rsidRPr="002F2B60">
        <w:rPr>
          <w:lang w:val="bg-BG"/>
        </w:rPr>
        <w:instrText>_</w:instrText>
      </w:r>
      <w:r>
        <w:instrText>SANSA</w:instrText>
      </w:r>
      <w:r w:rsidRPr="002F2B60">
        <w:rPr>
          <w:lang w:val="bg-BG"/>
        </w:rPr>
        <w:instrText>_</w:instrText>
      </w:r>
      <w:r>
        <w:instrText>s</w:instrText>
      </w:r>
      <w:r w:rsidRPr="002F2B60">
        <w:rPr>
          <w:lang w:val="bg-BG"/>
        </w:rPr>
        <w:instrText>_36_7 \</w:instrText>
      </w:r>
      <w:r>
        <w:instrText>h</w:instrText>
      </w:r>
      <w:r w:rsidRPr="002F2B60">
        <w:rPr>
          <w:lang w:val="bg-BG"/>
        </w:rPr>
        <w:instrText xml:space="preserve"> 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>
        <w:rPr>
          <w:lang w:val="bg-BG"/>
        </w:rPr>
        <w:t>63</w:t>
      </w:r>
      <w:r>
        <w:fldChar w:fldCharType="end"/>
      </w:r>
      <w:r w:rsidRPr="002F2B60">
        <w:rPr>
          <w:lang w:val="bg-BG"/>
        </w:rPr>
        <w:t xml:space="preserve"> по-горе).</w:t>
      </w:r>
    </w:p>
    <w:p w14:paraId="40F8D673" w14:textId="77777777" w:rsidR="00304BC9" w:rsidRPr="00625CAB" w:rsidRDefault="000F3485" w:rsidP="00304BC9">
      <w:pPr>
        <w:pStyle w:val="JuHa0"/>
      </w:pPr>
      <w:bookmarkStart w:id="133" w:name="_Toc175214981"/>
      <w:bookmarkStart w:id="134" w:name="_Toc232688271"/>
      <w:r w:rsidRPr="00625CAB">
        <w:lastRenderedPageBreak/>
        <w:t xml:space="preserve">Дело </w:t>
      </w:r>
      <w:r w:rsidR="00145B17">
        <w:rPr>
          <w:lang w:val="bg-BG"/>
        </w:rPr>
        <w:t xml:space="preserve">от </w:t>
      </w:r>
      <w:r w:rsidRPr="00625CAB">
        <w:t>2014-18</w:t>
      </w:r>
      <w:bookmarkEnd w:id="133"/>
      <w:bookmarkEnd w:id="134"/>
    </w:p>
    <w:bookmarkStart w:id="135" w:name="RLF_SANSA_s_36_7_case_law_pers_dat_1"/>
    <w:p w14:paraId="2547D784" w14:textId="2BACC695" w:rsidR="00304BC9" w:rsidRPr="002F2B60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625CAB">
        <w:instrText xml:space="preserve"> SEQ level0 \*arabic \* MERGEFORMAT </w:instrText>
      </w:r>
      <w:r w:rsidRPr="00625CAB">
        <w:fldChar w:fldCharType="separate"/>
      </w:r>
      <w:r w:rsidR="00F21D3F">
        <w:rPr>
          <w:noProof/>
        </w:rPr>
        <w:t>67</w:t>
      </w:r>
      <w:r w:rsidRPr="00625CAB">
        <w:fldChar w:fldCharType="end"/>
      </w:r>
      <w:bookmarkEnd w:id="135"/>
      <w:r w:rsidR="00041130">
        <w:t>. </w:t>
      </w:r>
      <w:r>
        <w:t>В решение от 2014 г. (</w:t>
      </w:r>
      <w:r w:rsidRPr="00F33118">
        <w:rPr>
          <w:i/>
          <w:iCs/>
          <w:lang w:val="bg-BG"/>
        </w:rPr>
        <w:t>реш. № 13080 от 04.11.2014 г. по адм. д. № 6237/2014 г., ВАС, V о.</w:t>
      </w:r>
      <w:r w:rsidRPr="002F2B60">
        <w:rPr>
          <w:lang w:val="bg-BG"/>
        </w:rPr>
        <w:t>) Върхо</w:t>
      </w:r>
      <w:r w:rsidR="008C79C8">
        <w:rPr>
          <w:lang w:val="bg-BG"/>
        </w:rPr>
        <w:t>вният административен съд отменя</w:t>
      </w:r>
      <w:r w:rsidRPr="002F2B60">
        <w:rPr>
          <w:lang w:val="bg-BG"/>
        </w:rPr>
        <w:t xml:space="preserve"> мълчаливия отказ на Агенцията да разкрие дали обработва данни на определено лице и, ако е така, да предостави на това лице достъп до всички данни, отнасящи се до него, които Агенцията обр</w:t>
      </w:r>
      <w:r w:rsidR="008C79C8">
        <w:rPr>
          <w:lang w:val="bg-BG"/>
        </w:rPr>
        <w:t>аботва. Съдът постановява</w:t>
      </w:r>
      <w:r w:rsidRPr="002F2B60">
        <w:rPr>
          <w:lang w:val="bg-BG"/>
        </w:rPr>
        <w:t>, че при липса на изрично решение, взето от Агенцията, няма доказателства, че каквато и да е информация относно данните на въпросното лице е била надлежно задържана. Във всички такива случаи трябва да се установи, че Агенцията, в качеството си на администратор на лични данни, е преценила надлежно, с оглед на приложимите правила (включително чл. 36, ал. 7 – вж. параграф</w:t>
      </w:r>
      <w:r w:rsidR="00041130">
        <w:rPr>
          <w:lang w:val="bg-BG"/>
        </w:rPr>
        <w:t xml:space="preserve"> </w:t>
      </w:r>
      <w:r>
        <w:fldChar w:fldCharType="begin"/>
      </w:r>
      <w:r w:rsidRPr="002F2B60">
        <w:rPr>
          <w:lang w:val="bg-BG"/>
        </w:rPr>
        <w:instrText xml:space="preserve"> </w:instrText>
      </w:r>
      <w:r>
        <w:instrText>REF</w:instrText>
      </w:r>
      <w:r w:rsidRPr="002F2B60">
        <w:rPr>
          <w:lang w:val="bg-BG"/>
        </w:rPr>
        <w:instrText xml:space="preserve">  </w:instrText>
      </w:r>
      <w:r>
        <w:instrText>RLF</w:instrText>
      </w:r>
      <w:r w:rsidRPr="002F2B60">
        <w:rPr>
          <w:lang w:val="bg-BG"/>
        </w:rPr>
        <w:instrText>_</w:instrText>
      </w:r>
      <w:r>
        <w:instrText>SANSA</w:instrText>
      </w:r>
      <w:r w:rsidRPr="002F2B60">
        <w:rPr>
          <w:lang w:val="bg-BG"/>
        </w:rPr>
        <w:instrText>_</w:instrText>
      </w:r>
      <w:r>
        <w:instrText>s</w:instrText>
      </w:r>
      <w:r w:rsidRPr="002F2B60">
        <w:rPr>
          <w:lang w:val="bg-BG"/>
        </w:rPr>
        <w:instrText>_36_7 \</w:instrText>
      </w:r>
      <w:r>
        <w:instrText>h</w:instrText>
      </w:r>
      <w:r w:rsidRPr="002F2B60">
        <w:rPr>
          <w:lang w:val="bg-BG"/>
        </w:rPr>
        <w:instrText xml:space="preserve"> 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>
        <w:rPr>
          <w:lang w:val="bg-BG"/>
        </w:rPr>
        <w:t>63</w:t>
      </w:r>
      <w:r>
        <w:fldChar w:fldCharType="end"/>
      </w:r>
      <w:r w:rsidRPr="002F2B60">
        <w:rPr>
          <w:lang w:val="bg-BG"/>
        </w:rPr>
        <w:t xml:space="preserve"> по-горе), че въпросната информация не следва да бъде разкрита.</w:t>
      </w:r>
    </w:p>
    <w:bookmarkStart w:id="136" w:name="RLF_SANSA_s_36_7_case_law_pers_dat_1_bis"/>
    <w:p w14:paraId="50239F58" w14:textId="53303F2A" w:rsidR="00304BC9" w:rsidRPr="001E46C3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2F2B60">
        <w:rPr>
          <w:lang w:val="bg-BG"/>
        </w:rPr>
        <w:instrText xml:space="preserve"> </w:instrText>
      </w:r>
      <w:r w:rsidRPr="00625CAB">
        <w:instrText>SEQ</w:instrText>
      </w:r>
      <w:r w:rsidRPr="002F2B60">
        <w:rPr>
          <w:lang w:val="bg-BG"/>
        </w:rPr>
        <w:instrText xml:space="preserve"> </w:instrText>
      </w:r>
      <w:r w:rsidRPr="00625CAB">
        <w:instrText>level</w:instrText>
      </w:r>
      <w:r w:rsidRPr="002F2B60">
        <w:rPr>
          <w:lang w:val="bg-BG"/>
        </w:rPr>
        <w:instrText>0 \*</w:instrText>
      </w:r>
      <w:r w:rsidRPr="00625CAB">
        <w:instrText>arabic</w:instrText>
      </w:r>
      <w:r w:rsidRPr="002F2B60">
        <w:rPr>
          <w:lang w:val="bg-BG"/>
        </w:rPr>
        <w:instrText xml:space="preserve"> \* </w:instrText>
      </w:r>
      <w:r w:rsidRPr="00625CAB">
        <w:instrText>MERGEFORMAT</w:instrText>
      </w:r>
      <w:r w:rsidRPr="002F2B60">
        <w:rPr>
          <w:lang w:val="bg-BG"/>
        </w:rPr>
        <w:instrText xml:space="preserve"> </w:instrText>
      </w:r>
      <w:r w:rsidRPr="00625CAB">
        <w:fldChar w:fldCharType="separate"/>
      </w:r>
      <w:r w:rsidR="00F21D3F" w:rsidRPr="002F2B60">
        <w:rPr>
          <w:noProof/>
          <w:lang w:val="bg-BG"/>
        </w:rPr>
        <w:t>68</w:t>
      </w:r>
      <w:r w:rsidRPr="00625CAB">
        <w:fldChar w:fldCharType="end"/>
      </w:r>
      <w:bookmarkEnd w:id="136"/>
      <w:r w:rsidR="00041130">
        <w:rPr>
          <w:lang w:val="bg-BG"/>
        </w:rPr>
        <w:t xml:space="preserve">. </w:t>
      </w:r>
      <w:r w:rsidRPr="002F2B60">
        <w:rPr>
          <w:lang w:val="bg-BG"/>
        </w:rPr>
        <w:t>След това съдебно</w:t>
      </w:r>
      <w:r w:rsidR="00FD0C3B">
        <w:rPr>
          <w:lang w:val="bg-BG"/>
        </w:rPr>
        <w:t xml:space="preserve"> решение Агенцията изрично издава</w:t>
      </w:r>
      <w:r w:rsidRPr="002F2B60">
        <w:rPr>
          <w:lang w:val="bg-BG"/>
        </w:rPr>
        <w:t xml:space="preserve"> отказа си да разкрие такава информация, като посоч</w:t>
      </w:r>
      <w:r w:rsidR="00FD0C3B">
        <w:rPr>
          <w:lang w:val="bg-BG"/>
        </w:rPr>
        <w:t>ва</w:t>
      </w:r>
      <w:r w:rsidRPr="002F2B60">
        <w:rPr>
          <w:lang w:val="bg-BG"/>
        </w:rPr>
        <w:t>, че това би разкрило нейните източници и методи. Админист</w:t>
      </w:r>
      <w:r w:rsidR="003E1590">
        <w:rPr>
          <w:lang w:val="bg-BG"/>
        </w:rPr>
        <w:t>ративният съд във Варна отхвърля</w:t>
      </w:r>
      <w:r w:rsidRPr="002F2B60">
        <w:rPr>
          <w:lang w:val="bg-BG"/>
        </w:rPr>
        <w:t xml:space="preserve"> </w:t>
      </w:r>
      <w:r w:rsidR="001E46C3">
        <w:rPr>
          <w:lang w:val="bg-BG"/>
        </w:rPr>
        <w:t>жалбата пред съда</w:t>
      </w:r>
      <w:r w:rsidRPr="002F2B60">
        <w:rPr>
          <w:lang w:val="bg-BG"/>
        </w:rPr>
        <w:t xml:space="preserve"> </w:t>
      </w:r>
      <w:r w:rsidR="001E46C3">
        <w:rPr>
          <w:lang w:val="bg-BG"/>
        </w:rPr>
        <w:t xml:space="preserve">срещу </w:t>
      </w:r>
      <w:r w:rsidRPr="002F2B60">
        <w:rPr>
          <w:lang w:val="bg-BG"/>
        </w:rPr>
        <w:t>това решение, а през 2018 г. Върховн</w:t>
      </w:r>
      <w:r w:rsidR="001E46C3">
        <w:rPr>
          <w:lang w:val="bg-BG"/>
        </w:rPr>
        <w:t>ият административен съд потвърждава</w:t>
      </w:r>
      <w:r w:rsidRPr="002F2B60">
        <w:rPr>
          <w:lang w:val="bg-BG"/>
        </w:rPr>
        <w:t xml:space="preserve"> решението му. Той се позова</w:t>
      </w:r>
      <w:r w:rsidR="001E46C3">
        <w:rPr>
          <w:lang w:val="bg-BG"/>
        </w:rPr>
        <w:t>вч</w:t>
      </w:r>
      <w:r w:rsidR="003E1590">
        <w:rPr>
          <w:lang w:val="bg-BG"/>
        </w:rPr>
        <w:t xml:space="preserve"> на чл.</w:t>
      </w:r>
      <w:r w:rsidRPr="002F2B60">
        <w:rPr>
          <w:lang w:val="bg-BG"/>
        </w:rPr>
        <w:t xml:space="preserve"> 36, </w:t>
      </w:r>
      <w:r w:rsidR="001E46C3">
        <w:rPr>
          <w:lang w:val="bg-BG"/>
        </w:rPr>
        <w:t>ал.</w:t>
      </w:r>
      <w:r w:rsidRPr="002F2B60">
        <w:rPr>
          <w:lang w:val="bg-BG"/>
        </w:rPr>
        <w:t xml:space="preserve"> 7 (вж. параграф</w:t>
      </w:r>
      <w:r w:rsidR="00041130">
        <w:rPr>
          <w:lang w:val="bg-BG"/>
        </w:rPr>
        <w:t xml:space="preserve"> </w:t>
      </w:r>
      <w:r>
        <w:fldChar w:fldCharType="begin"/>
      </w:r>
      <w:r w:rsidRPr="002F2B60">
        <w:rPr>
          <w:lang w:val="bg-BG"/>
        </w:rPr>
        <w:instrText xml:space="preserve"> </w:instrText>
      </w:r>
      <w:r>
        <w:instrText>REF</w:instrText>
      </w:r>
      <w:r w:rsidRPr="002F2B60">
        <w:rPr>
          <w:lang w:val="bg-BG"/>
        </w:rPr>
        <w:instrText xml:space="preserve">  </w:instrText>
      </w:r>
      <w:r>
        <w:instrText>RLF</w:instrText>
      </w:r>
      <w:r w:rsidRPr="002F2B60">
        <w:rPr>
          <w:lang w:val="bg-BG"/>
        </w:rPr>
        <w:instrText>_</w:instrText>
      </w:r>
      <w:r>
        <w:instrText>SANSA</w:instrText>
      </w:r>
      <w:r w:rsidRPr="002F2B60">
        <w:rPr>
          <w:lang w:val="bg-BG"/>
        </w:rPr>
        <w:instrText>_</w:instrText>
      </w:r>
      <w:r>
        <w:instrText>s</w:instrText>
      </w:r>
      <w:r w:rsidRPr="002F2B60">
        <w:rPr>
          <w:lang w:val="bg-BG"/>
        </w:rPr>
        <w:instrText>_36_7 \</w:instrText>
      </w:r>
      <w:r>
        <w:instrText>h</w:instrText>
      </w:r>
      <w:r w:rsidRPr="002F2B60">
        <w:rPr>
          <w:lang w:val="bg-BG"/>
        </w:rPr>
        <w:instrText xml:space="preserve"> 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>
        <w:rPr>
          <w:lang w:val="bg-BG"/>
        </w:rPr>
        <w:t>63</w:t>
      </w:r>
      <w:r>
        <w:fldChar w:fldCharType="end"/>
      </w:r>
      <w:r w:rsidRPr="002F2B60">
        <w:rPr>
          <w:lang w:val="bg-BG"/>
        </w:rPr>
        <w:t xml:space="preserve"> по-горе) и нак</w:t>
      </w:r>
      <w:r w:rsidR="003E1590">
        <w:rPr>
          <w:lang w:val="bg-BG"/>
        </w:rPr>
        <w:t>ратко отбеляза, че съгласно чл.</w:t>
      </w:r>
      <w:r w:rsidRPr="002F2B60">
        <w:rPr>
          <w:lang w:val="bg-BG"/>
        </w:rPr>
        <w:t xml:space="preserve"> 3, </w:t>
      </w:r>
      <w:r w:rsidR="001E46C3">
        <w:rPr>
          <w:lang w:val="bg-BG"/>
        </w:rPr>
        <w:t>ал.</w:t>
      </w:r>
      <w:r w:rsidRPr="002F2B60">
        <w:rPr>
          <w:lang w:val="bg-BG"/>
        </w:rPr>
        <w:t xml:space="preserve"> 1 от Закона за защита на класифицираната информация от 2002 г. достъп до такава класифицирана информация имат само лица с достъп до класифицирана информация, които се нуждаят от нея за изпълнението на конкретните си задачи (вж. </w:t>
      </w:r>
      <w:r w:rsidRPr="00DE44CC">
        <w:rPr>
          <w:i/>
          <w:iCs/>
          <w:lang w:val="bg-BG"/>
        </w:rPr>
        <w:t>реш. № 94 от 04.01.2018 г. по адм. д. № 5244/2016 г., ВАС, V о.</w:t>
      </w:r>
      <w:r w:rsidRPr="001E46C3">
        <w:rPr>
          <w:lang w:val="bg-BG"/>
        </w:rPr>
        <w:t>).</w:t>
      </w:r>
    </w:p>
    <w:p w14:paraId="01A4DC3F" w14:textId="77777777" w:rsidR="00304BC9" w:rsidRPr="003E1590" w:rsidRDefault="000F3485" w:rsidP="00304BC9">
      <w:pPr>
        <w:pStyle w:val="JuHa0"/>
        <w:rPr>
          <w:lang w:val="bg-BG"/>
        </w:rPr>
      </w:pPr>
      <w:bookmarkStart w:id="137" w:name="_Toc175214982"/>
      <w:bookmarkStart w:id="138" w:name="_Toc232688272"/>
      <w:r w:rsidRPr="003E1590">
        <w:rPr>
          <w:lang w:val="bg-BG"/>
        </w:rPr>
        <w:t xml:space="preserve">Първо дело </w:t>
      </w:r>
      <w:r w:rsidR="00145B17">
        <w:rPr>
          <w:lang w:val="bg-BG"/>
        </w:rPr>
        <w:t>от</w:t>
      </w:r>
      <w:r w:rsidRPr="003E1590">
        <w:rPr>
          <w:lang w:val="bg-BG"/>
        </w:rPr>
        <w:t xml:space="preserve"> 2021-22 г.</w:t>
      </w:r>
      <w:bookmarkEnd w:id="137"/>
      <w:bookmarkEnd w:id="138"/>
    </w:p>
    <w:bookmarkStart w:id="139" w:name="RLF_SANSA_s_36_7_case_law_pers_dat_2"/>
    <w:p w14:paraId="2CA2183B" w14:textId="7F83EBE3" w:rsidR="00304BC9" w:rsidRPr="000C1073" w:rsidRDefault="000F3485" w:rsidP="00304BC9">
      <w:pPr>
        <w:pStyle w:val="JuPara"/>
        <w:rPr>
          <w:lang w:val="bg-BG"/>
        </w:rPr>
      </w:pPr>
      <w:r w:rsidRPr="00625CAB">
        <w:fldChar w:fldCharType="begin"/>
      </w:r>
      <w:r w:rsidRPr="003E1590">
        <w:rPr>
          <w:lang w:val="bg-BG"/>
        </w:rPr>
        <w:instrText xml:space="preserve"> </w:instrText>
      </w:r>
      <w:r w:rsidRPr="00625CAB">
        <w:instrText>SEQ</w:instrText>
      </w:r>
      <w:r w:rsidRPr="003E1590">
        <w:rPr>
          <w:lang w:val="bg-BG"/>
        </w:rPr>
        <w:instrText xml:space="preserve"> </w:instrText>
      </w:r>
      <w:r w:rsidRPr="00625CAB">
        <w:instrText>level</w:instrText>
      </w:r>
      <w:r w:rsidRPr="003E1590">
        <w:rPr>
          <w:lang w:val="bg-BG"/>
        </w:rPr>
        <w:instrText>0 \*</w:instrText>
      </w:r>
      <w:r w:rsidRPr="00625CAB">
        <w:instrText>arabic</w:instrText>
      </w:r>
      <w:r w:rsidRPr="003E1590">
        <w:rPr>
          <w:lang w:val="bg-BG"/>
        </w:rPr>
        <w:instrText xml:space="preserve"> \* </w:instrText>
      </w:r>
      <w:r w:rsidRPr="00625CAB">
        <w:instrText>MERGEFORMAT</w:instrText>
      </w:r>
      <w:r w:rsidRPr="003E1590">
        <w:rPr>
          <w:lang w:val="bg-BG"/>
        </w:rPr>
        <w:instrText xml:space="preserve"> </w:instrText>
      </w:r>
      <w:r w:rsidRPr="00625CAB">
        <w:fldChar w:fldCharType="separate"/>
      </w:r>
      <w:r w:rsidR="00F21D3F" w:rsidRPr="003E1590">
        <w:rPr>
          <w:noProof/>
          <w:lang w:val="bg-BG"/>
        </w:rPr>
        <w:t>69</w:t>
      </w:r>
      <w:r w:rsidRPr="00625CAB">
        <w:fldChar w:fldCharType="end"/>
      </w:r>
      <w:bookmarkEnd w:id="139"/>
      <w:r w:rsidR="00041130" w:rsidRPr="003E1590">
        <w:rPr>
          <w:lang w:val="bg-BG"/>
        </w:rPr>
        <w:t xml:space="preserve">. </w:t>
      </w:r>
      <w:r w:rsidRPr="003E1590">
        <w:rPr>
          <w:lang w:val="bg-BG"/>
        </w:rPr>
        <w:t xml:space="preserve">В решение от </w:t>
      </w:r>
      <w:r w:rsidR="005826DC">
        <w:rPr>
          <w:lang w:val="bg-BG"/>
        </w:rPr>
        <w:t xml:space="preserve">м. </w:t>
      </w:r>
      <w:r w:rsidR="005826DC" w:rsidRPr="003E1590">
        <w:rPr>
          <w:lang w:val="bg-BG"/>
        </w:rPr>
        <w:t>юли 2021 г. Административен съд София</w:t>
      </w:r>
      <w:r w:rsidR="005826DC" w:rsidRPr="009178E0">
        <w:rPr>
          <w:lang w:val="bg-BG"/>
        </w:rPr>
        <w:t>-град отхвърля</w:t>
      </w:r>
      <w:r w:rsidRPr="009178E0">
        <w:rPr>
          <w:lang w:val="bg-BG"/>
        </w:rPr>
        <w:t xml:space="preserve"> </w:t>
      </w:r>
      <w:r w:rsidR="005826DC">
        <w:rPr>
          <w:lang w:val="bg-BG"/>
        </w:rPr>
        <w:t>жалба</w:t>
      </w:r>
      <w:r w:rsidRPr="009178E0">
        <w:rPr>
          <w:lang w:val="bg-BG"/>
        </w:rPr>
        <w:t xml:space="preserve"> за съдебен контрол върху отказа на Агенцията да разкрие дали обработва лични данни на дадено лице и, ако това е така, да му предостави достъп до личните данни, които евентуално обработва. Съдът</w:t>
      </w:r>
      <w:r w:rsidR="00023A39" w:rsidRPr="009178E0">
        <w:rPr>
          <w:lang w:val="bg-BG"/>
        </w:rPr>
        <w:t xml:space="preserve"> отбеляза, че чл.</w:t>
      </w:r>
      <w:r w:rsidRPr="009178E0">
        <w:rPr>
          <w:lang w:val="bg-BG"/>
        </w:rPr>
        <w:t xml:space="preserve"> 36, </w:t>
      </w:r>
      <w:r w:rsidR="00F1757E">
        <w:rPr>
          <w:lang w:val="bg-BG"/>
        </w:rPr>
        <w:t>ал.</w:t>
      </w:r>
      <w:r w:rsidRPr="009178E0">
        <w:rPr>
          <w:lang w:val="bg-BG"/>
        </w:rPr>
        <w:t xml:space="preserve"> 7 от Закона от 2007 г. (вж. параграф</w:t>
      </w:r>
      <w:r w:rsidR="00041130">
        <w:rPr>
          <w:lang w:val="bg-BG"/>
        </w:rPr>
        <w:t xml:space="preserve"> </w:t>
      </w:r>
      <w:r w:rsidRPr="00625CAB">
        <w:fldChar w:fldCharType="begin"/>
      </w:r>
      <w:r w:rsidRPr="009178E0">
        <w:rPr>
          <w:lang w:val="bg-BG"/>
        </w:rPr>
        <w:instrText xml:space="preserve"> </w:instrText>
      </w:r>
      <w:r w:rsidRPr="00625CAB">
        <w:instrText>REF</w:instrText>
      </w:r>
      <w:r w:rsidRPr="009178E0">
        <w:rPr>
          <w:lang w:val="bg-BG"/>
        </w:rPr>
        <w:instrText xml:space="preserve">  </w:instrText>
      </w:r>
      <w:r w:rsidRPr="00625CAB">
        <w:instrText>RLF</w:instrText>
      </w:r>
      <w:r w:rsidRPr="009178E0">
        <w:rPr>
          <w:lang w:val="bg-BG"/>
        </w:rPr>
        <w:instrText>_</w:instrText>
      </w:r>
      <w:r w:rsidRPr="00625CAB">
        <w:instrText>SANSA</w:instrText>
      </w:r>
      <w:r w:rsidRPr="009178E0">
        <w:rPr>
          <w:lang w:val="bg-BG"/>
        </w:rPr>
        <w:instrText>_</w:instrText>
      </w:r>
      <w:r w:rsidRPr="00625CAB">
        <w:instrText>s</w:instrText>
      </w:r>
      <w:r w:rsidRPr="009178E0">
        <w:rPr>
          <w:lang w:val="bg-BG"/>
        </w:rPr>
        <w:instrText>_36_7 \</w:instrText>
      </w:r>
      <w:r w:rsidRPr="00625CAB">
        <w:instrText>h</w:instrText>
      </w:r>
      <w:r w:rsidRPr="009178E0">
        <w:rPr>
          <w:lang w:val="bg-BG"/>
        </w:rPr>
        <w:instrText xml:space="preserve">  \* </w:instrText>
      </w:r>
      <w:r w:rsidRPr="00625CAB">
        <w:instrText>MERGEFORMAT</w:instrText>
      </w:r>
      <w:r w:rsidRPr="009178E0">
        <w:rPr>
          <w:lang w:val="bg-BG"/>
        </w:rPr>
        <w:instrText xml:space="preserve"> </w:instrText>
      </w:r>
      <w:r w:rsidRPr="00625CAB">
        <w:fldChar w:fldCharType="separate"/>
      </w:r>
      <w:r w:rsidR="00F21D3F">
        <w:rPr>
          <w:lang w:val="bg-BG"/>
        </w:rPr>
        <w:t>63</w:t>
      </w:r>
      <w:r w:rsidRPr="00625CAB">
        <w:fldChar w:fldCharType="end"/>
      </w:r>
      <w:r w:rsidRPr="009178E0">
        <w:rPr>
          <w:lang w:val="bg-BG"/>
        </w:rPr>
        <w:t xml:space="preserve"> по-горе) изброява пет основания, на които Агенцията може да откаже да разкрие информация, като те включват опазването на „държавни тайни“ и „служебни тайни“, източниците на информацията и тайните методи или средства за нейното събиране. Информацията, която </w:t>
      </w:r>
      <w:r w:rsidR="008343BF">
        <w:rPr>
          <w:lang w:val="bg-BG"/>
        </w:rPr>
        <w:t>жалбоподтелят</w:t>
      </w:r>
      <w:r w:rsidRPr="009178E0">
        <w:rPr>
          <w:lang w:val="bg-BG"/>
        </w:rPr>
        <w:t xml:space="preserve"> иска, може да се разглежда като „служеб</w:t>
      </w:r>
      <w:r w:rsidR="008343BF" w:rsidRPr="009178E0">
        <w:rPr>
          <w:lang w:val="bg-BG"/>
        </w:rPr>
        <w:t>на тайна“. Агенцията разполага</w:t>
      </w:r>
      <w:r w:rsidRPr="009178E0">
        <w:rPr>
          <w:lang w:val="bg-BG"/>
        </w:rPr>
        <w:t xml:space="preserve"> с дискреционна власт да прецени дали разкриването на тази информация би могло да изложи на риск класифицирана информация или да навреди </w:t>
      </w:r>
      <w:r w:rsidR="00023A39" w:rsidRPr="009178E0">
        <w:rPr>
          <w:lang w:val="bg-BG"/>
        </w:rPr>
        <w:t>на нейната работа. Ето защо чл.</w:t>
      </w:r>
      <w:r w:rsidRPr="009178E0">
        <w:rPr>
          <w:lang w:val="bg-BG"/>
        </w:rPr>
        <w:t xml:space="preserve"> 36, </w:t>
      </w:r>
      <w:r w:rsidR="008343BF">
        <w:rPr>
          <w:lang w:val="bg-BG"/>
        </w:rPr>
        <w:t>ал.</w:t>
      </w:r>
      <w:r w:rsidRPr="009178E0">
        <w:rPr>
          <w:lang w:val="bg-BG"/>
        </w:rPr>
        <w:t xml:space="preserve"> 8 от Закона от 2007 г. (вж. параграф</w:t>
      </w:r>
      <w:r w:rsidR="00041130">
        <w:rPr>
          <w:lang w:val="bg-BG"/>
        </w:rPr>
        <w:t xml:space="preserve"> </w:t>
      </w:r>
      <w:r w:rsidRPr="00625CAB">
        <w:fldChar w:fldCharType="begin"/>
      </w:r>
      <w:r w:rsidRPr="009178E0">
        <w:rPr>
          <w:lang w:val="bg-BG"/>
        </w:rPr>
        <w:instrText xml:space="preserve"> </w:instrText>
      </w:r>
      <w:r w:rsidRPr="00625CAB">
        <w:instrText>REF</w:instrText>
      </w:r>
      <w:r w:rsidRPr="009178E0">
        <w:rPr>
          <w:lang w:val="bg-BG"/>
        </w:rPr>
        <w:instrText xml:space="preserve">  </w:instrText>
      </w:r>
      <w:r w:rsidRPr="00625CAB">
        <w:instrText>RLF</w:instrText>
      </w:r>
      <w:r w:rsidRPr="009178E0">
        <w:rPr>
          <w:lang w:val="bg-BG"/>
        </w:rPr>
        <w:instrText>_</w:instrText>
      </w:r>
      <w:r w:rsidRPr="00625CAB">
        <w:instrText>SANSA</w:instrText>
      </w:r>
      <w:r w:rsidRPr="009178E0">
        <w:rPr>
          <w:lang w:val="bg-BG"/>
        </w:rPr>
        <w:instrText>_</w:instrText>
      </w:r>
      <w:r w:rsidRPr="00625CAB">
        <w:instrText>s</w:instrText>
      </w:r>
      <w:r w:rsidRPr="009178E0">
        <w:rPr>
          <w:lang w:val="bg-BG"/>
        </w:rPr>
        <w:instrText>_36_8 \</w:instrText>
      </w:r>
      <w:r w:rsidRPr="00625CAB">
        <w:instrText>h</w:instrText>
      </w:r>
      <w:r w:rsidRPr="009178E0">
        <w:rPr>
          <w:lang w:val="bg-BG"/>
        </w:rPr>
        <w:instrText xml:space="preserve">  \* </w:instrText>
      </w:r>
      <w:r w:rsidRPr="00625CAB">
        <w:instrText>MERGEFORMAT</w:instrText>
      </w:r>
      <w:r w:rsidRPr="009178E0">
        <w:rPr>
          <w:lang w:val="bg-BG"/>
        </w:rPr>
        <w:instrText xml:space="preserve"> </w:instrText>
      </w:r>
      <w:r w:rsidRPr="00625CAB">
        <w:fldChar w:fldCharType="separate"/>
      </w:r>
      <w:r w:rsidR="00F21D3F" w:rsidRPr="009178E0">
        <w:rPr>
          <w:lang w:val="bg-BG"/>
        </w:rPr>
        <w:t>64</w:t>
      </w:r>
      <w:r w:rsidRPr="00625CAB">
        <w:fldChar w:fldCharType="end"/>
      </w:r>
      <w:r w:rsidR="00023A39" w:rsidRPr="009178E0">
        <w:rPr>
          <w:lang w:val="bg-BG"/>
        </w:rPr>
        <w:t xml:space="preserve"> по-долу) изисква</w:t>
      </w:r>
      <w:r w:rsidRPr="009178E0">
        <w:rPr>
          <w:lang w:val="bg-BG"/>
        </w:rPr>
        <w:t xml:space="preserve"> от Агенцията да посочи само правните основания за отказа си да разкрие такава информация (вж. </w:t>
      </w:r>
      <w:r w:rsidRPr="00625CAB">
        <w:rPr>
          <w:i/>
          <w:iCs/>
          <w:lang w:val="bg-BG"/>
        </w:rPr>
        <w:t>реш. № 4760 от 16.07.2021 г. по адм. д. № 3553/2021 г., АдмС-София-град</w:t>
      </w:r>
      <w:r w:rsidRPr="002F2B60">
        <w:rPr>
          <w:lang w:val="bg-BG"/>
        </w:rPr>
        <w:t xml:space="preserve">). Жалбата срещу това решение </w:t>
      </w:r>
      <w:r w:rsidR="000C1073">
        <w:rPr>
          <w:lang w:val="bg-BG"/>
        </w:rPr>
        <w:t>е</w:t>
      </w:r>
      <w:r w:rsidRPr="002F2B60">
        <w:rPr>
          <w:lang w:val="bg-BG"/>
        </w:rPr>
        <w:t xml:space="preserve"> </w:t>
      </w:r>
      <w:r w:rsidRPr="002F2B60">
        <w:rPr>
          <w:lang w:val="bg-BG"/>
        </w:rPr>
        <w:lastRenderedPageBreak/>
        <w:t xml:space="preserve">отхвърлена </w:t>
      </w:r>
      <w:r w:rsidR="000C1073">
        <w:rPr>
          <w:lang w:val="bg-BG"/>
        </w:rPr>
        <w:t>на</w:t>
      </w:r>
      <w:r w:rsidRPr="002F2B60">
        <w:rPr>
          <w:lang w:val="bg-BG"/>
        </w:rPr>
        <w:t xml:space="preserve"> процесуални </w:t>
      </w:r>
      <w:r w:rsidR="000C1073">
        <w:rPr>
          <w:lang w:val="bg-BG"/>
        </w:rPr>
        <w:t>основания</w:t>
      </w:r>
      <w:r w:rsidRPr="002F2B60">
        <w:rPr>
          <w:lang w:val="bg-BG"/>
        </w:rPr>
        <w:t xml:space="preserve">, без да се разглежда по същество, тъй като </w:t>
      </w:r>
      <w:r w:rsidR="000C1073">
        <w:rPr>
          <w:lang w:val="bg-BG"/>
        </w:rPr>
        <w:t>била</w:t>
      </w:r>
      <w:r w:rsidRPr="002F2B60">
        <w:rPr>
          <w:lang w:val="bg-BG"/>
        </w:rPr>
        <w:t xml:space="preserve"> нередовна и жалбоподателят не я е поправил в срока, посочен от съда (вж</w:t>
      </w:r>
      <w:r w:rsidRPr="00625CAB">
        <w:rPr>
          <w:i/>
          <w:iCs/>
          <w:lang w:val="bg-BG"/>
        </w:rPr>
        <w:t>. реш. № 3358 от 08.04.2022 г. по адм. д. № 798/2022 г., ВАС, V о.</w:t>
      </w:r>
      <w:r w:rsidRPr="000C1073">
        <w:rPr>
          <w:lang w:val="bg-BG"/>
        </w:rPr>
        <w:t>).</w:t>
      </w:r>
    </w:p>
    <w:p w14:paraId="618863E1" w14:textId="77777777" w:rsidR="00304BC9" w:rsidRPr="00FB3F96" w:rsidRDefault="000F3485" w:rsidP="00304BC9">
      <w:pPr>
        <w:pStyle w:val="JuHa0"/>
      </w:pPr>
      <w:bookmarkStart w:id="140" w:name="_Toc232688273"/>
      <w:bookmarkStart w:id="141" w:name="_GoBack"/>
      <w:bookmarkEnd w:id="141"/>
      <w:r>
        <w:t>Второ дело от 2021-22 г.</w:t>
      </w:r>
      <w:bookmarkEnd w:id="108"/>
      <w:bookmarkEnd w:id="140"/>
    </w:p>
    <w:bookmarkStart w:id="142" w:name="RLF_SANSA_s_36_7_case_law_inteligence"/>
    <w:p w14:paraId="486C88EA" w14:textId="4262A210" w:rsidR="00304BC9" w:rsidRPr="00772D0C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70</w:t>
      </w:r>
      <w:r>
        <w:fldChar w:fldCharType="end"/>
      </w:r>
      <w:bookmarkEnd w:id="142"/>
      <w:r w:rsidR="00041130">
        <w:t xml:space="preserve">. </w:t>
      </w:r>
      <w:r>
        <w:t>В решение от</w:t>
      </w:r>
      <w:r w:rsidR="000C1073">
        <w:rPr>
          <w:lang w:val="bg-BG"/>
        </w:rPr>
        <w:t xml:space="preserve"> м.</w:t>
      </w:r>
      <w:r>
        <w:t xml:space="preserve"> ноември 2021 г. Административният съд </w:t>
      </w:r>
      <w:r w:rsidR="000C1073">
        <w:t>София</w:t>
      </w:r>
      <w:r w:rsidR="000C1073">
        <w:rPr>
          <w:lang w:val="bg-BG"/>
        </w:rPr>
        <w:t>-</w:t>
      </w:r>
      <w:r w:rsidR="000C1073">
        <w:t xml:space="preserve"> </w:t>
      </w:r>
      <w:r>
        <w:t xml:space="preserve">град </w:t>
      </w:r>
      <w:r w:rsidR="000C1073">
        <w:rPr>
          <w:lang w:val="bg-BG"/>
        </w:rPr>
        <w:t>отхвърля</w:t>
      </w:r>
      <w:r>
        <w:t xml:space="preserve"> </w:t>
      </w:r>
      <w:r w:rsidR="000C1073">
        <w:rPr>
          <w:lang w:val="bg-BG"/>
        </w:rPr>
        <w:t>жалба</w:t>
      </w:r>
      <w:r>
        <w:t xml:space="preserve"> срещу отказ на Агенцията да разкрие дали е събирала разузнавателна информация за дадено сдружение или неговия председател и дали е вербувала някой от членовете или персонала на </w:t>
      </w:r>
      <w:r w:rsidR="00177C53">
        <w:rPr>
          <w:lang w:val="bg-BG"/>
        </w:rPr>
        <w:t>сдружението</w:t>
      </w:r>
      <w:r w:rsidR="00AE2C64">
        <w:t xml:space="preserve"> като информатори. Съдът изтъкв</w:t>
      </w:r>
      <w:r>
        <w:t>а почти същите мотиви, както в решението си от</w:t>
      </w:r>
      <w:r w:rsidR="00AE2C64">
        <w:rPr>
          <w:lang w:val="bg-BG"/>
        </w:rPr>
        <w:t xml:space="preserve"> м.</w:t>
      </w:r>
      <w:r>
        <w:t xml:space="preserve"> юли 2021 г. (вж. параграф</w:t>
      </w:r>
      <w:r w:rsidR="00AE2C64">
        <w:rPr>
          <w:lang w:val="bg-BG"/>
        </w:rPr>
        <w:t xml:space="preserve"> </w:t>
      </w:r>
      <w:r>
        <w:fldChar w:fldCharType="begin"/>
      </w:r>
      <w:r>
        <w:instrText xml:space="preserve"> REF  RLF_SANSA_s_36_7_case_law_pers_dat_2 \h  \* MERGEFORMAT </w:instrText>
      </w:r>
      <w:r>
        <w:fldChar w:fldCharType="separate"/>
      </w:r>
      <w:r w:rsidR="00F21D3F">
        <w:t>69</w:t>
      </w:r>
      <w:r>
        <w:fldChar w:fldCharType="end"/>
      </w:r>
      <w:r>
        <w:t xml:space="preserve"> по-горе) (вж. </w:t>
      </w:r>
      <w:r w:rsidRPr="00C36D5D">
        <w:rPr>
          <w:i/>
          <w:iCs/>
          <w:lang w:val="bg-BG"/>
        </w:rPr>
        <w:t xml:space="preserve">реш. № 6820 от 19.11.2021 </w:t>
      </w:r>
      <w:r w:rsidR="00A43825">
        <w:rPr>
          <w:i/>
          <w:iCs/>
          <w:lang w:val="bg-BG"/>
        </w:rPr>
        <w:t>г</w:t>
      </w:r>
      <w:r w:rsidRPr="00C36D5D">
        <w:rPr>
          <w:i/>
          <w:iCs/>
          <w:lang w:val="bg-BG"/>
        </w:rPr>
        <w:t>. по адм. д. № 8299/2021 г., АС-София-град</w:t>
      </w:r>
      <w:r w:rsidRPr="002F2B60">
        <w:rPr>
          <w:lang w:val="bg-BG"/>
        </w:rPr>
        <w:t xml:space="preserve">). През </w:t>
      </w:r>
      <w:r w:rsidR="00AE2C64">
        <w:rPr>
          <w:lang w:val="bg-BG"/>
        </w:rPr>
        <w:t xml:space="preserve">м. </w:t>
      </w:r>
      <w:r w:rsidRPr="002F2B60">
        <w:rPr>
          <w:lang w:val="bg-BG"/>
        </w:rPr>
        <w:t>юли 2022 г. Върховният административен съд потвър</w:t>
      </w:r>
      <w:r w:rsidR="00772D0C">
        <w:rPr>
          <w:lang w:val="bg-BG"/>
        </w:rPr>
        <w:t>ждава това решение. Той постановява</w:t>
      </w:r>
      <w:r w:rsidRPr="002F2B60">
        <w:rPr>
          <w:lang w:val="bg-BG"/>
        </w:rPr>
        <w:t xml:space="preserve">, че искането за информация всъщност е засягало работните методи на Агенцията, а не събраните </w:t>
      </w:r>
      <w:r w:rsidR="00772D0C">
        <w:rPr>
          <w:lang w:val="bg-BG"/>
        </w:rPr>
        <w:t>от нея лични данни, и продължава, като заявява</w:t>
      </w:r>
      <w:r w:rsidRPr="002F2B60">
        <w:rPr>
          <w:lang w:val="bg-BG"/>
        </w:rPr>
        <w:t xml:space="preserve">, че </w:t>
      </w:r>
      <w:r w:rsidR="00772D0C" w:rsidRPr="002F2B60">
        <w:rPr>
          <w:lang w:val="bg-BG"/>
        </w:rPr>
        <w:t xml:space="preserve">Агенцията </w:t>
      </w:r>
      <w:r w:rsidRPr="002F2B60">
        <w:rPr>
          <w:lang w:val="bg-BG"/>
        </w:rPr>
        <w:t xml:space="preserve">правилно </w:t>
      </w:r>
      <w:r w:rsidR="00772D0C">
        <w:rPr>
          <w:lang w:val="bg-BG"/>
        </w:rPr>
        <w:t xml:space="preserve">е решила </w:t>
      </w:r>
      <w:r w:rsidRPr="002F2B60">
        <w:rPr>
          <w:lang w:val="bg-BG"/>
        </w:rPr>
        <w:t>да не разкрива кои лица е наела като информатори, тъй като съгласно чл. 23, ал. 3, т. 3 от Закона от 2007 г. (вж. параграф</w:t>
      </w:r>
      <w:r w:rsidR="008C6275">
        <w:rPr>
          <w:lang w:val="bg-BG"/>
        </w:rPr>
        <w:t xml:space="preserve"> </w:t>
      </w:r>
      <w:r>
        <w:fldChar w:fldCharType="begin"/>
      </w:r>
      <w:r w:rsidRPr="002F2B60">
        <w:rPr>
          <w:lang w:val="bg-BG"/>
        </w:rPr>
        <w:instrText xml:space="preserve"> </w:instrText>
      </w:r>
      <w:r>
        <w:instrText>REF</w:instrText>
      </w:r>
      <w:r w:rsidRPr="002F2B60">
        <w:rPr>
          <w:lang w:val="bg-BG"/>
        </w:rPr>
        <w:instrText xml:space="preserve">  </w:instrText>
      </w:r>
      <w:r>
        <w:instrText>RLF</w:instrText>
      </w:r>
      <w:r w:rsidRPr="002F2B60">
        <w:rPr>
          <w:lang w:val="bg-BG"/>
        </w:rPr>
        <w:instrText>_</w:instrText>
      </w:r>
      <w:r>
        <w:instrText>SANSA</w:instrText>
      </w:r>
      <w:r w:rsidRPr="002F2B60">
        <w:rPr>
          <w:lang w:val="bg-BG"/>
        </w:rPr>
        <w:instrText>_</w:instrText>
      </w:r>
      <w:r>
        <w:instrText>SANS</w:instrText>
      </w:r>
      <w:r w:rsidRPr="002F2B60">
        <w:rPr>
          <w:lang w:val="bg-BG"/>
        </w:rPr>
        <w:instrText>_</w:instrText>
      </w:r>
      <w:r>
        <w:instrText>collaborators</w:instrText>
      </w:r>
      <w:r w:rsidRPr="002F2B60">
        <w:rPr>
          <w:lang w:val="bg-BG"/>
        </w:rPr>
        <w:instrText xml:space="preserve"> \</w:instrText>
      </w:r>
      <w:r>
        <w:instrText>h</w:instrText>
      </w:r>
      <w:r w:rsidRPr="002F2B60">
        <w:rPr>
          <w:lang w:val="bg-BG"/>
        </w:rPr>
        <w:instrText xml:space="preserve"> 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 w:rsidRPr="002F2B60">
        <w:rPr>
          <w:lang w:val="bg-BG"/>
        </w:rPr>
        <w:t>50</w:t>
      </w:r>
      <w:r>
        <w:fldChar w:fldCharType="end"/>
      </w:r>
      <w:r w:rsidRPr="002F2B60">
        <w:rPr>
          <w:lang w:val="bg-BG"/>
        </w:rPr>
        <w:t xml:space="preserve"> </w:t>
      </w:r>
      <w:r w:rsidRPr="00F42D2C">
        <w:rPr>
          <w:i/>
          <w:iCs/>
        </w:rPr>
        <w:t>in</w:t>
      </w:r>
      <w:r w:rsidRPr="002F2B60">
        <w:rPr>
          <w:i/>
          <w:iCs/>
          <w:lang w:val="bg-BG"/>
        </w:rPr>
        <w:t xml:space="preserve"> </w:t>
      </w:r>
      <w:r w:rsidRPr="00F42D2C">
        <w:rPr>
          <w:i/>
          <w:iCs/>
        </w:rPr>
        <w:t>fine</w:t>
      </w:r>
      <w:r w:rsidRPr="002F2B60">
        <w:rPr>
          <w:i/>
          <w:iCs/>
          <w:lang w:val="bg-BG"/>
        </w:rPr>
        <w:t xml:space="preserve"> </w:t>
      </w:r>
      <w:r w:rsidRPr="002F2B60">
        <w:rPr>
          <w:lang w:val="bg-BG"/>
        </w:rPr>
        <w:t xml:space="preserve">по-горе) самоличността и данните на лицата, които са сътрудничили на Агенцията, трябва да останат в тайна (вж. </w:t>
      </w:r>
      <w:r w:rsidRPr="00BE3658">
        <w:rPr>
          <w:i/>
          <w:iCs/>
          <w:lang w:val="bg-BG"/>
        </w:rPr>
        <w:t xml:space="preserve">реш. № 6724 от 06.07.2022 г. по адм. д. № 2157/2022 </w:t>
      </w:r>
      <w:r>
        <w:rPr>
          <w:i/>
          <w:iCs/>
          <w:lang w:val="bg-BG"/>
        </w:rPr>
        <w:t>г</w:t>
      </w:r>
      <w:r w:rsidRPr="00BE3658">
        <w:rPr>
          <w:i/>
          <w:iCs/>
          <w:lang w:val="bg-BG"/>
        </w:rPr>
        <w:t xml:space="preserve">., ВАС, </w:t>
      </w:r>
      <w:r w:rsidRPr="00BE3658">
        <w:rPr>
          <w:i/>
          <w:iCs/>
        </w:rPr>
        <w:t>V</w:t>
      </w:r>
      <w:r w:rsidRPr="00772D0C">
        <w:rPr>
          <w:i/>
          <w:iCs/>
          <w:lang w:val="bg-BG"/>
        </w:rPr>
        <w:t xml:space="preserve"> </w:t>
      </w:r>
      <w:r w:rsidRPr="00BE3658">
        <w:rPr>
          <w:i/>
          <w:iCs/>
          <w:lang w:val="bg-BG"/>
        </w:rPr>
        <w:t>о.</w:t>
      </w:r>
      <w:r w:rsidRPr="00772D0C">
        <w:rPr>
          <w:lang w:val="bg-BG"/>
        </w:rPr>
        <w:t>).</w:t>
      </w:r>
    </w:p>
    <w:p w14:paraId="06CD56D2" w14:textId="77777777" w:rsidR="00304BC9" w:rsidRDefault="000F3485" w:rsidP="00304BC9">
      <w:pPr>
        <w:pStyle w:val="JuHa0"/>
      </w:pPr>
      <w:bookmarkStart w:id="143" w:name="_Toc175214984"/>
      <w:bookmarkStart w:id="144" w:name="_Toc232688274"/>
      <w:r>
        <w:t>Дело 2024</w:t>
      </w:r>
      <w:bookmarkEnd w:id="143"/>
      <w:r w:rsidR="00145B17">
        <w:rPr>
          <w:lang w:val="bg-BG"/>
        </w:rPr>
        <w:t xml:space="preserve"> г.</w:t>
      </w:r>
      <w:bookmarkEnd w:id="144"/>
    </w:p>
    <w:bookmarkStart w:id="145" w:name="RLF_SANSA_s_36_7_case_law_inteligence_2"/>
    <w:p w14:paraId="0E8879A7" w14:textId="57EAD00B" w:rsidR="00304BC9" w:rsidRPr="002F2B60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71</w:t>
      </w:r>
      <w:r>
        <w:fldChar w:fldCharType="end"/>
      </w:r>
      <w:bookmarkEnd w:id="145"/>
      <w:r w:rsidR="008C6275">
        <w:t xml:space="preserve">. </w:t>
      </w:r>
      <w:r>
        <w:t xml:space="preserve">В решение от </w:t>
      </w:r>
      <w:r w:rsidR="00311FDD">
        <w:rPr>
          <w:lang w:val="bg-BG"/>
        </w:rPr>
        <w:t xml:space="preserve">м. </w:t>
      </w:r>
      <w:r w:rsidR="00311FDD">
        <w:t>януари 2024 г. Административен съд София-</w:t>
      </w:r>
      <w:r>
        <w:t xml:space="preserve">град </w:t>
      </w:r>
      <w:r w:rsidR="00311FDD">
        <w:t>отменя</w:t>
      </w:r>
      <w:r>
        <w:t xml:space="preserve"> втория отказ на Агенцията </w:t>
      </w:r>
      <w:r w:rsidRPr="00D5215F">
        <w:t xml:space="preserve">да </w:t>
      </w:r>
      <w:r>
        <w:t xml:space="preserve">разкрие </w:t>
      </w:r>
      <w:r w:rsidRPr="00D5215F">
        <w:t xml:space="preserve">дали е събирала разузнавателна информация за </w:t>
      </w:r>
      <w:r>
        <w:t xml:space="preserve">същото </w:t>
      </w:r>
      <w:r w:rsidRPr="00D5215F">
        <w:t xml:space="preserve">сдружение или за неговия председател, както и дали е вербувала някой от членовете или служителите на </w:t>
      </w:r>
      <w:r w:rsidR="00177C53">
        <w:rPr>
          <w:lang w:val="bg-BG"/>
        </w:rPr>
        <w:t>сдружението</w:t>
      </w:r>
      <w:r w:rsidRPr="00D5215F">
        <w:t xml:space="preserve"> като информатори</w:t>
      </w:r>
      <w:r>
        <w:t xml:space="preserve">. Съдът отбеляза, по-специално, че доколкото искането за информация е засягало лица, различни от тези, които са го отправили, то е било нередовно, тъй като може да се поиска достъп само до собствените лични данни, и че Агенцията следователно не е трябвало да го разглежда по същество (вж. </w:t>
      </w:r>
      <w:r w:rsidRPr="00BA57F3">
        <w:rPr>
          <w:i/>
          <w:iCs/>
          <w:lang w:val="bg-BG"/>
        </w:rPr>
        <w:t>реш. № 136 от 05.01.2024 г. по адм. д. № 7471/2023 г., АдмС-София-град</w:t>
      </w:r>
      <w:r w:rsidRPr="002F2B60">
        <w:rPr>
          <w:lang w:val="bg-BG"/>
        </w:rPr>
        <w:t xml:space="preserve">). През </w:t>
      </w:r>
      <w:r w:rsidR="007A2CF3">
        <w:rPr>
          <w:lang w:val="bg-BG"/>
        </w:rPr>
        <w:t xml:space="preserve">м. </w:t>
      </w:r>
      <w:r w:rsidRPr="002F2B60">
        <w:rPr>
          <w:lang w:val="bg-BG"/>
        </w:rPr>
        <w:t>юли 2024 г. Върховният административен съд потвър</w:t>
      </w:r>
      <w:r w:rsidR="007A2CF3">
        <w:rPr>
          <w:lang w:val="bg-BG"/>
        </w:rPr>
        <w:t>ждава това решение. Той се съгласява</w:t>
      </w:r>
      <w:r w:rsidRPr="002F2B60">
        <w:rPr>
          <w:lang w:val="bg-BG"/>
        </w:rPr>
        <w:t xml:space="preserve"> с мотивите, изложени от </w:t>
      </w:r>
      <w:r w:rsidR="007A2CF3">
        <w:rPr>
          <w:lang w:val="bg-BG"/>
        </w:rPr>
        <w:t>първата</w:t>
      </w:r>
      <w:r w:rsidRPr="002F2B60">
        <w:rPr>
          <w:lang w:val="bg-BG"/>
        </w:rPr>
        <w:t xml:space="preserve"> инстанция по отношение на случаите, в които дадено лице търси данни, отна</w:t>
      </w:r>
      <w:r w:rsidR="007A2CF3">
        <w:rPr>
          <w:lang w:val="bg-BG"/>
        </w:rPr>
        <w:t>сящи се до друго лице, но добавя</w:t>
      </w:r>
      <w:r w:rsidR="004B18BE">
        <w:rPr>
          <w:lang w:val="bg-BG"/>
        </w:rPr>
        <w:t>, че съгласно чл.</w:t>
      </w:r>
      <w:r w:rsidRPr="002F2B60">
        <w:rPr>
          <w:lang w:val="bg-BG"/>
        </w:rPr>
        <w:t xml:space="preserve"> 36, </w:t>
      </w:r>
      <w:r w:rsidR="007A2CF3">
        <w:rPr>
          <w:lang w:val="bg-BG"/>
        </w:rPr>
        <w:t>ал.</w:t>
      </w:r>
      <w:r w:rsidRPr="002F2B60">
        <w:rPr>
          <w:lang w:val="bg-BG"/>
        </w:rPr>
        <w:t xml:space="preserve"> 8 от Закона от 2007 г. (</w:t>
      </w:r>
      <w:r w:rsidR="008C6275">
        <w:rPr>
          <w:lang w:val="bg-BG"/>
        </w:rPr>
        <w:t xml:space="preserve">параграф </w:t>
      </w:r>
      <w:r>
        <w:fldChar w:fldCharType="begin"/>
      </w:r>
      <w:r w:rsidRPr="002F2B60">
        <w:rPr>
          <w:lang w:val="bg-BG"/>
        </w:rPr>
        <w:instrText xml:space="preserve"> </w:instrText>
      </w:r>
      <w:r>
        <w:instrText>REF</w:instrText>
      </w:r>
      <w:r w:rsidRPr="002F2B60">
        <w:rPr>
          <w:lang w:val="bg-BG"/>
        </w:rPr>
        <w:instrText xml:space="preserve">  </w:instrText>
      </w:r>
      <w:r>
        <w:instrText>RLF</w:instrText>
      </w:r>
      <w:r w:rsidRPr="002F2B60">
        <w:rPr>
          <w:lang w:val="bg-BG"/>
        </w:rPr>
        <w:instrText>_</w:instrText>
      </w:r>
      <w:r>
        <w:instrText>SANSA</w:instrText>
      </w:r>
      <w:r w:rsidRPr="002F2B60">
        <w:rPr>
          <w:lang w:val="bg-BG"/>
        </w:rPr>
        <w:instrText>_</w:instrText>
      </w:r>
      <w:r>
        <w:instrText>s</w:instrText>
      </w:r>
      <w:r w:rsidRPr="002F2B60">
        <w:rPr>
          <w:lang w:val="bg-BG"/>
        </w:rPr>
        <w:instrText>_36_8 \</w:instrText>
      </w:r>
      <w:r>
        <w:instrText>h</w:instrText>
      </w:r>
      <w:r w:rsidRPr="002F2B60">
        <w:rPr>
          <w:lang w:val="bg-BG"/>
        </w:rPr>
        <w:instrText xml:space="preserve"> 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 w:rsidRPr="002F2B60">
        <w:rPr>
          <w:lang w:val="bg-BG"/>
        </w:rPr>
        <w:t>64</w:t>
      </w:r>
      <w:r>
        <w:fldChar w:fldCharType="end"/>
      </w:r>
      <w:r w:rsidRPr="002F2B60">
        <w:rPr>
          <w:lang w:val="bg-BG"/>
        </w:rPr>
        <w:t xml:space="preserve">, по-горе) Агенцията не е имала задължение да изложи фактическите обстоятелства, обосноваващи отказа ѝ да разкрие информация (вж. </w:t>
      </w:r>
      <w:r w:rsidRPr="00BE3658">
        <w:rPr>
          <w:i/>
          <w:iCs/>
          <w:lang w:val="bg-BG"/>
        </w:rPr>
        <w:t>реш. №</w:t>
      </w:r>
      <w:r w:rsidRPr="002F2B60">
        <w:rPr>
          <w:i/>
          <w:iCs/>
          <w:lang w:val="bg-BG"/>
        </w:rPr>
        <w:t xml:space="preserve"> 8858 </w:t>
      </w:r>
      <w:r w:rsidRPr="00BE3658">
        <w:rPr>
          <w:i/>
          <w:iCs/>
          <w:lang w:val="bg-BG"/>
        </w:rPr>
        <w:t>от</w:t>
      </w:r>
      <w:r w:rsidRPr="002F2B60">
        <w:rPr>
          <w:i/>
          <w:iCs/>
          <w:lang w:val="bg-BG"/>
        </w:rPr>
        <w:t xml:space="preserve"> 16</w:t>
      </w:r>
      <w:r w:rsidRPr="00BE3658">
        <w:rPr>
          <w:i/>
          <w:iCs/>
          <w:lang w:val="bg-BG"/>
        </w:rPr>
        <w:t>.</w:t>
      </w:r>
      <w:r w:rsidRPr="002F2B60">
        <w:rPr>
          <w:i/>
          <w:iCs/>
          <w:lang w:val="bg-BG"/>
        </w:rPr>
        <w:t>07</w:t>
      </w:r>
      <w:r w:rsidRPr="00BE3658">
        <w:rPr>
          <w:i/>
          <w:iCs/>
          <w:lang w:val="bg-BG"/>
        </w:rPr>
        <w:t>.</w:t>
      </w:r>
      <w:r w:rsidRPr="002F2B60">
        <w:rPr>
          <w:i/>
          <w:iCs/>
          <w:lang w:val="bg-BG"/>
        </w:rPr>
        <w:t xml:space="preserve">2024 </w:t>
      </w:r>
      <w:r w:rsidRPr="00BE3658">
        <w:rPr>
          <w:i/>
          <w:iCs/>
          <w:lang w:val="bg-BG"/>
        </w:rPr>
        <w:t>г. по адм. д. №</w:t>
      </w:r>
      <w:r w:rsidRPr="002F2B60">
        <w:rPr>
          <w:i/>
          <w:iCs/>
          <w:lang w:val="bg-BG"/>
        </w:rPr>
        <w:t xml:space="preserve"> 2605/2024 </w:t>
      </w:r>
      <w:r>
        <w:rPr>
          <w:i/>
          <w:iCs/>
          <w:lang w:val="bg-BG"/>
        </w:rPr>
        <w:t>г</w:t>
      </w:r>
      <w:r w:rsidRPr="00BE3658">
        <w:rPr>
          <w:i/>
          <w:iCs/>
          <w:lang w:val="bg-BG"/>
        </w:rPr>
        <w:t xml:space="preserve">., ВАС, </w:t>
      </w:r>
      <w:r w:rsidRPr="00BE3658">
        <w:rPr>
          <w:i/>
          <w:iCs/>
        </w:rPr>
        <w:t>V</w:t>
      </w:r>
      <w:r w:rsidRPr="002F2B60">
        <w:rPr>
          <w:i/>
          <w:iCs/>
          <w:lang w:val="bg-BG"/>
        </w:rPr>
        <w:t xml:space="preserve"> </w:t>
      </w:r>
      <w:r w:rsidRPr="00BE3658">
        <w:rPr>
          <w:i/>
          <w:iCs/>
          <w:lang w:val="bg-BG"/>
        </w:rPr>
        <w:t>о.</w:t>
      </w:r>
      <w:r w:rsidRPr="002F2B60">
        <w:rPr>
          <w:lang w:val="bg-BG"/>
        </w:rPr>
        <w:t xml:space="preserve">). След като </w:t>
      </w:r>
      <w:r w:rsidR="00886412">
        <w:rPr>
          <w:lang w:val="bg-BG"/>
        </w:rPr>
        <w:t>въпросът е върнат</w:t>
      </w:r>
      <w:r w:rsidRPr="002F2B60">
        <w:rPr>
          <w:lang w:val="bg-BG"/>
        </w:rPr>
        <w:t xml:space="preserve"> на Агенцията, през </w:t>
      </w:r>
      <w:r w:rsidR="00886412">
        <w:rPr>
          <w:lang w:val="bg-BG"/>
        </w:rPr>
        <w:t>м. август 2024 г. тя повторя</w:t>
      </w:r>
      <w:r w:rsidRPr="002F2B60">
        <w:rPr>
          <w:lang w:val="bg-BG"/>
        </w:rPr>
        <w:t xml:space="preserve"> предишния си отказ, като </w:t>
      </w:r>
      <w:r w:rsidRPr="002F2B60">
        <w:rPr>
          <w:lang w:val="bg-BG"/>
        </w:rPr>
        <w:lastRenderedPageBreak/>
        <w:t>изтъ</w:t>
      </w:r>
      <w:r w:rsidR="00886412">
        <w:rPr>
          <w:lang w:val="bg-BG"/>
        </w:rPr>
        <w:t>кв</w:t>
      </w:r>
      <w:r w:rsidRPr="002F2B60">
        <w:rPr>
          <w:lang w:val="bg-BG"/>
        </w:rPr>
        <w:t>а същите мотиви, почти дословно, които беше посочила в обосновката на предишния отказ; по-специално, тя отбеляза, че съгласно съответните разпоредби на Закона за защита на класифицираната информация от 2002 г. информацията, която би могла да доведе до идентифициране на информатори на службите за сигурност, представлява „държавна тайна“.</w:t>
      </w:r>
    </w:p>
    <w:p w14:paraId="24AFBA76" w14:textId="77777777" w:rsidR="00304BC9" w:rsidRPr="002F2B60" w:rsidRDefault="000F3485" w:rsidP="00304BC9">
      <w:pPr>
        <w:pStyle w:val="JuHA"/>
        <w:rPr>
          <w:lang w:val="bg-BG"/>
        </w:rPr>
      </w:pPr>
      <w:bookmarkStart w:id="146" w:name="_Toc175304745"/>
      <w:bookmarkStart w:id="147" w:name="_Toc232688275"/>
      <w:r w:rsidRPr="002F2B60">
        <w:rPr>
          <w:lang w:val="bg-BG"/>
        </w:rPr>
        <w:t>Надзор върху обработването на лични данни от Агенцията</w:t>
      </w:r>
      <w:bookmarkEnd w:id="146"/>
      <w:bookmarkEnd w:id="147"/>
    </w:p>
    <w:bookmarkStart w:id="148" w:name="RLF_SANSA_s_37"/>
    <w:bookmarkStart w:id="149" w:name="_Toc175214976"/>
    <w:p w14:paraId="0490FC97" w14:textId="77777777" w:rsidR="00304BC9" w:rsidRPr="002F2B60" w:rsidRDefault="000F3485" w:rsidP="00304BC9">
      <w:pPr>
        <w:pStyle w:val="JuPara"/>
        <w:rPr>
          <w:lang w:val="bg-BG"/>
        </w:rPr>
      </w:pPr>
      <w:r w:rsidRPr="002D491C">
        <w:fldChar w:fldCharType="begin"/>
      </w:r>
      <w:r w:rsidRPr="002F2B60">
        <w:rPr>
          <w:lang w:val="bg-BG"/>
        </w:rPr>
        <w:instrText xml:space="preserve"> </w:instrText>
      </w:r>
      <w:r w:rsidRPr="002D491C">
        <w:instrText>SEQ</w:instrText>
      </w:r>
      <w:r w:rsidRPr="002F2B60">
        <w:rPr>
          <w:lang w:val="bg-BG"/>
        </w:rPr>
        <w:instrText xml:space="preserve"> </w:instrText>
      </w:r>
      <w:r w:rsidRPr="002D491C">
        <w:instrText>level</w:instrText>
      </w:r>
      <w:r w:rsidRPr="002F2B60">
        <w:rPr>
          <w:lang w:val="bg-BG"/>
        </w:rPr>
        <w:instrText>0 \*</w:instrText>
      </w:r>
      <w:r w:rsidRPr="002D491C">
        <w:instrText>arabic</w:instrText>
      </w:r>
      <w:r w:rsidRPr="002F2B60">
        <w:rPr>
          <w:lang w:val="bg-BG"/>
        </w:rPr>
        <w:instrText xml:space="preserve"> \* </w:instrText>
      </w:r>
      <w:r w:rsidRPr="002D491C">
        <w:instrText>MERGEFORMAT</w:instrText>
      </w:r>
      <w:r w:rsidRPr="002F2B60">
        <w:rPr>
          <w:lang w:val="bg-BG"/>
        </w:rPr>
        <w:instrText xml:space="preserve"> </w:instrText>
      </w:r>
      <w:r w:rsidRPr="002D491C">
        <w:fldChar w:fldCharType="separate"/>
      </w:r>
      <w:r w:rsidR="00F21D3F" w:rsidRPr="002F2B60">
        <w:rPr>
          <w:noProof/>
          <w:lang w:val="bg-BG"/>
        </w:rPr>
        <w:t>72</w:t>
      </w:r>
      <w:r w:rsidRPr="002D491C">
        <w:fldChar w:fldCharType="end"/>
      </w:r>
      <w:bookmarkEnd w:id="148"/>
      <w:r w:rsidR="008C6275" w:rsidRPr="002F2B60">
        <w:rPr>
          <w:lang w:val="bg-BG"/>
        </w:rPr>
        <w:t>.</w:t>
      </w:r>
      <w:r w:rsidR="008C6275">
        <w:t> </w:t>
      </w:r>
      <w:r w:rsidRPr="002F2B60">
        <w:rPr>
          <w:lang w:val="bg-BG"/>
        </w:rPr>
        <w:t>Член 37 от Закона от 2007 г., в първоначалния му вид (и без последващи изменения), предвижда, че надзорът върху защитата на правата на физическите лица при обработката на техните лични данни от Агенцията и върху достъпа до тези данни следва да се осъществява от Комисията за защита на личните данни, при условията и по реда, установени в Закона за защита на личните данни от 2002 г. (вж. параграфи</w:t>
      </w:r>
      <w:r w:rsidR="008C6275">
        <w:rPr>
          <w:lang w:val="bg-BG"/>
        </w:rPr>
        <w:t xml:space="preserve"> </w:t>
      </w:r>
      <w:r w:rsidRPr="003A2A92">
        <w:fldChar w:fldCharType="begin"/>
      </w:r>
      <w:r w:rsidRPr="002F2B60">
        <w:rPr>
          <w:lang w:val="bg-BG"/>
        </w:rPr>
        <w:instrText xml:space="preserve"> </w:instrText>
      </w:r>
      <w:r w:rsidRPr="003A2A92">
        <w:instrText>REF</w:instrText>
      </w:r>
      <w:r w:rsidRPr="002F2B60">
        <w:rPr>
          <w:lang w:val="bg-BG"/>
        </w:rPr>
        <w:instrText xml:space="preserve">  </w:instrText>
      </w:r>
      <w:r w:rsidRPr="003A2A92">
        <w:instrText>RLF</w:instrText>
      </w:r>
      <w:r w:rsidRPr="002F2B60">
        <w:rPr>
          <w:lang w:val="bg-BG"/>
        </w:rPr>
        <w:instrText>_</w:instrText>
      </w:r>
      <w:r w:rsidRPr="003A2A92">
        <w:instrText>PPDA</w:instrText>
      </w:r>
      <w:r w:rsidRPr="002F2B60">
        <w:rPr>
          <w:lang w:val="bg-BG"/>
        </w:rPr>
        <w:instrText xml:space="preserve"> \</w:instrText>
      </w:r>
      <w:r w:rsidRPr="003A2A92">
        <w:instrText>h</w:instrText>
      </w:r>
      <w:r w:rsidRPr="002F2B60">
        <w:rPr>
          <w:lang w:val="bg-BG"/>
        </w:rPr>
        <w:instrText xml:space="preserve">  \* </w:instrText>
      </w:r>
      <w:r w:rsidRPr="003A2A92">
        <w:instrText>MERGEFORMAT</w:instrText>
      </w:r>
      <w:r w:rsidRPr="002F2B60">
        <w:rPr>
          <w:lang w:val="bg-BG"/>
        </w:rPr>
        <w:instrText xml:space="preserve"> </w:instrText>
      </w:r>
      <w:r w:rsidRPr="003A2A92">
        <w:fldChar w:fldCharType="separate"/>
      </w:r>
      <w:r w:rsidR="00F21D3F" w:rsidRPr="002F2B60">
        <w:rPr>
          <w:lang w:val="bg-BG"/>
        </w:rPr>
        <w:t>78</w:t>
      </w:r>
      <w:r w:rsidRPr="003A2A92">
        <w:fldChar w:fldCharType="end"/>
      </w:r>
      <w:r w:rsidRPr="002F2B60">
        <w:rPr>
          <w:lang w:val="bg-BG"/>
        </w:rPr>
        <w:t xml:space="preserve"> -</w:t>
      </w:r>
      <w:r>
        <w:fldChar w:fldCharType="begin"/>
      </w:r>
      <w:r w:rsidRPr="002F2B60">
        <w:rPr>
          <w:lang w:val="bg-BG"/>
        </w:rPr>
        <w:instrText xml:space="preserve"> </w:instrText>
      </w:r>
      <w:r>
        <w:instrText>REF</w:instrText>
      </w:r>
      <w:r w:rsidRPr="002F2B60">
        <w:rPr>
          <w:lang w:val="bg-BG"/>
        </w:rPr>
        <w:instrText xml:space="preserve">  </w:instrText>
      </w:r>
      <w:r>
        <w:instrText>RLF</w:instrText>
      </w:r>
      <w:r w:rsidRPr="002F2B60">
        <w:rPr>
          <w:lang w:val="bg-BG"/>
        </w:rPr>
        <w:instrText>_</w:instrText>
      </w:r>
      <w:r>
        <w:instrText>PPDA</w:instrText>
      </w:r>
      <w:r w:rsidRPr="002F2B60">
        <w:rPr>
          <w:lang w:val="bg-BG"/>
        </w:rPr>
        <w:instrText>_</w:instrText>
      </w:r>
      <w:r>
        <w:instrText>CPPD</w:instrText>
      </w:r>
      <w:r w:rsidRPr="002F2B60">
        <w:rPr>
          <w:lang w:val="bg-BG"/>
        </w:rPr>
        <w:instrText>_</w:instrText>
      </w:r>
      <w:r>
        <w:instrText>quinquies</w:instrText>
      </w:r>
      <w:r w:rsidRPr="002F2B60">
        <w:rPr>
          <w:lang w:val="bg-BG"/>
        </w:rPr>
        <w:instrText xml:space="preserve"> \</w:instrText>
      </w:r>
      <w:r>
        <w:instrText>h</w:instrText>
      </w:r>
      <w:r w:rsidRPr="002F2B60">
        <w:rPr>
          <w:lang w:val="bg-BG"/>
        </w:rPr>
        <w:instrText xml:space="preserve">  \* </w:instrText>
      </w:r>
      <w:r>
        <w:instrText>MERGEFORMAT</w:instrText>
      </w:r>
      <w:r w:rsidRPr="002F2B60">
        <w:rPr>
          <w:lang w:val="bg-BG"/>
        </w:rPr>
        <w:instrText xml:space="preserve"> </w:instrText>
      </w:r>
      <w:r>
        <w:fldChar w:fldCharType="separate"/>
      </w:r>
      <w:r w:rsidR="00F21D3F" w:rsidRPr="002F2B60">
        <w:rPr>
          <w:lang w:val="bg-BG"/>
        </w:rPr>
        <w:t>95</w:t>
      </w:r>
      <w:r>
        <w:fldChar w:fldCharType="end"/>
      </w:r>
      <w:r w:rsidRPr="002F2B60">
        <w:rPr>
          <w:lang w:val="bg-BG"/>
        </w:rPr>
        <w:t xml:space="preserve"> по-долу).</w:t>
      </w:r>
    </w:p>
    <w:p w14:paraId="4936D76A" w14:textId="02715A5D" w:rsidR="00304BC9" w:rsidRPr="003511A9" w:rsidRDefault="000F3485" w:rsidP="00304BC9">
      <w:pPr>
        <w:pStyle w:val="JuHIRoman"/>
        <w:rPr>
          <w:lang w:val="bg-BG"/>
        </w:rPr>
      </w:pPr>
      <w:bookmarkStart w:id="150" w:name="_Toc232688276"/>
      <w:r w:rsidRPr="003511A9">
        <w:rPr>
          <w:lang w:val="bg-BG"/>
        </w:rPr>
        <w:t xml:space="preserve">ЗАКОН ЗА СПЕЦИАЛНИТЕ </w:t>
      </w:r>
      <w:r w:rsidR="00C91E76" w:rsidRPr="003511A9">
        <w:rPr>
          <w:lang w:val="bg-BG"/>
        </w:rPr>
        <w:t xml:space="preserve">РАЗУЗНАВАТЕЛНИ </w:t>
      </w:r>
      <w:r w:rsidR="003511A9" w:rsidRPr="003511A9">
        <w:rPr>
          <w:lang w:val="bg-BG"/>
        </w:rPr>
        <w:t xml:space="preserve">средства </w:t>
      </w:r>
      <w:r w:rsidRPr="003511A9">
        <w:rPr>
          <w:lang w:val="bg-BG"/>
        </w:rPr>
        <w:t>ОТ 1997 Г.</w:t>
      </w:r>
      <w:bookmarkEnd w:id="149"/>
      <w:bookmarkEnd w:id="150"/>
    </w:p>
    <w:bookmarkStart w:id="151" w:name="RLF_SSMA"/>
    <w:p w14:paraId="57F2DDF0" w14:textId="4C49A3EE" w:rsidR="00304BC9" w:rsidRPr="002F2B60" w:rsidRDefault="000F3485" w:rsidP="00304BC9">
      <w:pPr>
        <w:pStyle w:val="JuPara"/>
        <w:rPr>
          <w:lang w:val="bg-BG"/>
        </w:rPr>
      </w:pPr>
      <w:r w:rsidRPr="00C462F6">
        <w:fldChar w:fldCharType="begin"/>
      </w:r>
      <w:r w:rsidRPr="002F2B60">
        <w:rPr>
          <w:lang w:val="bg-BG"/>
        </w:rPr>
        <w:instrText xml:space="preserve"> </w:instrText>
      </w:r>
      <w:r w:rsidRPr="00C462F6">
        <w:instrText>SEQ</w:instrText>
      </w:r>
      <w:r w:rsidRPr="002F2B60">
        <w:rPr>
          <w:lang w:val="bg-BG"/>
        </w:rPr>
        <w:instrText xml:space="preserve"> </w:instrText>
      </w:r>
      <w:r w:rsidRPr="00C462F6">
        <w:instrText>level</w:instrText>
      </w:r>
      <w:r w:rsidRPr="002F2B60">
        <w:rPr>
          <w:lang w:val="bg-BG"/>
        </w:rPr>
        <w:instrText>0 \*</w:instrText>
      </w:r>
      <w:r w:rsidRPr="00C462F6">
        <w:instrText>arabic</w:instrText>
      </w:r>
      <w:r w:rsidRPr="002F2B60">
        <w:rPr>
          <w:lang w:val="bg-BG"/>
        </w:rPr>
        <w:instrText xml:space="preserve"> \* </w:instrText>
      </w:r>
      <w:r w:rsidRPr="00C462F6">
        <w:instrText>MERGEFORMAT</w:instrText>
      </w:r>
      <w:r w:rsidRPr="002F2B60">
        <w:rPr>
          <w:lang w:val="bg-BG"/>
        </w:rPr>
        <w:instrText xml:space="preserve"> </w:instrText>
      </w:r>
      <w:r w:rsidRPr="00C462F6">
        <w:fldChar w:fldCharType="separate"/>
      </w:r>
      <w:r w:rsidR="00F21D3F" w:rsidRPr="002F2B60">
        <w:rPr>
          <w:noProof/>
          <w:lang w:val="bg-BG"/>
        </w:rPr>
        <w:t>73</w:t>
      </w:r>
      <w:r w:rsidRPr="00C462F6">
        <w:fldChar w:fldCharType="end"/>
      </w:r>
      <w:bookmarkEnd w:id="151"/>
      <w:r w:rsidR="008C6275" w:rsidRPr="002F2B60">
        <w:rPr>
          <w:lang w:val="bg-BG"/>
        </w:rPr>
        <w:t xml:space="preserve">. </w:t>
      </w:r>
      <w:r w:rsidRPr="002F2B60">
        <w:rPr>
          <w:lang w:val="bg-BG"/>
        </w:rPr>
        <w:t xml:space="preserve">Подробен преглед на Закона за специалните </w:t>
      </w:r>
      <w:r w:rsidR="00863E52">
        <w:rPr>
          <w:lang w:val="bg-BG"/>
        </w:rPr>
        <w:t xml:space="preserve">разузнавателни </w:t>
      </w:r>
      <w:r w:rsidRPr="002F2B60">
        <w:rPr>
          <w:lang w:val="bg-BG"/>
        </w:rPr>
        <w:t xml:space="preserve">средства от 1997 г. („Законът от 1997 г.“) с последващите му изменения, както и на свързаното с него законодателство – и на тяхното прилагане от българските власти и съдилища до </w:t>
      </w:r>
      <w:r w:rsidR="00863E52">
        <w:rPr>
          <w:lang w:val="bg-BG"/>
        </w:rPr>
        <w:t xml:space="preserve">м. </w:t>
      </w:r>
      <w:r w:rsidRPr="002F2B60">
        <w:rPr>
          <w:lang w:val="bg-BG"/>
        </w:rPr>
        <w:t xml:space="preserve">декември 2021 г. – може да бъде намерен </w:t>
      </w:r>
      <w:r w:rsidR="00863E52">
        <w:rPr>
          <w:lang w:val="bg-BG"/>
        </w:rPr>
        <w:t>по</w:t>
      </w:r>
      <w:r w:rsidRPr="002F2B60">
        <w:rPr>
          <w:lang w:val="bg-BG"/>
        </w:rPr>
        <w:t xml:space="preserve"> </w:t>
      </w:r>
      <w:r w:rsidRPr="002F2B60">
        <w:rPr>
          <w:i/>
          <w:iCs/>
          <w:lang w:val="bg-BG"/>
        </w:rPr>
        <w:t>делото „Екимджиев и др. с</w:t>
      </w:r>
      <w:r w:rsidR="008C6275">
        <w:rPr>
          <w:i/>
          <w:iCs/>
          <w:lang w:val="bg-BG"/>
        </w:rPr>
        <w:t>/</w:t>
      </w:r>
      <w:r w:rsidRPr="002F2B60">
        <w:rPr>
          <w:i/>
          <w:iCs/>
          <w:lang w:val="bg-BG"/>
        </w:rPr>
        <w:t>у България</w:t>
      </w:r>
      <w:r w:rsidRPr="002F2B60">
        <w:rPr>
          <w:lang w:val="bg-BG"/>
        </w:rPr>
        <w:t xml:space="preserve">“ (цитирано по-горе, </w:t>
      </w:r>
      <w:r w:rsidR="00863E52">
        <w:rPr>
          <w:rFonts w:cstheme="minorHAnsi"/>
          <w:lang w:val="bg-BG"/>
        </w:rPr>
        <w:t>§§</w:t>
      </w:r>
      <w:r w:rsidR="008C6275">
        <w:rPr>
          <w:rFonts w:cstheme="minorHAnsi"/>
          <w:lang w:val="bg-BG"/>
        </w:rPr>
        <w:t xml:space="preserve"> </w:t>
      </w:r>
      <w:r w:rsidR="00863E52">
        <w:rPr>
          <w:rFonts w:cstheme="minorHAnsi"/>
          <w:lang w:val="bg-BG"/>
        </w:rPr>
        <w:t>11-</w:t>
      </w:r>
      <w:r w:rsidRPr="002F2B60">
        <w:rPr>
          <w:rFonts w:cstheme="minorHAnsi"/>
          <w:lang w:val="bg-BG"/>
        </w:rPr>
        <w:t>145</w:t>
      </w:r>
      <w:r w:rsidRPr="002F2B60">
        <w:rPr>
          <w:lang w:val="bg-BG"/>
        </w:rPr>
        <w:t>). Този закон урежда подробно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</w:instrText>
      </w:r>
      <w:r w:rsidR="002F2B60">
        <w:instrText>r</w:instrText>
      </w:r>
      <w:r w:rsidR="002F2B60" w:rsidRPr="002F2B60">
        <w:rPr>
          <w:lang w:val="bg-BG"/>
        </w:rPr>
        <w:instrText xml:space="preserve">1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ситуациите, които могат да доведат до използването на „специални </w:t>
      </w:r>
      <w:r w:rsidR="003F68C2">
        <w:rPr>
          <w:lang w:val="bg-BG"/>
        </w:rPr>
        <w:t xml:space="preserve">разузнавателни </w:t>
      </w:r>
      <w:r w:rsidRPr="002F2B60">
        <w:rPr>
          <w:lang w:val="bg-BG"/>
        </w:rPr>
        <w:t>средства“,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лицата или обектите, които могат да бъдат </w:t>
      </w:r>
      <w:r w:rsidR="003F68C2">
        <w:rPr>
          <w:lang w:val="bg-BG"/>
        </w:rPr>
        <w:t>обект</w:t>
      </w:r>
      <w:r w:rsidRPr="002F2B60">
        <w:rPr>
          <w:lang w:val="bg-BG"/>
        </w:rPr>
        <w:t xml:space="preserve"> на такова наблюдение,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в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процедурите за разрешаване на такова наблюдение (кои органи могат да го поискат, как трябва да формулират своите искания, кои органи могат да издават разрешения за </w:t>
      </w:r>
      <w:r w:rsidR="003F68C2">
        <w:rPr>
          <w:lang w:val="bg-BG"/>
        </w:rPr>
        <w:t>изпозлване на специални разузнавателни средства</w:t>
      </w:r>
      <w:r w:rsidRPr="002F2B60">
        <w:rPr>
          <w:lang w:val="bg-BG"/>
        </w:rPr>
        <w:t xml:space="preserve"> и как трябва да разглеждат исканията за издаването им),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г</w:t>
      </w:r>
      <w:r w:rsidR="002F2B60">
        <w:rPr>
          <w:noProof/>
        </w:rPr>
        <w:fldChar w:fldCharType="end"/>
      </w:r>
      <w:r w:rsidRPr="002F2B60">
        <w:rPr>
          <w:lang w:val="bg-BG"/>
        </w:rPr>
        <w:t>) максималната продължителност на такова наблюдение,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д</w:t>
      </w:r>
      <w:r w:rsidR="002F2B60">
        <w:rPr>
          <w:noProof/>
        </w:rPr>
        <w:fldChar w:fldCharType="end"/>
      </w:r>
      <w:r w:rsidRPr="002F2B60">
        <w:rPr>
          <w:lang w:val="bg-BG"/>
        </w:rPr>
        <w:t>) ситуациите, в които такова наблюдение трябва да бъде прекратено,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е</w:t>
      </w:r>
      <w:r w:rsidR="002F2B60">
        <w:rPr>
          <w:noProof/>
        </w:rPr>
        <w:fldChar w:fldCharType="end"/>
      </w:r>
      <w:r w:rsidR="0033337C">
        <w:rPr>
          <w:lang w:val="bg-BG"/>
        </w:rPr>
        <w:t>) начинът</w:t>
      </w:r>
      <w:r w:rsidRPr="002F2B60">
        <w:rPr>
          <w:lang w:val="bg-BG"/>
        </w:rPr>
        <w:t>, по който трябва да се обработва информацията, получена чрез такова наблюдение, и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ж</w:t>
      </w:r>
      <w:r w:rsidR="002F2B60">
        <w:rPr>
          <w:noProof/>
        </w:rPr>
        <w:fldChar w:fldCharType="end"/>
      </w:r>
      <w:r w:rsidRPr="002F2B60">
        <w:rPr>
          <w:lang w:val="bg-BG"/>
        </w:rPr>
        <w:t>) органите, които упражняват надзор върху използването на „специални</w:t>
      </w:r>
      <w:r w:rsidR="0033337C">
        <w:rPr>
          <w:lang w:val="bg-BG"/>
        </w:rPr>
        <w:t xml:space="preserve"> разузнавателни средства</w:t>
      </w:r>
      <w:r w:rsidRPr="002F2B60">
        <w:rPr>
          <w:lang w:val="bg-BG"/>
        </w:rPr>
        <w:t>“.</w:t>
      </w:r>
    </w:p>
    <w:bookmarkStart w:id="152" w:name="RLF_SSMA_s_2"/>
    <w:p w14:paraId="1B3937A0" w14:textId="7D5ABF90" w:rsidR="00304BC9" w:rsidRPr="002F2B60" w:rsidRDefault="000F3485" w:rsidP="00304BC9">
      <w:pPr>
        <w:pStyle w:val="JuPara"/>
        <w:rPr>
          <w:lang w:val="bg-BG"/>
        </w:rPr>
      </w:pPr>
      <w:r w:rsidRPr="00C462F6">
        <w:fldChar w:fldCharType="begin"/>
      </w:r>
      <w:r w:rsidRPr="002F2B60">
        <w:rPr>
          <w:lang w:val="bg-BG"/>
        </w:rPr>
        <w:instrText xml:space="preserve"> </w:instrText>
      </w:r>
      <w:r w:rsidRPr="00C462F6">
        <w:instrText>SEQ</w:instrText>
      </w:r>
      <w:r w:rsidRPr="002F2B60">
        <w:rPr>
          <w:lang w:val="bg-BG"/>
        </w:rPr>
        <w:instrText xml:space="preserve"> </w:instrText>
      </w:r>
      <w:r w:rsidRPr="00C462F6">
        <w:instrText>level</w:instrText>
      </w:r>
      <w:r w:rsidRPr="002F2B60">
        <w:rPr>
          <w:lang w:val="bg-BG"/>
        </w:rPr>
        <w:instrText>0 \*</w:instrText>
      </w:r>
      <w:r w:rsidRPr="00C462F6">
        <w:instrText>arabic</w:instrText>
      </w:r>
      <w:r w:rsidRPr="002F2B60">
        <w:rPr>
          <w:lang w:val="bg-BG"/>
        </w:rPr>
        <w:instrText xml:space="preserve"> \* </w:instrText>
      </w:r>
      <w:r w:rsidRPr="00C462F6">
        <w:instrText>MERGEFORMAT</w:instrText>
      </w:r>
      <w:r w:rsidRPr="002F2B60">
        <w:rPr>
          <w:lang w:val="bg-BG"/>
        </w:rPr>
        <w:instrText xml:space="preserve"> </w:instrText>
      </w:r>
      <w:r w:rsidRPr="00C462F6">
        <w:fldChar w:fldCharType="separate"/>
      </w:r>
      <w:r w:rsidR="00F21D3F" w:rsidRPr="002F2B60">
        <w:rPr>
          <w:noProof/>
          <w:lang w:val="bg-BG"/>
        </w:rPr>
        <w:t>74</w:t>
      </w:r>
      <w:r w:rsidRPr="00C462F6">
        <w:fldChar w:fldCharType="end"/>
      </w:r>
      <w:bookmarkEnd w:id="152"/>
      <w:r w:rsidR="008C6275" w:rsidRPr="002F2B60">
        <w:rPr>
          <w:lang w:val="bg-BG"/>
        </w:rPr>
        <w:t xml:space="preserve">. </w:t>
      </w:r>
      <w:r w:rsidRPr="002F2B60">
        <w:rPr>
          <w:lang w:val="bg-BG"/>
        </w:rPr>
        <w:t xml:space="preserve">Съгласно член 2, </w:t>
      </w:r>
      <w:r w:rsidR="00E67ACB">
        <w:rPr>
          <w:lang w:val="bg-BG"/>
        </w:rPr>
        <w:t>ал.</w:t>
      </w:r>
      <w:r w:rsidRPr="002F2B60">
        <w:rPr>
          <w:lang w:val="bg-BG"/>
        </w:rPr>
        <w:t xml:space="preserve"> 1 и 2 от Закона от 1997 г. (и член 172, </w:t>
      </w:r>
      <w:r w:rsidR="00E67ACB">
        <w:rPr>
          <w:lang w:val="bg-BG"/>
        </w:rPr>
        <w:t>ал.</w:t>
      </w:r>
      <w:r w:rsidRPr="002F2B60">
        <w:rPr>
          <w:lang w:val="bg-BG"/>
        </w:rPr>
        <w:t xml:space="preserve"> 1 от Наказателнопроцесуалния кодекс) общото понятие „специални </w:t>
      </w:r>
      <w:r w:rsidR="000D3532">
        <w:rPr>
          <w:lang w:val="bg-BG"/>
        </w:rPr>
        <w:t xml:space="preserve">разузнавателни </w:t>
      </w:r>
      <w:r w:rsidRPr="002F2B60">
        <w:rPr>
          <w:lang w:val="bg-BG"/>
        </w:rPr>
        <w:t xml:space="preserve">средства“ обхваща електронни или механични </w:t>
      </w:r>
      <w:r w:rsidR="00F17CB6">
        <w:rPr>
          <w:lang w:val="bg-BG"/>
        </w:rPr>
        <w:t>съоръжения</w:t>
      </w:r>
      <w:r w:rsidRPr="002F2B60">
        <w:rPr>
          <w:lang w:val="bg-BG"/>
        </w:rPr>
        <w:t xml:space="preserve">, позволяващи събирането на доказателствен материал (видео- и </w:t>
      </w:r>
      <w:r w:rsidR="00F17CB6">
        <w:rPr>
          <w:lang w:val="bg-BG"/>
        </w:rPr>
        <w:t>звук</w:t>
      </w:r>
      <w:r w:rsidRPr="002F2B60">
        <w:rPr>
          <w:lang w:val="bg-BG"/>
        </w:rPr>
        <w:t xml:space="preserve">озаписи, </w:t>
      </w:r>
      <w:r w:rsidR="00F17CB6">
        <w:rPr>
          <w:lang w:val="bg-BG"/>
        </w:rPr>
        <w:t>фотоснимки и белязани</w:t>
      </w:r>
      <w:r w:rsidRPr="002F2B60">
        <w:rPr>
          <w:lang w:val="bg-BG"/>
        </w:rPr>
        <w:t xml:space="preserve"> предмети), както и </w:t>
      </w:r>
      <w:r w:rsidR="00F04F2B">
        <w:rPr>
          <w:lang w:val="bg-BG"/>
        </w:rPr>
        <w:t>оперативни способи</w:t>
      </w:r>
      <w:r w:rsidRPr="002F2B60">
        <w:rPr>
          <w:lang w:val="bg-BG"/>
        </w:rPr>
        <w:t xml:space="preserve">, използвани при употребата на тези </w:t>
      </w:r>
      <w:r w:rsidR="00F04F2B">
        <w:rPr>
          <w:lang w:val="bg-BG"/>
        </w:rPr>
        <w:t>средства</w:t>
      </w:r>
      <w:r w:rsidR="0076341E">
        <w:rPr>
          <w:lang w:val="bg-BG"/>
        </w:rPr>
        <w:t>. Съгласно чл.</w:t>
      </w:r>
      <w:r w:rsidRPr="002F2B60">
        <w:rPr>
          <w:lang w:val="bg-BG"/>
        </w:rPr>
        <w:t xml:space="preserve"> 2, </w:t>
      </w:r>
      <w:r w:rsidR="00F04F2B">
        <w:rPr>
          <w:lang w:val="bg-BG"/>
        </w:rPr>
        <w:t>ал.</w:t>
      </w:r>
      <w:r w:rsidR="0076341E">
        <w:rPr>
          <w:lang w:val="bg-BG"/>
        </w:rPr>
        <w:t xml:space="preserve"> 3 от Закона от 1997 г. (и чл.</w:t>
      </w:r>
      <w:r w:rsidRPr="002F2B60">
        <w:rPr>
          <w:lang w:val="bg-BG"/>
        </w:rPr>
        <w:t xml:space="preserve"> 172, </w:t>
      </w:r>
      <w:r w:rsidR="00F04F2B">
        <w:rPr>
          <w:lang w:val="bg-BG"/>
        </w:rPr>
        <w:t>ал.</w:t>
      </w:r>
      <w:r w:rsidRPr="002F2B60">
        <w:rPr>
          <w:lang w:val="bg-BG"/>
        </w:rPr>
        <w:t xml:space="preserve"> 1 от </w:t>
      </w:r>
      <w:r w:rsidRPr="002F2B60">
        <w:rPr>
          <w:lang w:val="bg-BG"/>
        </w:rPr>
        <w:lastRenderedPageBreak/>
        <w:t xml:space="preserve">Наказателнопроцесуалния кодекс) тези техники са: 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</w:instrText>
      </w:r>
      <w:r w:rsidR="002F2B60">
        <w:instrText>r</w:instrText>
      </w:r>
      <w:r w:rsidR="002F2B60" w:rsidRPr="002F2B60">
        <w:rPr>
          <w:lang w:val="bg-BG"/>
        </w:rPr>
        <w:instrText xml:space="preserve">1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наблюдение; 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подслушване и записване на разговори; 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в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проследяване; 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г</w:t>
      </w:r>
      <w:r w:rsidR="002F2B60">
        <w:rPr>
          <w:noProof/>
        </w:rPr>
        <w:fldChar w:fldCharType="end"/>
      </w:r>
      <w:r w:rsidRPr="002F2B60">
        <w:rPr>
          <w:lang w:val="bg-BG"/>
        </w:rPr>
        <w:t>) тайно проникване (в превозни средства или помещения);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>
        <w:rPr>
          <w:noProof/>
        </w:rPr>
        <w:t>e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</w:t>
      </w:r>
      <w:r w:rsidR="005A1C5B">
        <w:rPr>
          <w:lang w:val="bg-BG"/>
        </w:rPr>
        <w:t>белязване</w:t>
      </w:r>
      <w:r w:rsidRPr="002F2B60">
        <w:rPr>
          <w:lang w:val="bg-BG"/>
        </w:rPr>
        <w:t xml:space="preserve"> и проверка на кореспонденция или компютърна информация,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>
        <w:rPr>
          <w:noProof/>
        </w:rPr>
        <w:t>f</w:t>
      </w:r>
      <w:r w:rsidR="002F2B60">
        <w:rPr>
          <w:noProof/>
        </w:rPr>
        <w:fldChar w:fldCharType="end"/>
      </w:r>
      <w:r w:rsidRPr="002F2B60">
        <w:rPr>
          <w:lang w:val="bg-BG"/>
        </w:rPr>
        <w:t>) контролирана доставка,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>
        <w:rPr>
          <w:noProof/>
        </w:rPr>
        <w:t>g</w:t>
      </w:r>
      <w:r w:rsidR="002F2B60">
        <w:rPr>
          <w:noProof/>
        </w:rPr>
        <w:fldChar w:fldCharType="end"/>
      </w:r>
      <w:r w:rsidRPr="002F2B60">
        <w:rPr>
          <w:lang w:val="bg-BG"/>
        </w:rPr>
        <w:t xml:space="preserve">) </w:t>
      </w:r>
      <w:r w:rsidR="0018432C">
        <w:rPr>
          <w:lang w:val="bg-BG"/>
        </w:rPr>
        <w:t>доверителна сделка</w:t>
      </w:r>
      <w:r w:rsidRPr="002F2B60">
        <w:rPr>
          <w:lang w:val="bg-BG"/>
        </w:rPr>
        <w:t>,</w:t>
      </w:r>
      <w:r>
        <w:rPr>
          <w:rStyle w:val="FootnoteReference"/>
        </w:rPr>
        <w:footnoteReference w:id="2"/>
      </w:r>
      <w:r w:rsidRPr="002F2B60">
        <w:rPr>
          <w:lang w:val="bg-BG"/>
        </w:rPr>
        <w:t xml:space="preserve"> и (</w:t>
      </w:r>
      <w:bookmarkStart w:id="153" w:name="RLF_SSMA_s_2_agents_under_cover"/>
      <w:r w:rsidRPr="00C462F6">
        <w:fldChar w:fldCharType="begin"/>
      </w:r>
      <w:r w:rsidRPr="002F2B60">
        <w:rPr>
          <w:lang w:val="bg-BG"/>
        </w:rPr>
        <w:instrText xml:space="preserve"> </w:instrText>
      </w:r>
      <w:r w:rsidRPr="00C462F6">
        <w:instrText>SEQ</w:instrText>
      </w:r>
      <w:r w:rsidRPr="002F2B60">
        <w:rPr>
          <w:lang w:val="bg-BG"/>
        </w:rPr>
        <w:instrText xml:space="preserve"> </w:instrText>
      </w:r>
      <w:r w:rsidRPr="00C462F6">
        <w:instrText>level</w:instrText>
      </w:r>
      <w:r w:rsidRPr="002F2B60">
        <w:rPr>
          <w:lang w:val="bg-BG"/>
        </w:rPr>
        <w:instrText>1 \*</w:instrText>
      </w:r>
      <w:r w:rsidRPr="00C462F6">
        <w:instrText>alphabetic</w:instrText>
      </w:r>
      <w:r w:rsidRPr="002F2B60">
        <w:rPr>
          <w:lang w:val="bg-BG"/>
        </w:rPr>
        <w:instrText xml:space="preserve"> \* </w:instrText>
      </w:r>
      <w:r w:rsidRPr="00C462F6">
        <w:instrText>MERGEFORMAT</w:instrText>
      </w:r>
      <w:r w:rsidRPr="002F2B60">
        <w:rPr>
          <w:lang w:val="bg-BG"/>
        </w:rPr>
        <w:instrText xml:space="preserve"> </w:instrText>
      </w:r>
      <w:r w:rsidRPr="00C462F6">
        <w:fldChar w:fldCharType="separate"/>
      </w:r>
      <w:r w:rsidR="00F21D3F" w:rsidRPr="002F2B60">
        <w:rPr>
          <w:noProof/>
          <w:lang w:val="bg-BG"/>
        </w:rPr>
        <w:t xml:space="preserve"> </w:t>
      </w:r>
      <w:r w:rsidR="00F21D3F">
        <w:rPr>
          <w:noProof/>
        </w:rPr>
        <w:t>h</w:t>
      </w:r>
      <w:r w:rsidRPr="00C462F6">
        <w:fldChar w:fldCharType="end"/>
      </w:r>
      <w:bookmarkEnd w:id="153"/>
      <w:r w:rsidRPr="002F2B60">
        <w:rPr>
          <w:lang w:val="bg-BG"/>
        </w:rPr>
        <w:t xml:space="preserve"> ) използването на „</w:t>
      </w:r>
      <w:r w:rsidR="008C6275">
        <w:rPr>
          <w:lang w:val="bg-BG"/>
        </w:rPr>
        <w:t>служители</w:t>
      </w:r>
      <w:r w:rsidRPr="002F2B60">
        <w:rPr>
          <w:lang w:val="bg-BG"/>
        </w:rPr>
        <w:t xml:space="preserve"> под прикритие“.</w:t>
      </w:r>
    </w:p>
    <w:bookmarkStart w:id="154" w:name="RLF_SSMA_s_10c_1"/>
    <w:p w14:paraId="7D17BD21" w14:textId="228C29A3" w:rsidR="00304BC9" w:rsidRPr="002F2B60" w:rsidRDefault="000F3485" w:rsidP="00304BC9">
      <w:pPr>
        <w:pStyle w:val="JuPara"/>
        <w:rPr>
          <w:lang w:val="bg-BG"/>
        </w:rPr>
      </w:pPr>
      <w:r w:rsidRPr="00C462F6">
        <w:fldChar w:fldCharType="begin"/>
      </w:r>
      <w:r w:rsidRPr="002F2B60">
        <w:rPr>
          <w:lang w:val="bg-BG"/>
        </w:rPr>
        <w:instrText xml:space="preserve"> </w:instrText>
      </w:r>
      <w:r w:rsidRPr="00C462F6">
        <w:instrText>SEQ</w:instrText>
      </w:r>
      <w:r w:rsidRPr="002F2B60">
        <w:rPr>
          <w:lang w:val="bg-BG"/>
        </w:rPr>
        <w:instrText xml:space="preserve"> </w:instrText>
      </w:r>
      <w:r w:rsidRPr="00C462F6">
        <w:instrText>level</w:instrText>
      </w:r>
      <w:r w:rsidRPr="002F2B60">
        <w:rPr>
          <w:lang w:val="bg-BG"/>
        </w:rPr>
        <w:instrText>0 \*</w:instrText>
      </w:r>
      <w:r w:rsidRPr="00C462F6">
        <w:instrText>arabic</w:instrText>
      </w:r>
      <w:r w:rsidRPr="002F2B60">
        <w:rPr>
          <w:lang w:val="bg-BG"/>
        </w:rPr>
        <w:instrText xml:space="preserve"> \* </w:instrText>
      </w:r>
      <w:r w:rsidRPr="00C462F6">
        <w:instrText>MERGEFORMAT</w:instrText>
      </w:r>
      <w:r w:rsidRPr="002F2B60">
        <w:rPr>
          <w:lang w:val="bg-BG"/>
        </w:rPr>
        <w:instrText xml:space="preserve"> </w:instrText>
      </w:r>
      <w:r w:rsidRPr="00C462F6">
        <w:fldChar w:fldCharType="separate"/>
      </w:r>
      <w:r w:rsidR="00F21D3F" w:rsidRPr="002F2B60">
        <w:rPr>
          <w:noProof/>
          <w:lang w:val="bg-BG"/>
        </w:rPr>
        <w:t>75</w:t>
      </w:r>
      <w:r w:rsidRPr="00C462F6">
        <w:fldChar w:fldCharType="end"/>
      </w:r>
      <w:bookmarkEnd w:id="154"/>
      <w:r w:rsidR="008C6275" w:rsidRPr="002F2B60">
        <w:rPr>
          <w:lang w:val="bg-BG"/>
        </w:rPr>
        <w:t xml:space="preserve">. </w:t>
      </w:r>
      <w:r w:rsidR="0018432C">
        <w:rPr>
          <w:lang w:val="bg-BG"/>
        </w:rPr>
        <w:t>Членове 5-</w:t>
      </w:r>
      <w:r w:rsidRPr="002F2B60">
        <w:rPr>
          <w:lang w:val="bg-BG"/>
        </w:rPr>
        <w:t xml:space="preserve">10в от Закона от 1997 г. </w:t>
      </w:r>
      <w:r w:rsidR="00B57CB4">
        <w:rPr>
          <w:lang w:val="bg-BG"/>
        </w:rPr>
        <w:t xml:space="preserve">дефинира </w:t>
      </w:r>
      <w:r w:rsidRPr="002F2B60">
        <w:rPr>
          <w:lang w:val="bg-BG"/>
        </w:rPr>
        <w:t xml:space="preserve">всяка от тези техники. Съгласно </w:t>
      </w:r>
      <w:r w:rsidR="00B57CB4">
        <w:rPr>
          <w:lang w:val="bg-BG"/>
        </w:rPr>
        <w:t>чл.</w:t>
      </w:r>
      <w:r w:rsidRPr="002F2B60">
        <w:rPr>
          <w:lang w:val="bg-BG"/>
        </w:rPr>
        <w:t xml:space="preserve"> 10в, </w:t>
      </w:r>
      <w:r w:rsidR="00B57CB4">
        <w:rPr>
          <w:lang w:val="bg-BG"/>
        </w:rPr>
        <w:t>ал.</w:t>
      </w:r>
      <w:r w:rsidRPr="002F2B60">
        <w:rPr>
          <w:lang w:val="bg-BG"/>
        </w:rPr>
        <w:t xml:space="preserve"> 1, „</w:t>
      </w:r>
      <w:r w:rsidR="00636119" w:rsidRPr="002F2B60">
        <w:rPr>
          <w:lang w:val="bg-BG"/>
        </w:rPr>
        <w:t>служител</w:t>
      </w:r>
      <w:r w:rsidRPr="002F2B60">
        <w:rPr>
          <w:lang w:val="bg-BG"/>
        </w:rPr>
        <w:t xml:space="preserve"> под прикритие“ е държавен служител, работещ в един от редица конкретни правоприлагащи органи, който е оправомощен да установява или поддържа контакти с „контролирано лице“, за да </w:t>
      </w:r>
      <w:r w:rsidR="000E638F">
        <w:rPr>
          <w:lang w:val="bg-BG"/>
        </w:rPr>
        <w:t>получи</w:t>
      </w:r>
      <w:r w:rsidRPr="002F2B60">
        <w:rPr>
          <w:lang w:val="bg-BG"/>
        </w:rPr>
        <w:t xml:space="preserve"> или разкрие информация за извършването на тежко умишлено </w:t>
      </w:r>
      <w:r w:rsidR="000E638F">
        <w:rPr>
          <w:lang w:val="bg-BG"/>
        </w:rPr>
        <w:t>престъпление или за организацията</w:t>
      </w:r>
      <w:r w:rsidRPr="002F2B60">
        <w:rPr>
          <w:lang w:val="bg-BG"/>
        </w:rPr>
        <w:t xml:space="preserve"> на престъпна дейност. Съгласно член 12б от Наказателния кодекс (добавен през 2010 г.) деяние, извършено от „</w:t>
      </w:r>
      <w:r w:rsidR="00145B17">
        <w:rPr>
          <w:lang w:val="bg-BG"/>
        </w:rPr>
        <w:t>служител под прикритие</w:t>
      </w:r>
      <w:r w:rsidRPr="002F2B60">
        <w:rPr>
          <w:lang w:val="bg-BG"/>
        </w:rPr>
        <w:t>“ в рамките на неговите или нейните законоустановени правомощия, не представлява престъпление.</w:t>
      </w:r>
    </w:p>
    <w:bookmarkStart w:id="155" w:name="RLF_SSMA_s_10c_2_s_4"/>
    <w:p w14:paraId="12BF8A2F" w14:textId="01FE2010" w:rsidR="00304BC9" w:rsidRPr="002F2B60" w:rsidRDefault="000F3485" w:rsidP="00304BC9">
      <w:pPr>
        <w:pStyle w:val="JuPara"/>
        <w:rPr>
          <w:lang w:val="bg-BG"/>
        </w:rPr>
      </w:pPr>
      <w:r w:rsidRPr="00C462F6">
        <w:fldChar w:fldCharType="begin"/>
      </w:r>
      <w:r w:rsidRPr="002F2B60">
        <w:rPr>
          <w:lang w:val="bg-BG"/>
        </w:rPr>
        <w:instrText xml:space="preserve"> </w:instrText>
      </w:r>
      <w:r w:rsidRPr="00C462F6">
        <w:instrText>SEQ</w:instrText>
      </w:r>
      <w:r w:rsidRPr="002F2B60">
        <w:rPr>
          <w:lang w:val="bg-BG"/>
        </w:rPr>
        <w:instrText xml:space="preserve"> </w:instrText>
      </w:r>
      <w:r w:rsidRPr="00C462F6">
        <w:instrText>level</w:instrText>
      </w:r>
      <w:r w:rsidRPr="002F2B60">
        <w:rPr>
          <w:lang w:val="bg-BG"/>
        </w:rPr>
        <w:instrText>0 \*</w:instrText>
      </w:r>
      <w:r w:rsidRPr="00C462F6">
        <w:instrText>arabic</w:instrText>
      </w:r>
      <w:r w:rsidRPr="002F2B60">
        <w:rPr>
          <w:lang w:val="bg-BG"/>
        </w:rPr>
        <w:instrText xml:space="preserve"> \* </w:instrText>
      </w:r>
      <w:r w:rsidRPr="00C462F6">
        <w:instrText>MERGEFORMAT</w:instrText>
      </w:r>
      <w:r w:rsidRPr="002F2B60">
        <w:rPr>
          <w:lang w:val="bg-BG"/>
        </w:rPr>
        <w:instrText xml:space="preserve"> </w:instrText>
      </w:r>
      <w:r w:rsidRPr="00C462F6">
        <w:fldChar w:fldCharType="separate"/>
      </w:r>
      <w:r w:rsidR="00F21D3F" w:rsidRPr="002F2B60">
        <w:rPr>
          <w:noProof/>
          <w:lang w:val="bg-BG"/>
        </w:rPr>
        <w:t>76</w:t>
      </w:r>
      <w:r w:rsidRPr="00C462F6">
        <w:fldChar w:fldCharType="end"/>
      </w:r>
      <w:bookmarkEnd w:id="155"/>
      <w:r w:rsidR="008C6275">
        <w:rPr>
          <w:lang w:val="bg-BG"/>
        </w:rPr>
        <w:t xml:space="preserve">. </w:t>
      </w:r>
      <w:r w:rsidR="0076341E">
        <w:rPr>
          <w:lang w:val="bg-BG"/>
        </w:rPr>
        <w:t>Съгласно чл.</w:t>
      </w:r>
      <w:r w:rsidRPr="002F2B60">
        <w:rPr>
          <w:lang w:val="bg-BG"/>
        </w:rPr>
        <w:t xml:space="preserve"> 10в, </w:t>
      </w:r>
      <w:r w:rsidR="000E638F">
        <w:rPr>
          <w:lang w:val="bg-BG"/>
        </w:rPr>
        <w:t>ал.</w:t>
      </w:r>
      <w:r w:rsidRPr="002F2B60">
        <w:rPr>
          <w:lang w:val="bg-BG"/>
        </w:rPr>
        <w:t xml:space="preserve"> 2 Агенцията може да поиска от Министерството на вътрешните работи да разположи „</w:t>
      </w:r>
      <w:r w:rsidR="00145B17">
        <w:rPr>
          <w:lang w:val="bg-BG"/>
        </w:rPr>
        <w:t>служител под прикритие</w:t>
      </w:r>
      <w:r w:rsidRPr="002F2B60">
        <w:rPr>
          <w:lang w:val="bg-BG"/>
        </w:rPr>
        <w:t xml:space="preserve">“. Член 4 от Закона от 1997 г. постановява, в по-общ план, че „специални </w:t>
      </w:r>
      <w:r w:rsidR="00A75DC1">
        <w:rPr>
          <w:lang w:val="bg-BG"/>
        </w:rPr>
        <w:t xml:space="preserve">разузнавателни </w:t>
      </w:r>
      <w:r w:rsidRPr="002F2B60">
        <w:rPr>
          <w:lang w:val="bg-BG"/>
        </w:rPr>
        <w:t>средства“ могат да се използват по отношение на дейности, свързани с националната сигурност.</w:t>
      </w:r>
    </w:p>
    <w:p w14:paraId="5924F5D4" w14:textId="08C78F81" w:rsidR="00304BC9" w:rsidRPr="002F2B60" w:rsidRDefault="000F3485" w:rsidP="00304BC9">
      <w:pPr>
        <w:pStyle w:val="JuHIRoman"/>
        <w:rPr>
          <w:lang w:val="bg-BG"/>
        </w:rPr>
      </w:pPr>
      <w:bookmarkStart w:id="156" w:name="_Toc232688277"/>
      <w:r w:rsidRPr="002F2B60">
        <w:rPr>
          <w:caps w:val="0"/>
          <w:lang w:val="bg-BG"/>
        </w:rPr>
        <w:t xml:space="preserve">ЗАКОН </w:t>
      </w:r>
      <w:r w:rsidR="002D11F8" w:rsidRPr="002D11F8">
        <w:rPr>
          <w:caps w:val="0"/>
          <w:lang w:val="bg-BG"/>
        </w:rPr>
        <w:t>ЗА УПРАВЛЕНИЕ И ФУНКЦИОНИРАНЕ НА СИСТЕМАТА ЗА ЗАЩИТА НА НАЦИОНАЛНАТА СИГУРНОСТ</w:t>
      </w:r>
      <w:r w:rsidR="002D11F8" w:rsidRPr="002F2B60">
        <w:rPr>
          <w:caps w:val="0"/>
          <w:lang w:val="bg-BG"/>
        </w:rPr>
        <w:t xml:space="preserve"> </w:t>
      </w:r>
      <w:r w:rsidRPr="002F2B60">
        <w:rPr>
          <w:caps w:val="0"/>
          <w:lang w:val="bg-BG"/>
        </w:rPr>
        <w:t>ОТ 2015 Г.</w:t>
      </w:r>
      <w:bookmarkEnd w:id="156"/>
    </w:p>
    <w:bookmarkStart w:id="157" w:name="RLF_SPNSA_s_2"/>
    <w:bookmarkStart w:id="158" w:name="_Toc175304747"/>
    <w:p w14:paraId="79F7AE2A" w14:textId="1520C754" w:rsidR="00304BC9" w:rsidRPr="002F2B60" w:rsidRDefault="000F3485" w:rsidP="00304BC9">
      <w:pPr>
        <w:pStyle w:val="JuPara"/>
        <w:rPr>
          <w:lang w:val="bg-BG"/>
        </w:rPr>
      </w:pPr>
      <w:r w:rsidRPr="00412434">
        <w:fldChar w:fldCharType="begin"/>
      </w:r>
      <w:r w:rsidRPr="002F2B60">
        <w:rPr>
          <w:lang w:val="bg-BG"/>
        </w:rPr>
        <w:instrText xml:space="preserve"> </w:instrText>
      </w:r>
      <w:r w:rsidRPr="00412434">
        <w:instrText>SEQ</w:instrText>
      </w:r>
      <w:r w:rsidRPr="002F2B60">
        <w:rPr>
          <w:lang w:val="bg-BG"/>
        </w:rPr>
        <w:instrText xml:space="preserve"> </w:instrText>
      </w:r>
      <w:r w:rsidRPr="00412434">
        <w:instrText>level</w:instrText>
      </w:r>
      <w:r w:rsidRPr="002F2B60">
        <w:rPr>
          <w:lang w:val="bg-BG"/>
        </w:rPr>
        <w:instrText>0 \*</w:instrText>
      </w:r>
      <w:r w:rsidRPr="00412434">
        <w:instrText>arabic</w:instrText>
      </w:r>
      <w:r w:rsidRPr="002F2B60">
        <w:rPr>
          <w:lang w:val="bg-BG"/>
        </w:rPr>
        <w:instrText xml:space="preserve"> \* </w:instrText>
      </w:r>
      <w:r w:rsidRPr="00412434">
        <w:instrText>MERGEFORMAT</w:instrText>
      </w:r>
      <w:r w:rsidRPr="002F2B60">
        <w:rPr>
          <w:lang w:val="bg-BG"/>
        </w:rPr>
        <w:instrText xml:space="preserve"> </w:instrText>
      </w:r>
      <w:r w:rsidRPr="00412434">
        <w:fldChar w:fldCharType="separate"/>
      </w:r>
      <w:r w:rsidR="00F21D3F" w:rsidRPr="002F2B60">
        <w:rPr>
          <w:noProof/>
          <w:lang w:val="bg-BG"/>
        </w:rPr>
        <w:t>77</w:t>
      </w:r>
      <w:r w:rsidRPr="00412434">
        <w:fldChar w:fldCharType="end"/>
      </w:r>
      <w:bookmarkEnd w:id="157"/>
      <w:r w:rsidR="008C6275" w:rsidRPr="002F2B60">
        <w:rPr>
          <w:lang w:val="bg-BG"/>
        </w:rPr>
        <w:t>.</w:t>
      </w:r>
      <w:r w:rsidR="008C6275">
        <w:t> </w:t>
      </w:r>
      <w:r w:rsidRPr="002F2B60">
        <w:rPr>
          <w:lang w:val="bg-BG"/>
        </w:rPr>
        <w:t>Член 2 от Закона за управлението и ф</w:t>
      </w:r>
      <w:r w:rsidR="00280498">
        <w:rPr>
          <w:lang w:val="bg-BG"/>
        </w:rPr>
        <w:t>ункционирането на системата за защита</w:t>
      </w:r>
      <w:r w:rsidRPr="002F2B60">
        <w:rPr>
          <w:lang w:val="bg-BG"/>
        </w:rPr>
        <w:t xml:space="preserve"> на националната сигурност от 2015 г. определя „националната сигурност“ като „</w:t>
      </w:r>
      <w:r w:rsidR="00280498" w:rsidRPr="00290A54">
        <w:rPr>
          <w:lang w:val="bg-BG"/>
        </w:rPr>
        <w:t>динамично състояние на обществото и държавата, при което са защитени териториалната цялост, суверенитетът и конституционно установеният ред на страната, когато са гарантирани демократичното функциониране на институциите и основните права и свободи на гражданите, в резултат на което нацията запазва и увеличава своето благосъстояние и се развива, както и когато страната успешно защитава националните си интереси и реализира националните си приоритети</w:t>
      </w:r>
      <w:r w:rsidRPr="002F2B60">
        <w:rPr>
          <w:lang w:val="bg-BG"/>
        </w:rPr>
        <w:t>“.</w:t>
      </w:r>
    </w:p>
    <w:p w14:paraId="2DE16D88" w14:textId="77777777" w:rsidR="00304BC9" w:rsidRPr="002F2B60" w:rsidRDefault="000F3485" w:rsidP="00304BC9">
      <w:pPr>
        <w:pStyle w:val="JuHIRoman"/>
        <w:rPr>
          <w:lang w:val="bg-BG"/>
        </w:rPr>
      </w:pPr>
      <w:bookmarkStart w:id="159" w:name="_Toc232688278"/>
      <w:r w:rsidRPr="002F2B60">
        <w:rPr>
          <w:caps w:val="0"/>
          <w:lang w:val="bg-BG"/>
        </w:rPr>
        <w:t>ЗАКОН ЗА ЗАЩИТА НА ЛИЧНИТЕ ДАННИ ОТ 2002 Г.</w:t>
      </w:r>
      <w:bookmarkEnd w:id="158"/>
      <w:bookmarkEnd w:id="159"/>
    </w:p>
    <w:bookmarkStart w:id="160" w:name="RLF_PPDA"/>
    <w:p w14:paraId="3C33C004" w14:textId="19DCAB00" w:rsidR="00304BC9" w:rsidRPr="002F2B60" w:rsidRDefault="000F3485" w:rsidP="00304BC9">
      <w:pPr>
        <w:pStyle w:val="JuPara"/>
        <w:rPr>
          <w:lang w:val="bg-BG"/>
        </w:rPr>
      </w:pPr>
      <w:r w:rsidRPr="00F63C2C">
        <w:fldChar w:fldCharType="begin"/>
      </w:r>
      <w:r w:rsidRPr="002F2B60">
        <w:rPr>
          <w:lang w:val="bg-BG"/>
        </w:rPr>
        <w:instrText xml:space="preserve"> </w:instrText>
      </w:r>
      <w:r w:rsidRPr="00F63C2C">
        <w:instrText>SEQ</w:instrText>
      </w:r>
      <w:r w:rsidRPr="002F2B60">
        <w:rPr>
          <w:lang w:val="bg-BG"/>
        </w:rPr>
        <w:instrText xml:space="preserve"> </w:instrText>
      </w:r>
      <w:r w:rsidRPr="00F63C2C">
        <w:instrText>level</w:instrText>
      </w:r>
      <w:r w:rsidRPr="002F2B60">
        <w:rPr>
          <w:lang w:val="bg-BG"/>
        </w:rPr>
        <w:instrText>0 \*</w:instrText>
      </w:r>
      <w:r w:rsidRPr="00F63C2C">
        <w:instrText>arabic</w:instrText>
      </w:r>
      <w:r w:rsidRPr="002F2B60">
        <w:rPr>
          <w:lang w:val="bg-BG"/>
        </w:rPr>
        <w:instrText xml:space="preserve"> \* </w:instrText>
      </w:r>
      <w:r w:rsidRPr="00F63C2C">
        <w:instrText>MERGEFORMAT</w:instrText>
      </w:r>
      <w:r w:rsidRPr="002F2B60">
        <w:rPr>
          <w:lang w:val="bg-BG"/>
        </w:rPr>
        <w:instrText xml:space="preserve"> </w:instrText>
      </w:r>
      <w:r w:rsidRPr="00F63C2C">
        <w:fldChar w:fldCharType="separate"/>
      </w:r>
      <w:r w:rsidR="00F21D3F" w:rsidRPr="002F2B60">
        <w:rPr>
          <w:noProof/>
          <w:lang w:val="bg-BG"/>
        </w:rPr>
        <w:t>78</w:t>
      </w:r>
      <w:r w:rsidRPr="00F63C2C">
        <w:fldChar w:fldCharType="end"/>
      </w:r>
      <w:bookmarkEnd w:id="160"/>
      <w:r w:rsidR="008C6275" w:rsidRPr="002F2B60">
        <w:rPr>
          <w:lang w:val="bg-BG"/>
        </w:rPr>
        <w:t xml:space="preserve">. </w:t>
      </w:r>
      <w:r w:rsidRPr="002F2B60">
        <w:rPr>
          <w:lang w:val="bg-BG"/>
        </w:rPr>
        <w:t xml:space="preserve">Законът за защита на личните данни от 2002 г. („Законът от 2002 г.“) </w:t>
      </w:r>
      <w:r w:rsidR="00947CD6">
        <w:rPr>
          <w:lang w:val="bg-BG"/>
        </w:rPr>
        <w:t>е</w:t>
      </w:r>
      <w:r w:rsidR="000B7A17">
        <w:rPr>
          <w:lang w:val="bg-BG"/>
        </w:rPr>
        <w:t xml:space="preserve"> приет,</w:t>
      </w:r>
      <w:r w:rsidRPr="002F2B60">
        <w:rPr>
          <w:lang w:val="bg-BG"/>
        </w:rPr>
        <w:t xml:space="preserve"> за да се гарантира, наред с другото, че България ще изпълни задължението си по Конвенцията от 1981 г. за защита на физическите </w:t>
      </w:r>
      <w:r w:rsidRPr="002F2B60">
        <w:rPr>
          <w:lang w:val="bg-BG"/>
        </w:rPr>
        <w:lastRenderedPageBreak/>
        <w:t>лица при автоматизирана обработка на лични данни (</w:t>
      </w:r>
      <w:r w:rsidRPr="00FE3CEB">
        <w:t>ETS</w:t>
      </w:r>
      <w:r w:rsidRPr="002F2B60">
        <w:rPr>
          <w:lang w:val="bg-BG"/>
        </w:rPr>
        <w:t xml:space="preserve"> 108; 1496 </w:t>
      </w:r>
      <w:r w:rsidRPr="00FE3CEB">
        <w:t>UNTS</w:t>
      </w:r>
      <w:r w:rsidRPr="002F2B60">
        <w:rPr>
          <w:lang w:val="bg-BG"/>
        </w:rPr>
        <w:t xml:space="preserve"> 65), която страната е подписала през 1998 г. и ратифицирала през 2002 г., за да предприеме необходимите мерки в своето вътрешно законодателство за прилагане на основните принципи за защита на данните.</w:t>
      </w:r>
    </w:p>
    <w:bookmarkStart w:id="161" w:name="RLF_PPDA_Mar_2019_amendments"/>
    <w:p w14:paraId="285A297A" w14:textId="3E90583D" w:rsidR="00304BC9" w:rsidRPr="002F2B60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2F2B60">
        <w:rPr>
          <w:lang w:val="bg-BG"/>
        </w:rPr>
        <w:instrText xml:space="preserve"> </w:instrText>
      </w:r>
      <w:r w:rsidRPr="00FE3CEB">
        <w:instrText>SEQ</w:instrText>
      </w:r>
      <w:r w:rsidRPr="002F2B60">
        <w:rPr>
          <w:lang w:val="bg-BG"/>
        </w:rPr>
        <w:instrText xml:space="preserve"> </w:instrText>
      </w:r>
      <w:r w:rsidRPr="00FE3CEB">
        <w:instrText>level</w:instrText>
      </w:r>
      <w:r w:rsidRPr="002F2B60">
        <w:rPr>
          <w:lang w:val="bg-BG"/>
        </w:rPr>
        <w:instrText>0 \*</w:instrText>
      </w:r>
      <w:r w:rsidRPr="00FE3CEB">
        <w:instrText>arabic</w:instrText>
      </w:r>
      <w:r w:rsidRPr="002F2B60">
        <w:rPr>
          <w:lang w:val="bg-BG"/>
        </w:rPr>
        <w:instrText xml:space="preserve"> \* </w:instrText>
      </w:r>
      <w:r w:rsidRPr="00FE3CEB">
        <w:instrText>MERGEFORMAT</w:instrText>
      </w:r>
      <w:r w:rsidRPr="002F2B60">
        <w:rPr>
          <w:lang w:val="bg-BG"/>
        </w:rPr>
        <w:instrText xml:space="preserve"> </w:instrText>
      </w:r>
      <w:r w:rsidRPr="00FE3CEB">
        <w:fldChar w:fldCharType="separate"/>
      </w:r>
      <w:r w:rsidR="00F21D3F" w:rsidRPr="002F2B60">
        <w:rPr>
          <w:noProof/>
          <w:lang w:val="bg-BG"/>
        </w:rPr>
        <w:t>79</w:t>
      </w:r>
      <w:r w:rsidRPr="00FE3CEB">
        <w:fldChar w:fldCharType="end"/>
      </w:r>
      <w:bookmarkEnd w:id="161"/>
      <w:r w:rsidR="008C6275" w:rsidRPr="002F2B60">
        <w:rPr>
          <w:lang w:val="bg-BG"/>
        </w:rPr>
        <w:t>.</w:t>
      </w:r>
      <w:r w:rsidR="008C6275">
        <w:t> </w:t>
      </w:r>
      <w:r w:rsidRPr="002F2B60">
        <w:rPr>
          <w:lang w:val="bg-BG"/>
        </w:rPr>
        <w:t>Както е изменен, в сила от март 2019 г., с цел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</w:instrText>
      </w:r>
      <w:r w:rsidR="002F2B60">
        <w:instrText>r</w:instrText>
      </w:r>
      <w:r w:rsidR="002F2B60" w:rsidRPr="002F2B60">
        <w:rPr>
          <w:lang w:val="bg-BG"/>
        </w:rPr>
        <w:instrText xml:space="preserve">1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а</w:t>
      </w:r>
      <w:r w:rsidR="002F2B60">
        <w:rPr>
          <w:noProof/>
        </w:rPr>
        <w:fldChar w:fldCharType="end"/>
      </w:r>
      <w:r w:rsidRPr="002F2B60">
        <w:rPr>
          <w:lang w:val="bg-BG"/>
        </w:rPr>
        <w:t>) привеждане в съответствие с Регламент (ЕС) 2016/679 относно защитата на физическите лица при обработването на лични данни и относно свободното движение на такива данни („Общ регламент за защита на данните“ – „</w:t>
      </w:r>
      <w:r w:rsidRPr="00D55434">
        <w:t>GDPR</w:t>
      </w:r>
      <w:r w:rsidRPr="002F2B60">
        <w:rPr>
          <w:lang w:val="bg-BG"/>
        </w:rPr>
        <w:t>“), и (</w:t>
      </w:r>
      <w:r w:rsidR="002F2B60">
        <w:fldChar w:fldCharType="begin"/>
      </w:r>
      <w:r w:rsidR="002F2B60" w:rsidRPr="002F2B60">
        <w:rPr>
          <w:lang w:val="bg-BG"/>
        </w:rPr>
        <w:instrText xml:space="preserve"> </w:instrText>
      </w:r>
      <w:r w:rsidR="002F2B60">
        <w:instrText>SEQ</w:instrText>
      </w:r>
      <w:r w:rsidR="002F2B60" w:rsidRPr="002F2B60">
        <w:rPr>
          <w:lang w:val="bg-BG"/>
        </w:rPr>
        <w:instrText xml:space="preserve"> </w:instrText>
      </w:r>
      <w:r w:rsidR="002F2B60">
        <w:instrText>level</w:instrText>
      </w:r>
      <w:r w:rsidR="002F2B60" w:rsidRPr="002F2B60">
        <w:rPr>
          <w:lang w:val="bg-BG"/>
        </w:rPr>
        <w:instrText>1 \*</w:instrText>
      </w:r>
      <w:r w:rsidR="002F2B60">
        <w:instrText>alphabetic</w:instrText>
      </w:r>
      <w:r w:rsidR="002F2B60" w:rsidRPr="002F2B60">
        <w:rPr>
          <w:lang w:val="bg-BG"/>
        </w:rPr>
        <w:instrText xml:space="preserve"> \* </w:instrText>
      </w:r>
      <w:r w:rsidR="002F2B60">
        <w:instrText>MERGEFORMAT</w:instrText>
      </w:r>
      <w:r w:rsidR="002F2B60" w:rsidRPr="002F2B60">
        <w:rPr>
          <w:lang w:val="bg-BG"/>
        </w:rPr>
        <w:instrText xml:space="preserve"> </w:instrText>
      </w:r>
      <w:r w:rsidR="002F2B60">
        <w:fldChar w:fldCharType="separate"/>
      </w:r>
      <w:r w:rsidR="00F21D3F" w:rsidRPr="002F2B60">
        <w:rPr>
          <w:noProof/>
          <w:lang w:val="bg-BG"/>
        </w:rPr>
        <w:t>б</w:t>
      </w:r>
      <w:r w:rsidR="002F2B60">
        <w:rPr>
          <w:noProof/>
        </w:rPr>
        <w:fldChar w:fldCharType="end"/>
      </w:r>
      <w:r w:rsidRPr="002F2B60">
        <w:rPr>
          <w:lang w:val="bg-BG"/>
        </w:rPr>
        <w:t>) транспониране на Директива (ЕС) 2016/680 относно защитата на физическите лица във връзка с обработването на лични данни от компетентните органи за целите на предотвратяването, разследването, разкриването или преследването на престъпления или на изпълнението на наказателни санкции, както и относно свободното движение на такива данни („</w:t>
      </w:r>
      <w:r w:rsidR="00996528">
        <w:rPr>
          <w:lang w:val="bg-BG"/>
        </w:rPr>
        <w:t xml:space="preserve">Директива за правоприлагането“ </w:t>
      </w:r>
      <w:r w:rsidRPr="002F2B60">
        <w:rPr>
          <w:lang w:val="bg-BG"/>
        </w:rPr>
        <w:t xml:space="preserve">), Законът от 2002 г. урежда всички въпроси, свързани със защитата на личните данни, които не са уредени в самия </w:t>
      </w:r>
      <w:r w:rsidR="00D75A6A" w:rsidRPr="00D55434">
        <w:t>GDPR</w:t>
      </w:r>
      <w:r w:rsidRPr="002F2B60">
        <w:rPr>
          <w:lang w:val="bg-BG"/>
        </w:rPr>
        <w:t xml:space="preserve"> (</w:t>
      </w:r>
      <w:r w:rsidR="00D75A6A">
        <w:rPr>
          <w:lang w:val="bg-BG"/>
        </w:rPr>
        <w:t>чл.</w:t>
      </w:r>
      <w:r w:rsidRPr="002F2B60">
        <w:rPr>
          <w:lang w:val="bg-BG"/>
        </w:rPr>
        <w:t xml:space="preserve"> 1, </w:t>
      </w:r>
      <w:r w:rsidR="00D75A6A">
        <w:rPr>
          <w:lang w:val="bg-BG"/>
        </w:rPr>
        <w:t>ал.</w:t>
      </w:r>
      <w:r w:rsidRPr="002F2B60">
        <w:rPr>
          <w:lang w:val="bg-BG"/>
        </w:rPr>
        <w:t xml:space="preserve"> 1).</w:t>
      </w:r>
    </w:p>
    <w:bookmarkStart w:id="162" w:name="RLF_PPDA_definition_personal_data"/>
    <w:p w14:paraId="25F606DD" w14:textId="2B1F50D9" w:rsidR="00304BC9" w:rsidRPr="002F2B60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2F2B60">
        <w:rPr>
          <w:lang w:val="bg-BG"/>
        </w:rPr>
        <w:instrText xml:space="preserve"> </w:instrText>
      </w:r>
      <w:r w:rsidRPr="00FE3CEB">
        <w:instrText>SEQ</w:instrText>
      </w:r>
      <w:r w:rsidRPr="002F2B60">
        <w:rPr>
          <w:lang w:val="bg-BG"/>
        </w:rPr>
        <w:instrText xml:space="preserve"> </w:instrText>
      </w:r>
      <w:r w:rsidRPr="00FE3CEB">
        <w:instrText>level</w:instrText>
      </w:r>
      <w:r w:rsidRPr="002F2B60">
        <w:rPr>
          <w:lang w:val="bg-BG"/>
        </w:rPr>
        <w:instrText>0 \*</w:instrText>
      </w:r>
      <w:r w:rsidRPr="00FE3CEB">
        <w:instrText>arabic</w:instrText>
      </w:r>
      <w:r w:rsidRPr="002F2B60">
        <w:rPr>
          <w:lang w:val="bg-BG"/>
        </w:rPr>
        <w:instrText xml:space="preserve"> \* </w:instrText>
      </w:r>
      <w:r w:rsidRPr="00FE3CEB">
        <w:instrText>MERGEFORMAT</w:instrText>
      </w:r>
      <w:r w:rsidRPr="002F2B60">
        <w:rPr>
          <w:lang w:val="bg-BG"/>
        </w:rPr>
        <w:instrText xml:space="preserve"> </w:instrText>
      </w:r>
      <w:r w:rsidRPr="00FE3CEB">
        <w:fldChar w:fldCharType="separate"/>
      </w:r>
      <w:r w:rsidR="00F21D3F" w:rsidRPr="002F2B60">
        <w:rPr>
          <w:noProof/>
          <w:lang w:val="bg-BG"/>
        </w:rPr>
        <w:t>80</w:t>
      </w:r>
      <w:r w:rsidRPr="00FE3CEB">
        <w:fldChar w:fldCharType="end"/>
      </w:r>
      <w:bookmarkEnd w:id="162"/>
      <w:r w:rsidR="008C6275">
        <w:rPr>
          <w:lang w:val="bg-BG"/>
        </w:rPr>
        <w:t xml:space="preserve">. </w:t>
      </w:r>
      <w:r w:rsidRPr="002F2B60">
        <w:rPr>
          <w:lang w:val="bg-BG"/>
        </w:rPr>
        <w:t xml:space="preserve">Съгласно </w:t>
      </w:r>
      <w:r w:rsidR="005C11BB">
        <w:rPr>
          <w:lang w:val="bg-BG"/>
        </w:rPr>
        <w:t>§</w:t>
      </w:r>
      <w:r w:rsidRPr="002F2B60">
        <w:rPr>
          <w:lang w:val="bg-BG"/>
        </w:rPr>
        <w:t xml:space="preserve"> 1, алинея 1 от допълнителните разпоредби на Закона от 2002 г. (в редакцията, влязла в сила от март 2019 г.), „лични</w:t>
      </w:r>
      <w:r w:rsidR="005C11BB">
        <w:rPr>
          <w:lang w:val="bg-BG"/>
        </w:rPr>
        <w:t xml:space="preserve"> данни“ за целите на закона има</w:t>
      </w:r>
      <w:r w:rsidRPr="002F2B60">
        <w:rPr>
          <w:lang w:val="bg-BG"/>
        </w:rPr>
        <w:t xml:space="preserve"> значението, дадено на термина в член 4, параграф 1 от </w:t>
      </w:r>
      <w:r w:rsidR="005C11BB" w:rsidRPr="00D55434">
        <w:t>GDPR</w:t>
      </w:r>
      <w:r w:rsidRPr="002F2B60">
        <w:rPr>
          <w:lang w:val="bg-BG"/>
        </w:rPr>
        <w:t>.</w:t>
      </w:r>
      <w:bookmarkStart w:id="163" w:name="_Ref185407638"/>
      <w:r>
        <w:rPr>
          <w:rStyle w:val="FootnoteReference"/>
        </w:rPr>
        <w:footnoteReference w:id="3"/>
      </w:r>
      <w:bookmarkEnd w:id="163"/>
    </w:p>
    <w:p w14:paraId="6A720215" w14:textId="77777777" w:rsidR="00304BC9" w:rsidRPr="00FE3CEB" w:rsidRDefault="000F3485" w:rsidP="00304BC9">
      <w:pPr>
        <w:pStyle w:val="JuHA"/>
      </w:pPr>
      <w:bookmarkStart w:id="164" w:name="_Toc175304748"/>
      <w:bookmarkStart w:id="165" w:name="_Toc232688279"/>
      <w:r w:rsidRPr="00FE3CEB">
        <w:t>Обхват на приложение</w:t>
      </w:r>
      <w:bookmarkEnd w:id="164"/>
      <w:bookmarkEnd w:id="165"/>
    </w:p>
    <w:p w14:paraId="32C6C981" w14:textId="2E08F34A" w:rsidR="00304BC9" w:rsidRPr="007F0079" w:rsidRDefault="007F0079" w:rsidP="007F0079">
      <w:pPr>
        <w:pStyle w:val="JuH1"/>
      </w:pPr>
      <w:bookmarkStart w:id="166" w:name="_Toc175304749"/>
      <w:bookmarkStart w:id="167" w:name="_Toc232688280"/>
      <w:r w:rsidRPr="007F0079">
        <w:rPr>
          <w:iCs w:val="0"/>
        </w:rPr>
        <w:t>Ratione personae</w:t>
      </w:r>
      <w:bookmarkEnd w:id="166"/>
      <w:bookmarkEnd w:id="167"/>
    </w:p>
    <w:bookmarkStart w:id="168" w:name="RLF_PPDA_scope_ratione_personae"/>
    <w:p w14:paraId="0F2D2698" w14:textId="0112CFB0" w:rsidR="00304BC9" w:rsidRPr="00FE3CEB" w:rsidRDefault="000F3485" w:rsidP="00304BC9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81</w:t>
      </w:r>
      <w:r w:rsidRPr="00FE3CEB">
        <w:fldChar w:fldCharType="end"/>
      </w:r>
      <w:bookmarkEnd w:id="168"/>
      <w:r w:rsidR="008C6275">
        <w:t>. </w:t>
      </w:r>
      <w:r>
        <w:t>Разпоредбите на Закона от 2002 г.</w:t>
      </w:r>
      <w:r w:rsidRPr="00186680">
        <w:t xml:space="preserve">, независимо дали се отнасят до обработването на лични данни, попадащи </w:t>
      </w:r>
      <w:r>
        <w:t xml:space="preserve">в обхвата на </w:t>
      </w:r>
      <w:r w:rsidR="00D73721">
        <w:rPr>
          <w:lang w:val="en-US"/>
        </w:rPr>
        <w:t>GDPR</w:t>
      </w:r>
      <w:r w:rsidRPr="00186680">
        <w:t>, или до обработването на такива данни от органите за целите на правоприлагането</w:t>
      </w:r>
      <w:r>
        <w:t xml:space="preserve">, се прилагат </w:t>
      </w:r>
      <w:r w:rsidRPr="00186680">
        <w:t xml:space="preserve">само по отношение на </w:t>
      </w:r>
      <w:r>
        <w:t xml:space="preserve">данни, отнасящи се до </w:t>
      </w:r>
      <w:r w:rsidRPr="00186680">
        <w:t>физически лица (</w:t>
      </w:r>
      <w:r>
        <w:t xml:space="preserve">т.е. </w:t>
      </w:r>
      <w:r w:rsidRPr="00186680">
        <w:t>физически лица) (</w:t>
      </w:r>
      <w:r w:rsidR="00D73721">
        <w:rPr>
          <w:lang w:val="bg-BG"/>
        </w:rPr>
        <w:t>чл.</w:t>
      </w:r>
      <w:r w:rsidRPr="00186680">
        <w:t xml:space="preserve"> 1, </w:t>
      </w:r>
      <w:r w:rsidR="00D73721">
        <w:rPr>
          <w:lang w:val="bg-BG"/>
        </w:rPr>
        <w:t>ал.</w:t>
      </w:r>
      <w:r w:rsidRPr="00186680">
        <w:t xml:space="preserve"> 1 и 2).</w:t>
      </w:r>
    </w:p>
    <w:p w14:paraId="522E48B2" w14:textId="77777777" w:rsidR="00304BC9" w:rsidRPr="00FE3CEB" w:rsidRDefault="000F3485" w:rsidP="00304BC9">
      <w:pPr>
        <w:pStyle w:val="JuH1"/>
      </w:pPr>
      <w:bookmarkStart w:id="169" w:name="_Toc175304750"/>
      <w:bookmarkStart w:id="170" w:name="_Toc232688281"/>
      <w:r w:rsidRPr="00FE3CEB">
        <w:t>Прилагане към обработката за целите на националната сигурност</w:t>
      </w:r>
      <w:bookmarkEnd w:id="169"/>
      <w:bookmarkEnd w:id="170"/>
    </w:p>
    <w:bookmarkStart w:id="171" w:name="RLF_PPDA_scope_ratione_materiae"/>
    <w:bookmarkStart w:id="172" w:name="RLF_PPDA_scope_ratione_materiae_history"/>
    <w:p w14:paraId="54A7A656" w14:textId="54787DD0" w:rsidR="00304BC9" w:rsidRPr="00FE3CEB" w:rsidRDefault="000F3485" w:rsidP="009F0CAE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82</w:t>
      </w:r>
      <w:r w:rsidRPr="00FE3CEB">
        <w:fldChar w:fldCharType="end"/>
      </w:r>
      <w:bookmarkEnd w:id="171"/>
      <w:bookmarkEnd w:id="172"/>
      <w:r w:rsidR="008C6275">
        <w:t>.</w:t>
      </w:r>
      <w:r w:rsidRPr="00FE3CEB">
        <w:t> </w:t>
      </w:r>
      <w:r>
        <w:t xml:space="preserve">Законът от 2002 г., в редакцията му от </w:t>
      </w:r>
      <w:r w:rsidR="00931475">
        <w:rPr>
          <w:lang w:val="bg-BG"/>
        </w:rPr>
        <w:t xml:space="preserve">м. </w:t>
      </w:r>
      <w:r>
        <w:t xml:space="preserve">март 2019 г., не се </w:t>
      </w:r>
      <w:r w:rsidRPr="00186680">
        <w:t xml:space="preserve">прилага към обработката на </w:t>
      </w:r>
      <w:r>
        <w:t xml:space="preserve">лични </w:t>
      </w:r>
      <w:r w:rsidRPr="00186680">
        <w:t xml:space="preserve">данни за целите </w:t>
      </w:r>
      <w:r>
        <w:t>на</w:t>
      </w:r>
      <w:r w:rsidRPr="00186680">
        <w:t xml:space="preserve"> националната сигурност, освен ако </w:t>
      </w:r>
      <w:r>
        <w:t xml:space="preserve">това не е </w:t>
      </w:r>
      <w:r w:rsidRPr="00186680">
        <w:t xml:space="preserve">изрично </w:t>
      </w:r>
      <w:r>
        <w:t xml:space="preserve">предвидено </w:t>
      </w:r>
      <w:r w:rsidR="00931475">
        <w:t>другаде (чл.</w:t>
      </w:r>
      <w:r w:rsidRPr="00186680">
        <w:t xml:space="preserve"> 1, </w:t>
      </w:r>
      <w:r w:rsidR="00C869CD">
        <w:rPr>
          <w:lang w:val="bg-BG"/>
        </w:rPr>
        <w:t xml:space="preserve">ал. </w:t>
      </w:r>
      <w:r w:rsidRPr="00186680">
        <w:t>5).</w:t>
      </w:r>
      <w:r>
        <w:t xml:space="preserve"> </w:t>
      </w:r>
      <w:r>
        <w:lastRenderedPageBreak/>
        <w:t>В обяснителните бележки към правителствения законопроект (№</w:t>
      </w:r>
      <w:r w:rsidRPr="00455DBC">
        <w:t xml:space="preserve"> 802-01-27</w:t>
      </w:r>
      <w:r>
        <w:t xml:space="preserve">), довел до измененията в закона от </w:t>
      </w:r>
      <w:r w:rsidR="00931475">
        <w:rPr>
          <w:lang w:val="bg-BG"/>
        </w:rPr>
        <w:t xml:space="preserve">м. </w:t>
      </w:r>
      <w:r>
        <w:t>март 2019 г. (вж. параграф</w:t>
      </w:r>
      <w:r>
        <w:fldChar w:fldCharType="begin"/>
      </w:r>
      <w:r>
        <w:instrText xml:space="preserve"> REF  RLF_PPDA \h  \* MERGEFORMAT </w:instrText>
      </w:r>
      <w:r>
        <w:fldChar w:fldCharType="separate"/>
      </w:r>
      <w:r w:rsidR="00F21D3F">
        <w:t>78</w:t>
      </w:r>
      <w:r>
        <w:fldChar w:fldCharType="end"/>
      </w:r>
      <w:r>
        <w:t xml:space="preserve"> по-горе), се посочва, че </w:t>
      </w:r>
      <w:r w:rsidR="00C869CD">
        <w:rPr>
          <w:lang w:val="bg-BG"/>
        </w:rPr>
        <w:t>чл.</w:t>
      </w:r>
      <w:r>
        <w:t xml:space="preserve"> 1, </w:t>
      </w:r>
      <w:r w:rsidR="00C869CD">
        <w:rPr>
          <w:lang w:val="bg-BG"/>
        </w:rPr>
        <w:t>ал.</w:t>
      </w:r>
      <w:r>
        <w:t xml:space="preserve"> 5 е бил</w:t>
      </w:r>
      <w:r w:rsidR="00C869CD">
        <w:rPr>
          <w:lang w:val="bg-BG"/>
        </w:rPr>
        <w:t>а</w:t>
      </w:r>
      <w:r>
        <w:t xml:space="preserve"> въведен, за да отрази позицията, че </w:t>
      </w:r>
      <w:r w:rsidR="00BA25E8">
        <w:t>GDPR</w:t>
      </w:r>
      <w:r>
        <w:t xml:space="preserve"> и </w:t>
      </w:r>
      <w:r w:rsidR="00BA25E8" w:rsidRPr="00BA25E8">
        <w:rPr>
          <w:lang w:val="bg-BG"/>
        </w:rPr>
        <w:t>Директива за правоприлагането</w:t>
      </w:r>
      <w:r w:rsidR="00BA25E8" w:rsidRPr="00BA25E8">
        <w:t xml:space="preserve"> </w:t>
      </w:r>
      <w:r>
        <w:t>не се прилагат към обработката на лични данни за дейности, попадащи извън обхвата на правото на Европейския съюз (ЕС). В решение от</w:t>
      </w:r>
      <w:r w:rsidR="00883EB6">
        <w:t xml:space="preserve"> </w:t>
      </w:r>
      <w:r w:rsidR="00883EB6">
        <w:rPr>
          <w:lang w:val="bg-BG"/>
        </w:rPr>
        <w:t>м.</w:t>
      </w:r>
      <w:r>
        <w:t xml:space="preserve"> ноември 2023 </w:t>
      </w:r>
      <w:r w:rsidRPr="00931475">
        <w:rPr>
          <w:iCs/>
          <w:lang w:val="bg-BG"/>
        </w:rPr>
        <w:t>г</w:t>
      </w:r>
      <w:r w:rsidRPr="00644898">
        <w:rPr>
          <w:i/>
          <w:iCs/>
          <w:lang w:val="bg-BG"/>
        </w:rPr>
        <w:t>.</w:t>
      </w:r>
      <w:r>
        <w:t xml:space="preserve"> (</w:t>
      </w:r>
      <w:r w:rsidRPr="00644898">
        <w:rPr>
          <w:i/>
          <w:iCs/>
          <w:lang w:val="bg-BG"/>
        </w:rPr>
        <w:t>реш</w:t>
      </w:r>
      <w:r>
        <w:rPr>
          <w:i/>
          <w:iCs/>
          <w:lang w:val="bg-BG"/>
        </w:rPr>
        <w:t xml:space="preserve">. </w:t>
      </w:r>
      <w:r w:rsidRPr="00644898">
        <w:rPr>
          <w:i/>
          <w:iCs/>
          <w:lang w:val="bg-BG"/>
        </w:rPr>
        <w:t>№ 10522 от 02.11.2023 г. по адм. д. № 140/2023 г., ВАС</w:t>
      </w:r>
      <w:r>
        <w:rPr>
          <w:i/>
          <w:iCs/>
          <w:lang w:val="bg-BG"/>
        </w:rPr>
        <w:t xml:space="preserve">, </w:t>
      </w:r>
      <w:r w:rsidRPr="00644898">
        <w:rPr>
          <w:i/>
          <w:iCs/>
          <w:lang w:val="bg-BG"/>
        </w:rPr>
        <w:t>V о.</w:t>
      </w:r>
      <w:r>
        <w:t>) Върховният административен съд посоч</w:t>
      </w:r>
      <w:r w:rsidR="00883EB6">
        <w:rPr>
          <w:lang w:val="bg-BG"/>
        </w:rPr>
        <w:t>ва</w:t>
      </w:r>
      <w:r>
        <w:t>, че целите на националн</w:t>
      </w:r>
      <w:r w:rsidR="00931475">
        <w:t>ата сигурност по смисъла на чл.</w:t>
      </w:r>
      <w:r>
        <w:t xml:space="preserve"> 1, </w:t>
      </w:r>
      <w:r w:rsidR="00883EB6">
        <w:rPr>
          <w:lang w:val="bg-BG"/>
        </w:rPr>
        <w:t>ал.</w:t>
      </w:r>
      <w:r>
        <w:t xml:space="preserve"> 5 трябва да се разграничават от целите на правоприлагането.</w:t>
      </w:r>
    </w:p>
    <w:bookmarkStart w:id="173" w:name="RLF_PPDA_scope_ratione_materiae_history1"/>
    <w:p w14:paraId="3EA50AA2" w14:textId="08811194" w:rsidR="00304BC9" w:rsidRPr="00883EB6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83</w:t>
      </w:r>
      <w:r w:rsidRPr="00FE3CEB">
        <w:fldChar w:fldCharType="end"/>
      </w:r>
      <w:bookmarkEnd w:id="173"/>
      <w:r w:rsidR="008C6275">
        <w:rPr>
          <w:lang w:val="bg-BG"/>
        </w:rPr>
        <w:t xml:space="preserve">. </w:t>
      </w:r>
      <w:r w:rsidRPr="00883EB6">
        <w:rPr>
          <w:lang w:val="bg-BG"/>
        </w:rPr>
        <w:t>При първоначалното си приеман</w:t>
      </w:r>
      <w:r w:rsidR="00883EB6" w:rsidRPr="00883EB6">
        <w:rPr>
          <w:lang w:val="bg-BG"/>
        </w:rPr>
        <w:t>е Законът от 2002 г. предвижда</w:t>
      </w:r>
      <w:r w:rsidRPr="00883EB6">
        <w:rPr>
          <w:lang w:val="bg-BG"/>
        </w:rPr>
        <w:t xml:space="preserve">, че обработката на лични данни за целите на националната сигурност може да се </w:t>
      </w:r>
      <w:r w:rsidR="000827F7">
        <w:rPr>
          <w:lang w:val="bg-BG"/>
        </w:rPr>
        <w:t>урежда със специален закон (чл.</w:t>
      </w:r>
      <w:r w:rsidRPr="00883EB6">
        <w:rPr>
          <w:lang w:val="bg-BG"/>
        </w:rPr>
        <w:t xml:space="preserve"> 1, ал. 4, в редакцията от 2002-05 г.). През 2005 г. тази алинея </w:t>
      </w:r>
      <w:r w:rsidR="00883EB6">
        <w:rPr>
          <w:lang w:val="bg-BG"/>
        </w:rPr>
        <w:t>е</w:t>
      </w:r>
      <w:r w:rsidRPr="00883EB6">
        <w:rPr>
          <w:lang w:val="bg-BG"/>
        </w:rPr>
        <w:t xml:space="preserve"> изменена, за да се предвиди, че такава обработка се </w:t>
      </w:r>
      <w:r w:rsidR="00883EB6">
        <w:rPr>
          <w:lang w:val="bg-BG"/>
        </w:rPr>
        <w:t>урежда със специален закон (чл.</w:t>
      </w:r>
      <w:r w:rsidRPr="00883EB6">
        <w:rPr>
          <w:lang w:val="bg-BG"/>
        </w:rPr>
        <w:t xml:space="preserve"> 1, ал. 4, в редакцията от 2005-06 г.). В края на 2006 г. </w:t>
      </w:r>
      <w:r w:rsidR="00883EB6">
        <w:rPr>
          <w:lang w:val="bg-BG"/>
        </w:rPr>
        <w:t>чл.</w:t>
      </w:r>
      <w:r w:rsidRPr="00883EB6">
        <w:rPr>
          <w:lang w:val="bg-BG"/>
        </w:rPr>
        <w:t xml:space="preserve"> 1, </w:t>
      </w:r>
      <w:r w:rsidR="00800F97">
        <w:rPr>
          <w:lang w:val="bg-BG"/>
        </w:rPr>
        <w:t>ал.</w:t>
      </w:r>
      <w:r w:rsidRPr="00883EB6">
        <w:rPr>
          <w:lang w:val="bg-BG"/>
        </w:rPr>
        <w:t xml:space="preserve"> 4, който ста</w:t>
      </w:r>
      <w:r w:rsidR="00800F97">
        <w:rPr>
          <w:lang w:val="bg-BG"/>
        </w:rPr>
        <w:t>в</w:t>
      </w:r>
      <w:r w:rsidRPr="00883EB6">
        <w:rPr>
          <w:lang w:val="bg-BG"/>
        </w:rPr>
        <w:t xml:space="preserve">а </w:t>
      </w:r>
      <w:r w:rsidR="00800F97">
        <w:rPr>
          <w:lang w:val="bg-BG"/>
        </w:rPr>
        <w:t>чл. 1, ал</w:t>
      </w:r>
      <w:r w:rsidRPr="00883EB6">
        <w:rPr>
          <w:lang w:val="bg-BG"/>
        </w:rPr>
        <w:t xml:space="preserve"> 5, </w:t>
      </w:r>
      <w:r w:rsidR="00800F97">
        <w:rPr>
          <w:lang w:val="bg-BG"/>
        </w:rPr>
        <w:t>е</w:t>
      </w:r>
      <w:r w:rsidRPr="00883EB6">
        <w:rPr>
          <w:lang w:val="bg-BG"/>
        </w:rPr>
        <w:t xml:space="preserve"> изменен още веднъж – този път, за да се посочи, че законът се прилага за обработката на лични данни за целите на националната сигурност, освен ако специален закон не предвижда друго (</w:t>
      </w:r>
      <w:r w:rsidR="00800F97">
        <w:rPr>
          <w:lang w:val="bg-BG"/>
        </w:rPr>
        <w:t>чл.</w:t>
      </w:r>
      <w:r w:rsidRPr="00883EB6">
        <w:rPr>
          <w:lang w:val="bg-BG"/>
        </w:rPr>
        <w:t xml:space="preserve"> 1, </w:t>
      </w:r>
      <w:r w:rsidR="00800F97">
        <w:rPr>
          <w:lang w:val="bg-BG"/>
        </w:rPr>
        <w:t>ал.</w:t>
      </w:r>
      <w:r w:rsidRPr="00883EB6">
        <w:rPr>
          <w:lang w:val="bg-BG"/>
        </w:rPr>
        <w:t xml:space="preserve"> 5, в редакцията от 2006-19 г.).</w:t>
      </w:r>
    </w:p>
    <w:bookmarkStart w:id="174" w:name="RLF_PPDA_scope_ratione_materiae_history2"/>
    <w:p w14:paraId="5C95B713" w14:textId="0D15AE70" w:rsidR="00304BC9" w:rsidRPr="00AA4770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290A54">
        <w:rPr>
          <w:lang w:val="bg-BG"/>
        </w:rPr>
        <w:instrText xml:space="preserve"> </w:instrText>
      </w:r>
      <w:r w:rsidRPr="00FE3CEB">
        <w:instrText>SEQ</w:instrText>
      </w:r>
      <w:r w:rsidRPr="00290A54">
        <w:rPr>
          <w:lang w:val="bg-BG"/>
        </w:rPr>
        <w:instrText xml:space="preserve"> </w:instrText>
      </w:r>
      <w:r w:rsidRPr="00FE3CEB">
        <w:instrText>level</w:instrText>
      </w:r>
      <w:r w:rsidRPr="00290A54">
        <w:rPr>
          <w:lang w:val="bg-BG"/>
        </w:rPr>
        <w:instrText>0 \*</w:instrText>
      </w:r>
      <w:r w:rsidRPr="00FE3CEB">
        <w:instrText>arabic</w:instrText>
      </w:r>
      <w:r w:rsidRPr="00290A54">
        <w:rPr>
          <w:lang w:val="bg-BG"/>
        </w:rPr>
        <w:instrText xml:space="preserve"> \* </w:instrText>
      </w:r>
      <w:r w:rsidRPr="00FE3CEB">
        <w:instrText>MERGEFORMAT</w:instrText>
      </w:r>
      <w:r w:rsidRPr="00290A54">
        <w:rPr>
          <w:lang w:val="bg-BG"/>
        </w:rPr>
        <w:instrText xml:space="preserve"> </w:instrText>
      </w:r>
      <w:r w:rsidRPr="00FE3CEB">
        <w:fldChar w:fldCharType="separate"/>
      </w:r>
      <w:r w:rsidR="00F21D3F" w:rsidRPr="00290A54">
        <w:rPr>
          <w:noProof/>
          <w:lang w:val="bg-BG"/>
        </w:rPr>
        <w:t>84</w:t>
      </w:r>
      <w:r w:rsidRPr="00FE3CEB">
        <w:fldChar w:fldCharType="end"/>
      </w:r>
      <w:bookmarkStart w:id="175" w:name="_Hlk171076848"/>
      <w:bookmarkEnd w:id="174"/>
      <w:r w:rsidR="008C6275">
        <w:rPr>
          <w:lang w:val="bg-BG"/>
        </w:rPr>
        <w:t xml:space="preserve">. </w:t>
      </w:r>
      <w:r w:rsidRPr="005116E9">
        <w:rPr>
          <w:lang w:val="bg-BG"/>
        </w:rPr>
        <w:t>През този период, през 2014 г., органът, отговарящ за надзора върху прилагането на Закона от 2002 г., Комисията за защита на личните данни (вж. параграф</w:t>
      </w:r>
      <w:r w:rsidR="008C6275">
        <w:rPr>
          <w:lang w:val="bg-BG"/>
        </w:rPr>
        <w:t xml:space="preserve"> </w:t>
      </w:r>
      <w:r w:rsidRPr="00FE3CEB">
        <w:fldChar w:fldCharType="begin"/>
      </w:r>
      <w:r w:rsidRPr="005116E9">
        <w:rPr>
          <w:lang w:val="bg-BG"/>
        </w:rPr>
        <w:instrText xml:space="preserve"> </w:instrText>
      </w:r>
      <w:r w:rsidRPr="00FE3CEB">
        <w:instrText>REF</w:instrText>
      </w:r>
      <w:r w:rsidRPr="005116E9">
        <w:rPr>
          <w:lang w:val="bg-BG"/>
        </w:rPr>
        <w:instrText xml:space="preserve">  </w:instrText>
      </w:r>
      <w:r w:rsidRPr="00FE3CEB">
        <w:instrText>RLF</w:instrText>
      </w:r>
      <w:r w:rsidRPr="005116E9">
        <w:rPr>
          <w:lang w:val="bg-BG"/>
        </w:rPr>
        <w:instrText>_</w:instrText>
      </w:r>
      <w:r w:rsidRPr="00FE3CEB">
        <w:instrText>PPDA</w:instrText>
      </w:r>
      <w:r w:rsidRPr="005116E9">
        <w:rPr>
          <w:lang w:val="bg-BG"/>
        </w:rPr>
        <w:instrText>_</w:instrText>
      </w:r>
      <w:r w:rsidRPr="00FE3CEB">
        <w:instrText>CPPD</w:instrText>
      </w:r>
      <w:r w:rsidRPr="005116E9">
        <w:rPr>
          <w:lang w:val="bg-BG"/>
        </w:rPr>
        <w:instrText xml:space="preserve"> \</w:instrText>
      </w:r>
      <w:r w:rsidRPr="00FE3CEB">
        <w:instrText>h</w:instrText>
      </w:r>
      <w:r w:rsidRPr="005116E9">
        <w:rPr>
          <w:lang w:val="bg-BG"/>
        </w:rPr>
        <w:instrText xml:space="preserve">  \* </w:instrText>
      </w:r>
      <w:r w:rsidRPr="00FE3CEB">
        <w:instrText>MERGEFORMAT</w:instrText>
      </w:r>
      <w:r w:rsidRPr="005116E9">
        <w:rPr>
          <w:lang w:val="bg-BG"/>
        </w:rPr>
        <w:instrText xml:space="preserve"> </w:instrText>
      </w:r>
      <w:r w:rsidRPr="00FE3CEB">
        <w:fldChar w:fldCharType="separate"/>
      </w:r>
      <w:r w:rsidR="00F21D3F" w:rsidRPr="005116E9">
        <w:rPr>
          <w:lang w:val="bg-BG"/>
        </w:rPr>
        <w:t>91</w:t>
      </w:r>
      <w:r w:rsidRPr="00FE3CEB">
        <w:fldChar w:fldCharType="end"/>
      </w:r>
      <w:r w:rsidR="005116E9" w:rsidRPr="005116E9">
        <w:rPr>
          <w:lang w:val="bg-BG"/>
        </w:rPr>
        <w:t xml:space="preserve"> по-долу), получава</w:t>
      </w:r>
      <w:r w:rsidRPr="005116E9">
        <w:rPr>
          <w:lang w:val="bg-BG"/>
        </w:rPr>
        <w:t xml:space="preserve"> жалба от лице</w:t>
      </w:r>
      <w:r w:rsidR="005116E9">
        <w:rPr>
          <w:lang w:val="bg-BG"/>
        </w:rPr>
        <w:t>, което подозира</w:t>
      </w:r>
      <w:r w:rsidRPr="005116E9">
        <w:rPr>
          <w:lang w:val="bg-BG"/>
        </w:rPr>
        <w:t xml:space="preserve">, че Агенцията тайно е подслушвала телефонните му разговори. </w:t>
      </w:r>
      <w:r w:rsidR="005116E9" w:rsidRPr="005116E9">
        <w:rPr>
          <w:lang w:val="bg-BG"/>
        </w:rPr>
        <w:t xml:space="preserve">Той </w:t>
      </w:r>
      <w:r w:rsidRPr="005116E9">
        <w:rPr>
          <w:lang w:val="bg-BG"/>
        </w:rPr>
        <w:t>поискал от Агенцията информация по този въпрос съгласно Закона от 2002 г., а Агенцията отказала да я предостави, като посочи</w:t>
      </w:r>
      <w:r w:rsidR="005116E9">
        <w:rPr>
          <w:lang w:val="bg-BG"/>
        </w:rPr>
        <w:t>ла</w:t>
      </w:r>
      <w:r w:rsidRPr="005116E9">
        <w:rPr>
          <w:lang w:val="bg-BG"/>
        </w:rPr>
        <w:t xml:space="preserve">, че тя не попада в обхвата на този закон. </w:t>
      </w:r>
      <w:r w:rsidRPr="00AA4770">
        <w:rPr>
          <w:lang w:val="bg-BG"/>
        </w:rPr>
        <w:t xml:space="preserve">След това той </w:t>
      </w:r>
      <w:r w:rsidR="00AA4770">
        <w:rPr>
          <w:lang w:val="bg-BG"/>
        </w:rPr>
        <w:t xml:space="preserve">подава </w:t>
      </w:r>
      <w:r w:rsidRPr="00AA4770">
        <w:rPr>
          <w:lang w:val="bg-BG"/>
        </w:rPr>
        <w:t xml:space="preserve">жалба </w:t>
      </w:r>
      <w:r w:rsidR="00AA4770">
        <w:rPr>
          <w:lang w:val="bg-BG"/>
        </w:rPr>
        <w:t>срещу</w:t>
      </w:r>
      <w:r w:rsidRPr="00AA4770">
        <w:rPr>
          <w:lang w:val="bg-BG"/>
        </w:rPr>
        <w:t xml:space="preserve"> този отказ пред Комисията, която </w:t>
      </w:r>
      <w:r w:rsidR="00AA4770">
        <w:rPr>
          <w:lang w:val="bg-BG"/>
        </w:rPr>
        <w:t xml:space="preserve">я </w:t>
      </w:r>
      <w:r w:rsidRPr="00AA4770">
        <w:rPr>
          <w:lang w:val="bg-BG"/>
        </w:rPr>
        <w:t>отхвърл</w:t>
      </w:r>
      <w:r w:rsidR="00AA4770">
        <w:rPr>
          <w:lang w:val="bg-BG"/>
        </w:rPr>
        <w:t>я, като се съгласява</w:t>
      </w:r>
      <w:r w:rsidRPr="00AA4770">
        <w:rPr>
          <w:lang w:val="bg-BG"/>
        </w:rPr>
        <w:t xml:space="preserve">, че информацията, която той е поискал от Агенцията, не попада в обхвата на Закона от 2002 г., тъй като не се отнася до лични данни. Според Комисията информация за използването на „специални </w:t>
      </w:r>
      <w:r w:rsidR="00AA4770">
        <w:rPr>
          <w:lang w:val="bg-BG"/>
        </w:rPr>
        <w:t xml:space="preserve">разузнавателни </w:t>
      </w:r>
      <w:r w:rsidRPr="00AA4770">
        <w:rPr>
          <w:lang w:val="bg-BG"/>
        </w:rPr>
        <w:t xml:space="preserve">средства“ може да се изисква само от органа , който осъществява надзор върху използването на такива средства – Националното бюро за </w:t>
      </w:r>
      <w:r w:rsidR="00E91308">
        <w:rPr>
          <w:lang w:val="bg-BG"/>
        </w:rPr>
        <w:t>контрол</w:t>
      </w:r>
      <w:r w:rsidRPr="00AA4770">
        <w:rPr>
          <w:lang w:val="bg-BG"/>
        </w:rPr>
        <w:t xml:space="preserve"> </w:t>
      </w:r>
      <w:r w:rsidR="00E91308">
        <w:rPr>
          <w:lang w:val="bg-BG"/>
        </w:rPr>
        <w:t>на</w:t>
      </w:r>
      <w:r w:rsidRPr="00AA4770">
        <w:rPr>
          <w:lang w:val="bg-BG"/>
        </w:rPr>
        <w:t xml:space="preserve"> специалните </w:t>
      </w:r>
      <w:r w:rsidR="00007777">
        <w:rPr>
          <w:lang w:val="bg-BG"/>
        </w:rPr>
        <w:t xml:space="preserve">разузнавателни </w:t>
      </w:r>
      <w:r w:rsidRPr="00AA4770">
        <w:rPr>
          <w:lang w:val="bg-BG"/>
        </w:rPr>
        <w:t xml:space="preserve">средства </w:t>
      </w:r>
      <w:bookmarkEnd w:id="175"/>
      <w:r w:rsidRPr="00AA4770">
        <w:rPr>
          <w:lang w:val="bg-BG"/>
        </w:rPr>
        <w:t xml:space="preserve">(вж. </w:t>
      </w:r>
      <w:r w:rsidRPr="00FE3CEB">
        <w:rPr>
          <w:i/>
          <w:iCs/>
          <w:lang w:val="bg-BG"/>
        </w:rPr>
        <w:t>реш. № Ж-780 от 08.10.2014 г., КЗЛД</w:t>
      </w:r>
      <w:r w:rsidRPr="00AA4770">
        <w:rPr>
          <w:lang w:val="bg-BG"/>
        </w:rPr>
        <w:t>).</w:t>
      </w:r>
    </w:p>
    <w:p w14:paraId="769D4604" w14:textId="77777777" w:rsidR="00304BC9" w:rsidRPr="00290A54" w:rsidRDefault="000F3485" w:rsidP="00304BC9">
      <w:pPr>
        <w:pStyle w:val="JuHA"/>
        <w:rPr>
          <w:lang w:val="bg-BG"/>
        </w:rPr>
      </w:pPr>
      <w:bookmarkStart w:id="176" w:name="_Toc175304751"/>
      <w:bookmarkStart w:id="177" w:name="_Toc232688282"/>
      <w:r w:rsidRPr="00290A54">
        <w:rPr>
          <w:lang w:val="bg-BG"/>
        </w:rPr>
        <w:t>Право на достъп до лични данни и ограничения на това право</w:t>
      </w:r>
      <w:bookmarkEnd w:id="176"/>
      <w:bookmarkEnd w:id="177"/>
    </w:p>
    <w:p w14:paraId="0A93F9CC" w14:textId="6C34349E" w:rsidR="00304BC9" w:rsidRPr="00290A54" w:rsidRDefault="000F3485" w:rsidP="00304BC9">
      <w:pPr>
        <w:pStyle w:val="JuH1"/>
        <w:rPr>
          <w:lang w:val="bg-BG"/>
        </w:rPr>
      </w:pPr>
      <w:bookmarkStart w:id="178" w:name="_Toc175304752"/>
      <w:bookmarkStart w:id="179" w:name="_Toc232688283"/>
      <w:r w:rsidRPr="00290A54">
        <w:rPr>
          <w:lang w:val="bg-BG"/>
        </w:rPr>
        <w:t xml:space="preserve">По отношение на обработката, попадаща в обхвата на </w:t>
      </w:r>
      <w:bookmarkEnd w:id="178"/>
      <w:r w:rsidR="0094314B">
        <w:t>GDPR</w:t>
      </w:r>
      <w:bookmarkEnd w:id="179"/>
    </w:p>
    <w:bookmarkStart w:id="180" w:name="RLF_PPDA_right_access_GDPR"/>
    <w:p w14:paraId="69E2C1C7" w14:textId="2472112F" w:rsidR="00304BC9" w:rsidRPr="00290A54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290A54">
        <w:rPr>
          <w:lang w:val="bg-BG"/>
        </w:rPr>
        <w:instrText xml:space="preserve"> </w:instrText>
      </w:r>
      <w:r w:rsidRPr="00FE3CEB">
        <w:instrText>SEQ</w:instrText>
      </w:r>
      <w:r w:rsidRPr="00290A54">
        <w:rPr>
          <w:lang w:val="bg-BG"/>
        </w:rPr>
        <w:instrText xml:space="preserve"> </w:instrText>
      </w:r>
      <w:r w:rsidRPr="00FE3CEB">
        <w:instrText>level</w:instrText>
      </w:r>
      <w:r w:rsidRPr="00290A54">
        <w:rPr>
          <w:lang w:val="bg-BG"/>
        </w:rPr>
        <w:instrText>0 \*</w:instrText>
      </w:r>
      <w:r w:rsidRPr="00FE3CEB">
        <w:instrText>arabic</w:instrText>
      </w:r>
      <w:r w:rsidRPr="00290A54">
        <w:rPr>
          <w:lang w:val="bg-BG"/>
        </w:rPr>
        <w:instrText xml:space="preserve"> \* </w:instrText>
      </w:r>
      <w:r w:rsidRPr="00FE3CEB">
        <w:instrText>MERGEFORMAT</w:instrText>
      </w:r>
      <w:r w:rsidRPr="00290A54">
        <w:rPr>
          <w:lang w:val="bg-BG"/>
        </w:rPr>
        <w:instrText xml:space="preserve"> </w:instrText>
      </w:r>
      <w:r w:rsidRPr="00FE3CEB">
        <w:fldChar w:fldCharType="separate"/>
      </w:r>
      <w:r w:rsidR="00F21D3F" w:rsidRPr="00290A54">
        <w:rPr>
          <w:noProof/>
          <w:lang w:val="bg-BG"/>
        </w:rPr>
        <w:t>85</w:t>
      </w:r>
      <w:r w:rsidRPr="00FE3CEB">
        <w:fldChar w:fldCharType="end"/>
      </w:r>
      <w:bookmarkEnd w:id="180"/>
      <w:r w:rsidR="008C6275" w:rsidRPr="00290A54">
        <w:rPr>
          <w:lang w:val="bg-BG"/>
        </w:rPr>
        <w:t xml:space="preserve">. </w:t>
      </w:r>
      <w:r w:rsidRPr="00290A54">
        <w:rPr>
          <w:lang w:val="bg-BG"/>
        </w:rPr>
        <w:t xml:space="preserve">Правото на достъп до информация, чието обработване попада в обхвата на </w:t>
      </w:r>
      <w:r w:rsidR="00171B57">
        <w:t>GDPR</w:t>
      </w:r>
      <w:r w:rsidRPr="00290A54">
        <w:rPr>
          <w:lang w:val="bg-BG"/>
        </w:rPr>
        <w:t xml:space="preserve">, се урежда от член 15, параграф 1, буква а) от него, съгласно който „субектът на данни има право да получи от администратора потвърждение дали се обработват лични данни, </w:t>
      </w:r>
      <w:r w:rsidRPr="00290A54">
        <w:rPr>
          <w:lang w:val="bg-BG"/>
        </w:rPr>
        <w:lastRenderedPageBreak/>
        <w:t>отнасящи се до него, и, ако това е така, достъп до тези данни и информация за целите на тяхното обработване“.</w:t>
      </w:r>
    </w:p>
    <w:bookmarkStart w:id="181" w:name="RLF_PPDA_right_access_GDPR_lim"/>
    <w:p w14:paraId="3B30D1C0" w14:textId="4B45DABB" w:rsidR="00304BC9" w:rsidRPr="00FE0C4F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FE0C4F">
        <w:rPr>
          <w:lang w:val="bg-BG"/>
        </w:rPr>
        <w:instrText xml:space="preserve"> </w:instrText>
      </w:r>
      <w:r w:rsidRPr="00FE3CEB">
        <w:instrText>SEQ</w:instrText>
      </w:r>
      <w:r w:rsidRPr="00FE0C4F">
        <w:rPr>
          <w:lang w:val="bg-BG"/>
        </w:rPr>
        <w:instrText xml:space="preserve"> </w:instrText>
      </w:r>
      <w:r w:rsidRPr="00FE3CEB">
        <w:instrText>level</w:instrText>
      </w:r>
      <w:r w:rsidRPr="00FE0C4F">
        <w:rPr>
          <w:lang w:val="bg-BG"/>
        </w:rPr>
        <w:instrText>0 \*</w:instrText>
      </w:r>
      <w:r w:rsidRPr="00FE3CEB">
        <w:instrText>arabic</w:instrText>
      </w:r>
      <w:r w:rsidRPr="00FE0C4F">
        <w:rPr>
          <w:lang w:val="bg-BG"/>
        </w:rPr>
        <w:instrText xml:space="preserve"> \* </w:instrText>
      </w:r>
      <w:r w:rsidRPr="00FE3CEB">
        <w:instrText>MERGEFORMAT</w:instrText>
      </w:r>
      <w:r w:rsidRPr="00FE0C4F">
        <w:rPr>
          <w:lang w:val="bg-BG"/>
        </w:rPr>
        <w:instrText xml:space="preserve"> </w:instrText>
      </w:r>
      <w:r w:rsidRPr="00FE3CEB">
        <w:fldChar w:fldCharType="separate"/>
      </w:r>
      <w:r w:rsidR="00F21D3F" w:rsidRPr="00FE0C4F">
        <w:rPr>
          <w:noProof/>
          <w:lang w:val="bg-BG"/>
        </w:rPr>
        <w:t>86</w:t>
      </w:r>
      <w:r w:rsidRPr="00FE3CEB">
        <w:fldChar w:fldCharType="end"/>
      </w:r>
      <w:bookmarkEnd w:id="181"/>
      <w:r w:rsidR="008C6275" w:rsidRPr="00FE0C4F">
        <w:rPr>
          <w:lang w:val="bg-BG"/>
        </w:rPr>
        <w:t xml:space="preserve">. </w:t>
      </w:r>
      <w:r w:rsidRPr="00FE0C4F">
        <w:rPr>
          <w:lang w:val="bg-BG"/>
        </w:rPr>
        <w:t>Администраторът или обработващият лични данни може да ограничи, изцяло или частично, достъпа на субекта на данни или</w:t>
      </w:r>
      <w:r w:rsidR="00B05EAD">
        <w:rPr>
          <w:lang w:val="bg-BG"/>
        </w:rPr>
        <w:t xml:space="preserve"> другите му права по членове 12-</w:t>
      </w:r>
      <w:r w:rsidRPr="00FE0C4F">
        <w:rPr>
          <w:lang w:val="bg-BG"/>
        </w:rPr>
        <w:t xml:space="preserve">22 от </w:t>
      </w:r>
      <w:r w:rsidR="00DA68B4">
        <w:rPr>
          <w:lang w:val="en-US"/>
        </w:rPr>
        <w:t>GDPR</w:t>
      </w:r>
      <w:r w:rsidRPr="00FE0C4F">
        <w:rPr>
          <w:lang w:val="bg-BG"/>
        </w:rPr>
        <w:t>, ако упражняването им би създало риск</w:t>
      </w:r>
      <w:r w:rsidR="00BC6A8B">
        <w:rPr>
          <w:lang w:val="bg-BG"/>
        </w:rPr>
        <w:t xml:space="preserve"> за националната сигурност (чл.</w:t>
      </w:r>
      <w:r w:rsidRPr="00FE0C4F">
        <w:rPr>
          <w:lang w:val="bg-BG"/>
        </w:rPr>
        <w:t xml:space="preserve"> 37а, </w:t>
      </w:r>
      <w:r w:rsidR="000C69FC">
        <w:rPr>
          <w:lang w:val="bg-BG"/>
        </w:rPr>
        <w:t>ал.</w:t>
      </w:r>
      <w:r w:rsidRPr="00FE0C4F">
        <w:rPr>
          <w:lang w:val="bg-BG"/>
        </w:rPr>
        <w:t xml:space="preserve"> 1, точка 1 от Закона от 2002 г., който отразява член 23, параграф 1, буква а) от </w:t>
      </w:r>
      <w:r w:rsidR="000C69FC">
        <w:rPr>
          <w:lang w:val="en-US"/>
        </w:rPr>
        <w:t>GDPR</w:t>
      </w:r>
      <w:r w:rsidRPr="00FE0C4F">
        <w:rPr>
          <w:lang w:val="bg-BG"/>
        </w:rPr>
        <w:t xml:space="preserve">). В член 37а, </w:t>
      </w:r>
      <w:r w:rsidR="000C69FC">
        <w:rPr>
          <w:lang w:val="bg-BG"/>
        </w:rPr>
        <w:t>ал</w:t>
      </w:r>
      <w:r w:rsidR="000C69FC" w:rsidRPr="00FE0C4F">
        <w:rPr>
          <w:lang w:val="bg-BG"/>
        </w:rPr>
        <w:t>.</w:t>
      </w:r>
      <w:r w:rsidRPr="00FE0C4F">
        <w:rPr>
          <w:lang w:val="bg-BG"/>
        </w:rPr>
        <w:t xml:space="preserve"> 2 се уточнява, че начинът, по който това може да бъде направено, трябва да бъде предвиден в закон и да е в съответствие с член 23, параграф 2 от </w:t>
      </w:r>
      <w:r w:rsidR="000C69FC">
        <w:rPr>
          <w:lang w:val="en-US"/>
        </w:rPr>
        <w:t>GDPR</w:t>
      </w:r>
      <w:r w:rsidRPr="00FE0C4F">
        <w:rPr>
          <w:lang w:val="bg-BG"/>
        </w:rPr>
        <w:t>.</w:t>
      </w:r>
    </w:p>
    <w:p w14:paraId="5AEB8026" w14:textId="77777777" w:rsidR="00304BC9" w:rsidRPr="00FE0C4F" w:rsidRDefault="000F3485" w:rsidP="00304BC9">
      <w:pPr>
        <w:pStyle w:val="JuH1"/>
        <w:rPr>
          <w:lang w:val="bg-BG"/>
        </w:rPr>
      </w:pPr>
      <w:bookmarkStart w:id="182" w:name="_Toc175304753"/>
      <w:bookmarkStart w:id="183" w:name="_Toc232688284"/>
      <w:r w:rsidRPr="00FE0C4F">
        <w:rPr>
          <w:lang w:val="bg-BG"/>
        </w:rPr>
        <w:t>По отношение на обработката от органите за целите на правоприлагането</w:t>
      </w:r>
      <w:bookmarkEnd w:id="182"/>
      <w:bookmarkEnd w:id="183"/>
    </w:p>
    <w:bookmarkStart w:id="184" w:name="RLF_PPDA_right_access_LED"/>
    <w:p w14:paraId="17A02400" w14:textId="62309E4B" w:rsidR="00304BC9" w:rsidRPr="00FE0C4F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FE0C4F">
        <w:rPr>
          <w:lang w:val="bg-BG"/>
        </w:rPr>
        <w:instrText xml:space="preserve"> </w:instrText>
      </w:r>
      <w:r w:rsidRPr="00FE3CEB">
        <w:instrText>SEQ</w:instrText>
      </w:r>
      <w:r w:rsidRPr="00FE0C4F">
        <w:rPr>
          <w:lang w:val="bg-BG"/>
        </w:rPr>
        <w:instrText xml:space="preserve"> </w:instrText>
      </w:r>
      <w:r w:rsidRPr="00FE3CEB">
        <w:instrText>level</w:instrText>
      </w:r>
      <w:r w:rsidRPr="00FE0C4F">
        <w:rPr>
          <w:lang w:val="bg-BG"/>
        </w:rPr>
        <w:instrText>0 \*</w:instrText>
      </w:r>
      <w:r w:rsidRPr="00FE3CEB">
        <w:instrText>arabic</w:instrText>
      </w:r>
      <w:r w:rsidRPr="00FE0C4F">
        <w:rPr>
          <w:lang w:val="bg-BG"/>
        </w:rPr>
        <w:instrText xml:space="preserve"> \* </w:instrText>
      </w:r>
      <w:r w:rsidRPr="00FE3CEB">
        <w:instrText>MERGEFORMAT</w:instrText>
      </w:r>
      <w:r w:rsidRPr="00FE0C4F">
        <w:rPr>
          <w:lang w:val="bg-BG"/>
        </w:rPr>
        <w:instrText xml:space="preserve"> </w:instrText>
      </w:r>
      <w:r w:rsidRPr="00FE3CEB">
        <w:fldChar w:fldCharType="separate"/>
      </w:r>
      <w:r w:rsidR="00F21D3F" w:rsidRPr="00FE0C4F">
        <w:rPr>
          <w:noProof/>
          <w:lang w:val="bg-BG"/>
        </w:rPr>
        <w:t>87</w:t>
      </w:r>
      <w:r w:rsidRPr="00FE3CEB">
        <w:fldChar w:fldCharType="end"/>
      </w:r>
      <w:bookmarkEnd w:id="184"/>
      <w:r w:rsidR="008C6275" w:rsidRPr="00FE0C4F">
        <w:rPr>
          <w:lang w:val="bg-BG"/>
        </w:rPr>
        <w:t>.</w:t>
      </w:r>
      <w:r w:rsidR="008C6275">
        <w:t> </w:t>
      </w:r>
      <w:r w:rsidRPr="00FE0C4F">
        <w:rPr>
          <w:lang w:val="bg-BG"/>
        </w:rPr>
        <w:t>Субектът на данни има право да получи от администратора потвърждение дали се обработват лични данни, отнасящи се до него, и (ако това е така) достъп до тези данни и до информация относно целите на тяхното обработване (</w:t>
      </w:r>
      <w:r w:rsidR="00BC6A8B">
        <w:rPr>
          <w:lang w:val="bg-BG"/>
        </w:rPr>
        <w:t>чл.</w:t>
      </w:r>
      <w:r w:rsidRPr="00FE0C4F">
        <w:rPr>
          <w:lang w:val="bg-BG"/>
        </w:rPr>
        <w:t xml:space="preserve"> 55, </w:t>
      </w:r>
      <w:r w:rsidR="00211944">
        <w:rPr>
          <w:lang w:val="bg-BG"/>
        </w:rPr>
        <w:t>ал.</w:t>
      </w:r>
      <w:r w:rsidR="00BC6A8B">
        <w:rPr>
          <w:lang w:val="bg-BG"/>
        </w:rPr>
        <w:t xml:space="preserve"> 1, т.</w:t>
      </w:r>
      <w:r w:rsidRPr="00FE0C4F">
        <w:rPr>
          <w:lang w:val="bg-BG"/>
        </w:rPr>
        <w:t xml:space="preserve"> 1, във връзка с </w:t>
      </w:r>
      <w:r w:rsidR="00BC6A8B">
        <w:rPr>
          <w:lang w:val="bg-BG"/>
        </w:rPr>
        <w:t xml:space="preserve">член </w:t>
      </w:r>
      <w:r w:rsidRPr="00FE0C4F">
        <w:rPr>
          <w:lang w:val="bg-BG"/>
        </w:rPr>
        <w:t xml:space="preserve">54, ал. 1, т. 5 и ал. 2, т. 1 от Закона от 2002 г., с който е транспониран член 14, буква а) от </w:t>
      </w:r>
      <w:r w:rsidR="00211944">
        <w:rPr>
          <w:lang w:val="bg-BG"/>
        </w:rPr>
        <w:t>Директивата за правоприлагане</w:t>
      </w:r>
      <w:r w:rsidRPr="00FE0C4F">
        <w:rPr>
          <w:lang w:val="bg-BG"/>
        </w:rPr>
        <w:t>).</w:t>
      </w:r>
    </w:p>
    <w:bookmarkStart w:id="185" w:name="RLF_PPDA_right_access_LED_lim"/>
    <w:p w14:paraId="7591C094" w14:textId="223B1AE8" w:rsidR="00304BC9" w:rsidRPr="00FE0C4F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FE0C4F">
        <w:rPr>
          <w:lang w:val="bg-BG"/>
        </w:rPr>
        <w:instrText xml:space="preserve"> </w:instrText>
      </w:r>
      <w:r w:rsidRPr="00FE3CEB">
        <w:instrText>SEQ</w:instrText>
      </w:r>
      <w:r w:rsidRPr="00FE0C4F">
        <w:rPr>
          <w:lang w:val="bg-BG"/>
        </w:rPr>
        <w:instrText xml:space="preserve"> </w:instrText>
      </w:r>
      <w:r w:rsidRPr="00FE3CEB">
        <w:instrText>level</w:instrText>
      </w:r>
      <w:r w:rsidRPr="00FE0C4F">
        <w:rPr>
          <w:lang w:val="bg-BG"/>
        </w:rPr>
        <w:instrText>0 \*</w:instrText>
      </w:r>
      <w:r w:rsidRPr="00FE3CEB">
        <w:instrText>arabic</w:instrText>
      </w:r>
      <w:r w:rsidRPr="00FE0C4F">
        <w:rPr>
          <w:lang w:val="bg-BG"/>
        </w:rPr>
        <w:instrText xml:space="preserve"> \* </w:instrText>
      </w:r>
      <w:r w:rsidRPr="00FE3CEB">
        <w:instrText>MERGEFORMAT</w:instrText>
      </w:r>
      <w:r w:rsidRPr="00FE0C4F">
        <w:rPr>
          <w:lang w:val="bg-BG"/>
        </w:rPr>
        <w:instrText xml:space="preserve"> </w:instrText>
      </w:r>
      <w:r w:rsidRPr="00FE3CEB">
        <w:fldChar w:fldCharType="separate"/>
      </w:r>
      <w:r w:rsidR="00F21D3F" w:rsidRPr="00FE0C4F">
        <w:rPr>
          <w:noProof/>
          <w:lang w:val="bg-BG"/>
        </w:rPr>
        <w:t>88</w:t>
      </w:r>
      <w:r w:rsidRPr="00FE3CEB">
        <w:fldChar w:fldCharType="end"/>
      </w:r>
      <w:bookmarkEnd w:id="185"/>
      <w:r w:rsidR="008C6275" w:rsidRPr="00FE0C4F">
        <w:rPr>
          <w:lang w:val="bg-BG"/>
        </w:rPr>
        <w:t>.</w:t>
      </w:r>
      <w:r w:rsidR="008C6275">
        <w:t> </w:t>
      </w:r>
      <w:r w:rsidRPr="00FE0C4F">
        <w:rPr>
          <w:lang w:val="bg-BG"/>
        </w:rPr>
        <w:t xml:space="preserve">Тези права могат да бъдат ограничени изцяло или частично, ако това е необходимо, наред с другото, за защита на националната сигурност </w:t>
      </w:r>
      <w:r w:rsidR="00336017">
        <w:rPr>
          <w:lang w:val="bg-BG"/>
        </w:rPr>
        <w:t xml:space="preserve">– </w:t>
      </w:r>
      <w:r w:rsidRPr="00FE0C4F">
        <w:rPr>
          <w:lang w:val="bg-BG"/>
        </w:rPr>
        <w:t>стига да се отдава дължимото внимание на основните права и законните ин</w:t>
      </w:r>
      <w:r w:rsidR="00AC1E80">
        <w:rPr>
          <w:lang w:val="bg-BG"/>
        </w:rPr>
        <w:t>тереси на засегнатите лица (чл.</w:t>
      </w:r>
      <w:r w:rsidRPr="00FE0C4F">
        <w:rPr>
          <w:lang w:val="bg-BG"/>
        </w:rPr>
        <w:t xml:space="preserve"> 55, </w:t>
      </w:r>
      <w:r w:rsidR="00336017">
        <w:rPr>
          <w:lang w:val="bg-BG"/>
        </w:rPr>
        <w:t>ал.</w:t>
      </w:r>
      <w:r w:rsidRPr="00FE0C4F">
        <w:rPr>
          <w:lang w:val="bg-BG"/>
        </w:rPr>
        <w:t xml:space="preserve"> 3, във връзка с член 54, </w:t>
      </w:r>
      <w:r w:rsidR="00336017">
        <w:rPr>
          <w:lang w:val="bg-BG"/>
        </w:rPr>
        <w:t>ал.</w:t>
      </w:r>
      <w:r w:rsidRPr="00FE0C4F">
        <w:rPr>
          <w:lang w:val="bg-BG"/>
        </w:rPr>
        <w:t xml:space="preserve"> 3, точка 4 от Закона от 2002 г., който въвежда изключението, разрешено по член 15, параграф 1, буква г) от Директивата за </w:t>
      </w:r>
      <w:r w:rsidR="00336017">
        <w:rPr>
          <w:lang w:val="bg-BG"/>
        </w:rPr>
        <w:t>правоприлагане</w:t>
      </w:r>
      <w:r w:rsidRPr="00FE0C4F">
        <w:rPr>
          <w:lang w:val="bg-BG"/>
        </w:rPr>
        <w:t>). Когато препятствието престане да съществува, администраторът на данни обикновено трябва да предостави тази информация в срок от два месеца от датата на искането от страна на субекта на данните (</w:t>
      </w:r>
      <w:r w:rsidR="00BF4BE3">
        <w:rPr>
          <w:lang w:val="bg-BG"/>
        </w:rPr>
        <w:t>чл.</w:t>
      </w:r>
      <w:r w:rsidR="00BF4BE3" w:rsidRPr="00FE0C4F">
        <w:rPr>
          <w:lang w:val="bg-BG"/>
        </w:rPr>
        <w:t xml:space="preserve"> 55, ал.</w:t>
      </w:r>
      <w:r w:rsidRPr="00FE0C4F">
        <w:rPr>
          <w:lang w:val="bg-BG"/>
        </w:rPr>
        <w:t xml:space="preserve"> 3, </w:t>
      </w:r>
      <w:r w:rsidRPr="00FE0C4F">
        <w:rPr>
          <w:i/>
          <w:iCs/>
          <w:lang w:val="bg-BG"/>
        </w:rPr>
        <w:t xml:space="preserve">в края, </w:t>
      </w:r>
      <w:r w:rsidRPr="00FE0C4F">
        <w:rPr>
          <w:lang w:val="bg-BG"/>
        </w:rPr>
        <w:t xml:space="preserve">във връзка с </w:t>
      </w:r>
      <w:r w:rsidR="00BF4BE3">
        <w:rPr>
          <w:lang w:val="bg-BG"/>
        </w:rPr>
        <w:t>чл.</w:t>
      </w:r>
      <w:r w:rsidRPr="00FE0C4F">
        <w:rPr>
          <w:lang w:val="bg-BG"/>
        </w:rPr>
        <w:t xml:space="preserve"> 54, </w:t>
      </w:r>
      <w:r w:rsidR="00BF4BE3">
        <w:rPr>
          <w:lang w:val="bg-BG"/>
        </w:rPr>
        <w:t xml:space="preserve">ал. </w:t>
      </w:r>
      <w:r w:rsidRPr="00FE0C4F">
        <w:rPr>
          <w:lang w:val="bg-BG"/>
        </w:rPr>
        <w:t xml:space="preserve">4 и </w:t>
      </w:r>
      <w:r w:rsidR="00BF4BE3">
        <w:rPr>
          <w:lang w:val="bg-BG"/>
        </w:rPr>
        <w:t xml:space="preserve">чл. </w:t>
      </w:r>
      <w:r w:rsidRPr="00FE0C4F">
        <w:rPr>
          <w:lang w:val="bg-BG"/>
        </w:rPr>
        <w:t xml:space="preserve">53, </w:t>
      </w:r>
      <w:r w:rsidR="00BF4BE3">
        <w:rPr>
          <w:lang w:val="bg-BG"/>
        </w:rPr>
        <w:t>ал.</w:t>
      </w:r>
      <w:r w:rsidRPr="00FE0C4F">
        <w:rPr>
          <w:lang w:val="bg-BG"/>
        </w:rPr>
        <w:t xml:space="preserve"> 3).</w:t>
      </w:r>
    </w:p>
    <w:bookmarkStart w:id="186" w:name="RLF_PPDA_right_access_LED_lim_reasons"/>
    <w:p w14:paraId="7395F0E3" w14:textId="3A206498" w:rsidR="00304BC9" w:rsidRDefault="000F3485" w:rsidP="00304BC9">
      <w:pPr>
        <w:pStyle w:val="JuPara"/>
      </w:pPr>
      <w:r w:rsidRPr="00FE3CEB">
        <w:fldChar w:fldCharType="begin"/>
      </w:r>
      <w:r w:rsidRPr="00FE0C4F">
        <w:rPr>
          <w:lang w:val="bg-BG"/>
        </w:rPr>
        <w:instrText xml:space="preserve"> </w:instrText>
      </w:r>
      <w:r w:rsidRPr="00FE3CEB">
        <w:instrText>SEQ</w:instrText>
      </w:r>
      <w:r w:rsidRPr="00FE0C4F">
        <w:rPr>
          <w:lang w:val="bg-BG"/>
        </w:rPr>
        <w:instrText xml:space="preserve"> </w:instrText>
      </w:r>
      <w:r w:rsidRPr="00FE3CEB">
        <w:instrText>level</w:instrText>
      </w:r>
      <w:r w:rsidRPr="00FE0C4F">
        <w:rPr>
          <w:lang w:val="bg-BG"/>
        </w:rPr>
        <w:instrText>0 \*</w:instrText>
      </w:r>
      <w:r w:rsidRPr="00FE3CEB">
        <w:instrText>arabic</w:instrText>
      </w:r>
      <w:r w:rsidRPr="00FE0C4F">
        <w:rPr>
          <w:lang w:val="bg-BG"/>
        </w:rPr>
        <w:instrText xml:space="preserve"> \* </w:instrText>
      </w:r>
      <w:r w:rsidRPr="00FE3CEB">
        <w:instrText>MERGEFORMAT</w:instrText>
      </w:r>
      <w:r w:rsidRPr="00FE0C4F">
        <w:rPr>
          <w:lang w:val="bg-BG"/>
        </w:rPr>
        <w:instrText xml:space="preserve"> </w:instrText>
      </w:r>
      <w:r w:rsidRPr="00FE3CEB">
        <w:fldChar w:fldCharType="separate"/>
      </w:r>
      <w:r w:rsidR="00F21D3F" w:rsidRPr="00FE0C4F">
        <w:rPr>
          <w:noProof/>
          <w:lang w:val="bg-BG"/>
        </w:rPr>
        <w:t>89</w:t>
      </w:r>
      <w:r w:rsidRPr="00FE3CEB">
        <w:fldChar w:fldCharType="end"/>
      </w:r>
      <w:bookmarkEnd w:id="186"/>
      <w:r w:rsidR="008C6275" w:rsidRPr="00FE0C4F">
        <w:rPr>
          <w:lang w:val="bg-BG"/>
        </w:rPr>
        <w:t>.</w:t>
      </w:r>
      <w:r w:rsidR="008C6275">
        <w:t> </w:t>
      </w:r>
      <w:r w:rsidRPr="00FE0C4F">
        <w:rPr>
          <w:lang w:val="bg-BG"/>
        </w:rPr>
        <w:t>Ако достъпът до лични данни бъде отказан или ограничен съгласно посочените по-горе разпоредби, администраторът на данни трябва да уведоми субекта на данните за този отказ или ограничение (и за причините за това) в срок от два месеца, но може да не го направи, ако това би противоречало на целта на тези мерки (</w:t>
      </w:r>
      <w:r w:rsidR="00F56B27">
        <w:rPr>
          <w:lang w:val="bg-BG"/>
        </w:rPr>
        <w:t>чл.</w:t>
      </w:r>
      <w:r w:rsidRPr="00FE0C4F">
        <w:rPr>
          <w:lang w:val="bg-BG"/>
        </w:rPr>
        <w:t xml:space="preserve"> 55, </w:t>
      </w:r>
      <w:r w:rsidR="00F56B27">
        <w:rPr>
          <w:lang w:val="bg-BG"/>
        </w:rPr>
        <w:t>ал.</w:t>
      </w:r>
      <w:r w:rsidRPr="00FE0C4F">
        <w:rPr>
          <w:lang w:val="bg-BG"/>
        </w:rPr>
        <w:t xml:space="preserve"> 4, във връзка с </w:t>
      </w:r>
      <w:r w:rsidR="00F56B27">
        <w:rPr>
          <w:lang w:val="bg-BG"/>
        </w:rPr>
        <w:t>чл.</w:t>
      </w:r>
      <w:r w:rsidRPr="00FE0C4F">
        <w:rPr>
          <w:lang w:val="bg-BG"/>
        </w:rPr>
        <w:t xml:space="preserve"> 53, </w:t>
      </w:r>
      <w:r w:rsidR="00F56B27">
        <w:rPr>
          <w:lang w:val="bg-BG"/>
        </w:rPr>
        <w:t>ал.</w:t>
      </w:r>
      <w:r w:rsidRPr="00FE0C4F">
        <w:rPr>
          <w:lang w:val="bg-BG"/>
        </w:rPr>
        <w:t xml:space="preserve"> 3 от Закона от 2002 г., който транспонира член 15, </w:t>
      </w:r>
      <w:r w:rsidR="00F56B27">
        <w:rPr>
          <w:lang w:val="bg-BG"/>
        </w:rPr>
        <w:t>ал.</w:t>
      </w:r>
      <w:r w:rsidRPr="00FE0C4F">
        <w:rPr>
          <w:lang w:val="bg-BG"/>
        </w:rPr>
        <w:t xml:space="preserve"> 3 от </w:t>
      </w:r>
      <w:r w:rsidR="008C6275" w:rsidRPr="00FE0C4F">
        <w:rPr>
          <w:lang w:val="bg-BG"/>
        </w:rPr>
        <w:t>Директивата за правоприлагането</w:t>
      </w:r>
      <w:r w:rsidRPr="00FE0C4F">
        <w:rPr>
          <w:lang w:val="bg-BG"/>
        </w:rPr>
        <w:t xml:space="preserve">). В този случай администраторът на данни трябва въпреки това да запише фактическите и правните основания, на които се основава това решение, и да ги предостави на компетентния надзорен орган – който в повечето случаи е Комисията за защита на личните данни, чиито задачи и правомощия са изложени в </w:t>
      </w:r>
      <w:r w:rsidR="00F56B27">
        <w:rPr>
          <w:lang w:val="bg-BG"/>
        </w:rPr>
        <w:t xml:space="preserve">чл. 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RLF</w:instrText>
      </w:r>
      <w:r w:rsidRPr="00FE0C4F">
        <w:rPr>
          <w:lang w:val="bg-BG"/>
        </w:rPr>
        <w:instrText>_</w:instrText>
      </w:r>
      <w:r>
        <w:instrText>PPDA</w:instrText>
      </w:r>
      <w:r w:rsidRPr="00FE0C4F">
        <w:rPr>
          <w:lang w:val="bg-BG"/>
        </w:rPr>
        <w:instrText>_</w:instrText>
      </w:r>
      <w:r>
        <w:instrText>CPPD</w:instrText>
      </w:r>
      <w:r w:rsidRPr="00FE0C4F">
        <w:rPr>
          <w:lang w:val="bg-BG"/>
        </w:rPr>
        <w:instrText xml:space="preserve">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>
        <w:t>91</w:t>
      </w:r>
      <w:r>
        <w:fldChar w:fldCharType="end"/>
      </w:r>
      <w:r>
        <w:t>-</w:t>
      </w:r>
      <w:r>
        <w:fldChar w:fldCharType="begin"/>
      </w:r>
      <w:r>
        <w:instrText xml:space="preserve"> REF  RLF_PPDA_CPPD_quinquies \h  \* MERGEFORMAT </w:instrText>
      </w:r>
      <w:r>
        <w:fldChar w:fldCharType="separate"/>
      </w:r>
      <w:r w:rsidR="00F21D3F">
        <w:t>95</w:t>
      </w:r>
      <w:r>
        <w:fldChar w:fldCharType="end"/>
      </w:r>
      <w:r>
        <w:t xml:space="preserve"> по-долу (</w:t>
      </w:r>
      <w:r w:rsidR="00F56B27">
        <w:rPr>
          <w:lang w:val="bg-BG"/>
        </w:rPr>
        <w:t>чл.</w:t>
      </w:r>
      <w:r>
        <w:t xml:space="preserve"> 55, </w:t>
      </w:r>
      <w:r w:rsidR="00F56B27">
        <w:rPr>
          <w:lang w:val="bg-BG"/>
        </w:rPr>
        <w:t>ал.</w:t>
      </w:r>
      <w:r>
        <w:t xml:space="preserve"> 5 от Закона от 2002 г., който транспонира член 15, </w:t>
      </w:r>
      <w:r w:rsidR="00F56B27">
        <w:rPr>
          <w:lang w:val="bg-BG"/>
        </w:rPr>
        <w:t>ал.</w:t>
      </w:r>
      <w:r>
        <w:t xml:space="preserve"> 4 от </w:t>
      </w:r>
      <w:r w:rsidR="008C6275" w:rsidRPr="008C6275">
        <w:t>Директивата за правоприлагането</w:t>
      </w:r>
      <w:r>
        <w:t>).</w:t>
      </w:r>
    </w:p>
    <w:bookmarkStart w:id="187" w:name="RLF_PPDA_right_access_LED_indirect"/>
    <w:p w14:paraId="5A472FDF" w14:textId="54311D6C" w:rsidR="00304BC9" w:rsidRPr="00FE3CEB" w:rsidRDefault="000F3485" w:rsidP="00304BC9">
      <w:pPr>
        <w:pStyle w:val="JuPara"/>
        <w:rPr>
          <w:lang w:val="bg-BG"/>
        </w:rPr>
      </w:pPr>
      <w:r w:rsidRPr="00FE3CEB">
        <w:lastRenderedPageBreak/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90</w:t>
      </w:r>
      <w:r w:rsidRPr="00FE3CEB">
        <w:fldChar w:fldCharType="end"/>
      </w:r>
      <w:bookmarkEnd w:id="187"/>
      <w:r w:rsidR="008C6275">
        <w:t>. </w:t>
      </w:r>
      <w:r>
        <w:t xml:space="preserve">Ако такива ограничения са наложени от администратор на данни, който не е </w:t>
      </w:r>
      <w:r w:rsidRPr="000B0140">
        <w:t>съд</w:t>
      </w:r>
      <w:r>
        <w:t xml:space="preserve">, </w:t>
      </w:r>
      <w:r w:rsidRPr="000B0140">
        <w:t xml:space="preserve">прокуратура </w:t>
      </w:r>
      <w:r>
        <w:t xml:space="preserve">или </w:t>
      </w:r>
      <w:r w:rsidRPr="000B0140">
        <w:t xml:space="preserve">разследващ </w:t>
      </w:r>
      <w:r>
        <w:t>орган,</w:t>
      </w:r>
      <w:r>
        <w:rPr>
          <w:rStyle w:val="FootnoteReference"/>
        </w:rPr>
        <w:footnoteReference w:id="4"/>
      </w:r>
      <w:r>
        <w:t xml:space="preserve"> субектът на данните може да упражни правото си на достъп съгласно </w:t>
      </w:r>
      <w:r w:rsidR="00A12C74">
        <w:rPr>
          <w:lang w:val="bg-BG"/>
        </w:rPr>
        <w:t>чл.</w:t>
      </w:r>
      <w:r w:rsidR="00A12C74">
        <w:t xml:space="preserve"> 55, ал. 1 </w:t>
      </w:r>
      <w:r>
        <w:t>от Закона от 2002 г. косвено, чрез Комисията за защита на личните данни. Ако субектът на данните направи това, Комисията трябва да провери законността на ограничението (</w:t>
      </w:r>
      <w:r w:rsidR="00A12C74">
        <w:rPr>
          <w:lang w:val="bg-BG"/>
        </w:rPr>
        <w:t>чл.</w:t>
      </w:r>
      <w:r>
        <w:t xml:space="preserve"> 57, </w:t>
      </w:r>
      <w:r w:rsidR="00A12C74">
        <w:rPr>
          <w:lang w:val="bg-BG"/>
        </w:rPr>
        <w:t>ал.</w:t>
      </w:r>
      <w:r>
        <w:t xml:space="preserve"> 1 от Закона от 2002 г., с който се транспонира член 17, параграф 1 от </w:t>
      </w:r>
      <w:r w:rsidR="008C6275" w:rsidRPr="008C6275">
        <w:t>Директивата за правоприлагането</w:t>
      </w:r>
      <w:r>
        <w:t xml:space="preserve">) и да информира субекта на данните </w:t>
      </w:r>
      <w:r w:rsidRPr="007C548C">
        <w:t xml:space="preserve">поне, че са извършени всички необходими проверки или преглед </w:t>
      </w:r>
      <w:r>
        <w:t>(</w:t>
      </w:r>
      <w:r w:rsidR="00A12C74">
        <w:rPr>
          <w:lang w:val="bg-BG"/>
        </w:rPr>
        <w:t>чл.</w:t>
      </w:r>
      <w:r>
        <w:t xml:space="preserve"> 57, </w:t>
      </w:r>
      <w:r w:rsidR="00A12C74">
        <w:rPr>
          <w:lang w:val="bg-BG"/>
        </w:rPr>
        <w:t xml:space="preserve">ал. </w:t>
      </w:r>
      <w:r>
        <w:t xml:space="preserve">2 от Закона от 2002 г., с който се транспонира член 17, параграф 3 от </w:t>
      </w:r>
      <w:r w:rsidR="008C6275" w:rsidRPr="008C6275">
        <w:t>Директивата за правоприлагането</w:t>
      </w:r>
      <w:r>
        <w:t>).</w:t>
      </w:r>
    </w:p>
    <w:p w14:paraId="78045E24" w14:textId="77777777" w:rsidR="00304BC9" w:rsidRPr="00FE3CEB" w:rsidRDefault="000F3485" w:rsidP="00304BC9">
      <w:pPr>
        <w:pStyle w:val="JuHA"/>
      </w:pPr>
      <w:bookmarkStart w:id="188" w:name="_Toc175304754"/>
      <w:bookmarkStart w:id="189" w:name="_Toc232688285"/>
      <w:r w:rsidRPr="00FE3CEB">
        <w:t>Надзорен орган</w:t>
      </w:r>
      <w:bookmarkEnd w:id="188"/>
      <w:bookmarkEnd w:id="189"/>
    </w:p>
    <w:bookmarkStart w:id="190" w:name="RLF_PPDA_CPPD"/>
    <w:p w14:paraId="5A9C8D01" w14:textId="035A0E44" w:rsidR="00304BC9" w:rsidRPr="00FE3CEB" w:rsidRDefault="000F3485" w:rsidP="00304BC9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91</w:t>
      </w:r>
      <w:r w:rsidRPr="00FE3CEB">
        <w:fldChar w:fldCharType="end"/>
      </w:r>
      <w:bookmarkEnd w:id="190"/>
      <w:r w:rsidR="008C6275">
        <w:t>. </w:t>
      </w:r>
      <w:r>
        <w:t xml:space="preserve">Комисията за защита на личните данни </w:t>
      </w:r>
      <w:r w:rsidRPr="00EE565B">
        <w:t>упражнява надзор върху обработката на лични данни</w:t>
      </w:r>
      <w:r>
        <w:t xml:space="preserve">, попадащи в обхвата на </w:t>
      </w:r>
      <w:r w:rsidR="00100070">
        <w:t>GDPR</w:t>
      </w:r>
      <w:r>
        <w:t xml:space="preserve">, както и върху такава обработка </w:t>
      </w:r>
      <w:r w:rsidRPr="00EE565B">
        <w:t xml:space="preserve">за </w:t>
      </w:r>
      <w:r>
        <w:t xml:space="preserve">целите на правоприлагането </w:t>
      </w:r>
      <w:r w:rsidRPr="00EE565B">
        <w:t>от всички органи</w:t>
      </w:r>
      <w:r>
        <w:t xml:space="preserve">, </w:t>
      </w:r>
      <w:r w:rsidRPr="00EE565B">
        <w:t>с изключение на съдилищата и прокуратурата и разследващите органи (</w:t>
      </w:r>
      <w:r w:rsidR="00100070">
        <w:t>чл.</w:t>
      </w:r>
      <w:r>
        <w:t xml:space="preserve"> 6, </w:t>
      </w:r>
      <w:r w:rsidR="00100070">
        <w:rPr>
          <w:lang w:val="bg-BG"/>
        </w:rPr>
        <w:t>ал.</w:t>
      </w:r>
      <w:r>
        <w:t xml:space="preserve"> 1,</w:t>
      </w:r>
      <w:r w:rsidR="00100070">
        <w:rPr>
          <w:lang w:val="bg-BG"/>
        </w:rPr>
        <w:t xml:space="preserve"> чл. </w:t>
      </w:r>
      <w:r>
        <w:t xml:space="preserve">10, </w:t>
      </w:r>
      <w:r w:rsidR="00100070">
        <w:rPr>
          <w:lang w:val="bg-BG"/>
        </w:rPr>
        <w:t>ал.</w:t>
      </w:r>
      <w:r>
        <w:t xml:space="preserve"> 1,</w:t>
      </w:r>
      <w:r w:rsidR="00100070">
        <w:rPr>
          <w:lang w:val="bg-BG"/>
        </w:rPr>
        <w:t>чл.</w:t>
      </w:r>
      <w:r w:rsidR="00100070">
        <w:t xml:space="preserve"> 10а, ал.</w:t>
      </w:r>
      <w:r>
        <w:t xml:space="preserve"> 1 и</w:t>
      </w:r>
      <w:r w:rsidRPr="00EE565B">
        <w:t xml:space="preserve"> </w:t>
      </w:r>
      <w:r w:rsidR="00100070">
        <w:rPr>
          <w:lang w:val="bg-BG"/>
        </w:rPr>
        <w:t xml:space="preserve"> чл. </w:t>
      </w:r>
      <w:r w:rsidRPr="00EE565B">
        <w:t>78 от Закона от 2002 г.)</w:t>
      </w:r>
      <w:r>
        <w:t>.</w:t>
      </w:r>
      <w:r>
        <w:rPr>
          <w:rStyle w:val="FootnoteReference"/>
        </w:rPr>
        <w:footnoteReference w:id="5"/>
      </w:r>
    </w:p>
    <w:bookmarkStart w:id="191" w:name="RLF_PPDA_CPPD_bis"/>
    <w:p w14:paraId="42DA3801" w14:textId="444E6D1A" w:rsidR="00304BC9" w:rsidRPr="00FE3CEB" w:rsidRDefault="000F3485" w:rsidP="00304BC9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92</w:t>
      </w:r>
      <w:r w:rsidRPr="00FE3CEB">
        <w:fldChar w:fldCharType="end"/>
      </w:r>
      <w:bookmarkEnd w:id="191"/>
      <w:r w:rsidR="008C6275">
        <w:t>. </w:t>
      </w:r>
      <w:r w:rsidRPr="00BD28E3">
        <w:t>При осъществяването на този надзор Комисията трябва, наред с другото,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Pr="00BD28E3">
        <w:t xml:space="preserve">) </w:t>
      </w:r>
      <w:r>
        <w:t xml:space="preserve">да разглежда </w:t>
      </w:r>
      <w:r w:rsidRPr="00BD28E3">
        <w:t>жалби, подадени от субектите на данни,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BD28E3">
        <w:t>) да проверява законността на обработката в случаите, в които правото</w:t>
      </w:r>
      <w:r>
        <w:t xml:space="preserve"> на достъп</w:t>
      </w:r>
      <w:r w:rsidRPr="00BD28E3">
        <w:t xml:space="preserve"> на субекта на данни е било ограничено (вж. </w:t>
      </w:r>
      <w:r w:rsidR="000D552C">
        <w:rPr>
          <w:lang w:val="bg-BG"/>
        </w:rPr>
        <w:t xml:space="preserve">§§ </w:t>
      </w:r>
      <w:r w:rsidRPr="002A6221">
        <w:fldChar w:fldCharType="begin"/>
      </w:r>
      <w:r w:rsidRPr="002A6221">
        <w:instrText xml:space="preserve"> REF  RLF_PPDA_right_access_LED_lim \h  \* MERGEFORMAT </w:instrText>
      </w:r>
      <w:r w:rsidRPr="002A6221">
        <w:fldChar w:fldCharType="separate"/>
      </w:r>
      <w:r w:rsidR="00F21D3F">
        <w:t>88</w:t>
      </w:r>
      <w:r w:rsidRPr="002A6221">
        <w:fldChar w:fldCharType="end"/>
      </w:r>
      <w:r w:rsidRPr="00BD28E3">
        <w:t xml:space="preserve"> </w:t>
      </w:r>
      <w:r>
        <w:t>и</w:t>
      </w:r>
      <w:r>
        <w:fldChar w:fldCharType="begin"/>
      </w:r>
      <w:r>
        <w:instrText xml:space="preserve"> REF  RLF_PPDA_right_access_LED_indirect \h  \* MERGEFORMAT </w:instrText>
      </w:r>
      <w:r>
        <w:fldChar w:fldCharType="separate"/>
      </w:r>
      <w:r w:rsidR="00F21D3F">
        <w:t>90</w:t>
      </w:r>
      <w:r>
        <w:fldChar w:fldCharType="end"/>
      </w:r>
      <w:r>
        <w:t xml:space="preserve"> </w:t>
      </w:r>
      <w:r w:rsidRPr="00BD28E3">
        <w:t>по-горе), и (</w:t>
      </w:r>
      <w:r w:rsidR="009178E0">
        <w:fldChar w:fldCharType="begin"/>
      </w:r>
      <w:r w:rsidR="009178E0">
        <w:instrText xml:space="preserve"> SEQ leve</w:instrText>
      </w:r>
      <w:r w:rsidR="009178E0">
        <w:instrText xml:space="preserve">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 w:rsidRPr="00BD28E3">
        <w:t xml:space="preserve">) да информира субекта на данните в срок от три месеца за резултата от </w:t>
      </w:r>
      <w:r>
        <w:t xml:space="preserve">тази </w:t>
      </w:r>
      <w:r w:rsidRPr="00BD28E3">
        <w:t>проверка или за причините</w:t>
      </w:r>
      <w:r>
        <w:t xml:space="preserve">, поради които тя </w:t>
      </w:r>
      <w:r w:rsidRPr="00BD28E3">
        <w:t xml:space="preserve">не </w:t>
      </w:r>
      <w:r>
        <w:t xml:space="preserve">е </w:t>
      </w:r>
      <w:r w:rsidRPr="00BD28E3">
        <w:t>била извършена (член 57</w:t>
      </w:r>
      <w:r>
        <w:t xml:space="preserve">, </w:t>
      </w:r>
      <w:r w:rsidR="000D552C">
        <w:rPr>
          <w:lang w:val="bg-BG"/>
        </w:rPr>
        <w:t>ал.</w:t>
      </w:r>
      <w:r>
        <w:t>1</w:t>
      </w:r>
      <w:r w:rsidRPr="00BD28E3">
        <w:t xml:space="preserve">, буква е) от </w:t>
      </w:r>
      <w:r w:rsidR="006114E1">
        <w:t>GDPR</w:t>
      </w:r>
      <w:r w:rsidRPr="00BD28E3">
        <w:t xml:space="preserve"> и </w:t>
      </w:r>
      <w:r w:rsidR="000D552C">
        <w:rPr>
          <w:lang w:val="bg-BG"/>
        </w:rPr>
        <w:t>чл.</w:t>
      </w:r>
      <w:r w:rsidRPr="00BD28E3">
        <w:t xml:space="preserve"> 79, </w:t>
      </w:r>
      <w:r w:rsidR="000D552C">
        <w:rPr>
          <w:lang w:val="bg-BG"/>
        </w:rPr>
        <w:t>ал.</w:t>
      </w:r>
      <w:r w:rsidRPr="00BD28E3">
        <w:t xml:space="preserve"> 1, точки 5 и 6 от Закона от 2002 г., с който са транспонирани член 46</w:t>
      </w:r>
      <w:r>
        <w:t xml:space="preserve">, </w:t>
      </w:r>
      <w:r w:rsidRPr="00BD28E3">
        <w:t xml:space="preserve">параграф 1, букви е) и ж) от Директивата за </w:t>
      </w:r>
      <w:r w:rsidR="00A2595A">
        <w:rPr>
          <w:lang w:val="bg-BG"/>
        </w:rPr>
        <w:t>правоприлагането</w:t>
      </w:r>
      <w:r w:rsidRPr="00BD28E3">
        <w:t>)</w:t>
      </w:r>
      <w:r>
        <w:t>.</w:t>
      </w:r>
    </w:p>
    <w:bookmarkStart w:id="192" w:name="RLF_PPDA_CPPD_ter"/>
    <w:p w14:paraId="48A353A2" w14:textId="33237052" w:rsidR="00304BC9" w:rsidRPr="006533EE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93</w:t>
      </w:r>
      <w:r w:rsidRPr="00FE3CEB">
        <w:fldChar w:fldCharType="end"/>
      </w:r>
      <w:bookmarkEnd w:id="192"/>
      <w:r w:rsidR="008C6275">
        <w:rPr>
          <w:lang w:val="bg-BG"/>
        </w:rPr>
        <w:t xml:space="preserve">. </w:t>
      </w:r>
      <w:r w:rsidRPr="006533EE">
        <w:rPr>
          <w:lang w:val="bg-BG"/>
        </w:rPr>
        <w:t>При надзора върху обработката на данни за целите на правоприлагането тази комисия може да получи от администратора или обработващия лични данни достъп до (</w:t>
      </w:r>
      <w:r w:rsidR="003F68C2">
        <w:fldChar w:fldCharType="begin"/>
      </w:r>
      <w:r w:rsidR="003F68C2" w:rsidRPr="006533EE">
        <w:rPr>
          <w:lang w:val="bg-BG"/>
        </w:rPr>
        <w:instrText xml:space="preserve"> </w:instrText>
      </w:r>
      <w:r w:rsidR="003F68C2">
        <w:instrText>SEQ</w:instrText>
      </w:r>
      <w:r w:rsidR="003F68C2" w:rsidRPr="006533EE">
        <w:rPr>
          <w:lang w:val="bg-BG"/>
        </w:rPr>
        <w:instrText xml:space="preserve"> </w:instrText>
      </w:r>
      <w:r w:rsidR="003F68C2">
        <w:instrText>level</w:instrText>
      </w:r>
      <w:r w:rsidR="003F68C2" w:rsidRPr="006533EE">
        <w:rPr>
          <w:lang w:val="bg-BG"/>
        </w:rPr>
        <w:instrText>1 \*</w:instrText>
      </w:r>
      <w:r w:rsidR="003F68C2">
        <w:instrText>alphabetic</w:instrText>
      </w:r>
      <w:r w:rsidR="003F68C2" w:rsidRPr="006533EE">
        <w:rPr>
          <w:lang w:val="bg-BG"/>
        </w:rPr>
        <w:instrText xml:space="preserve"> \</w:instrText>
      </w:r>
      <w:r w:rsidR="003F68C2">
        <w:instrText>r</w:instrText>
      </w:r>
      <w:r w:rsidR="003F68C2" w:rsidRPr="006533EE">
        <w:rPr>
          <w:lang w:val="bg-BG"/>
        </w:rPr>
        <w:instrText xml:space="preserve">1 \* </w:instrText>
      </w:r>
      <w:r w:rsidR="003F68C2">
        <w:instrText>MERGEFORMAT</w:instrText>
      </w:r>
      <w:r w:rsidR="003F68C2" w:rsidRPr="006533EE">
        <w:rPr>
          <w:lang w:val="bg-BG"/>
        </w:rPr>
        <w:instrText xml:space="preserve"> </w:instrText>
      </w:r>
      <w:r w:rsidR="003F68C2">
        <w:fldChar w:fldCharType="separate"/>
      </w:r>
      <w:r w:rsidR="00F21D3F" w:rsidRPr="006533EE">
        <w:rPr>
          <w:noProof/>
          <w:lang w:val="bg-BG"/>
        </w:rPr>
        <w:t>а</w:t>
      </w:r>
      <w:r w:rsidR="003F68C2">
        <w:rPr>
          <w:noProof/>
        </w:rPr>
        <w:fldChar w:fldCharType="end"/>
      </w:r>
      <w:r w:rsidRPr="006533EE">
        <w:rPr>
          <w:lang w:val="bg-BG"/>
        </w:rPr>
        <w:t>) всички лични данни, които се обработват, и (</w:t>
      </w:r>
      <w:r w:rsidR="003F68C2">
        <w:fldChar w:fldCharType="begin"/>
      </w:r>
      <w:r w:rsidR="003F68C2" w:rsidRPr="006533EE">
        <w:rPr>
          <w:lang w:val="bg-BG"/>
        </w:rPr>
        <w:instrText xml:space="preserve"> </w:instrText>
      </w:r>
      <w:r w:rsidR="003F68C2">
        <w:instrText>SEQ</w:instrText>
      </w:r>
      <w:r w:rsidR="003F68C2" w:rsidRPr="006533EE">
        <w:rPr>
          <w:lang w:val="bg-BG"/>
        </w:rPr>
        <w:instrText xml:space="preserve"> </w:instrText>
      </w:r>
      <w:r w:rsidR="003F68C2">
        <w:instrText>level</w:instrText>
      </w:r>
      <w:r w:rsidR="003F68C2" w:rsidRPr="006533EE">
        <w:rPr>
          <w:lang w:val="bg-BG"/>
        </w:rPr>
        <w:instrText>1 \*</w:instrText>
      </w:r>
      <w:r w:rsidR="003F68C2">
        <w:instrText>alphabetic</w:instrText>
      </w:r>
      <w:r w:rsidR="003F68C2" w:rsidRPr="006533EE">
        <w:rPr>
          <w:lang w:val="bg-BG"/>
        </w:rPr>
        <w:instrText xml:space="preserve"> \* </w:instrText>
      </w:r>
      <w:r w:rsidR="003F68C2">
        <w:instrText>MERGEFORMAT</w:instrText>
      </w:r>
      <w:r w:rsidR="003F68C2" w:rsidRPr="006533EE">
        <w:rPr>
          <w:lang w:val="bg-BG"/>
        </w:rPr>
        <w:instrText xml:space="preserve"> </w:instrText>
      </w:r>
      <w:r w:rsidR="003F68C2">
        <w:fldChar w:fldCharType="separate"/>
      </w:r>
      <w:r w:rsidR="00F21D3F" w:rsidRPr="006533EE">
        <w:rPr>
          <w:noProof/>
          <w:lang w:val="bg-BG"/>
        </w:rPr>
        <w:t>б</w:t>
      </w:r>
      <w:r w:rsidR="003F68C2">
        <w:rPr>
          <w:noProof/>
        </w:rPr>
        <w:fldChar w:fldCharType="end"/>
      </w:r>
      <w:r w:rsidRPr="006533EE">
        <w:rPr>
          <w:lang w:val="bg-BG"/>
        </w:rPr>
        <w:t>) цялата информация, необходима за изпълнението на нейните задачи (</w:t>
      </w:r>
      <w:r w:rsidR="006533EE">
        <w:rPr>
          <w:lang w:val="bg-BG"/>
        </w:rPr>
        <w:t>чл.</w:t>
      </w:r>
      <w:r w:rsidRPr="006533EE">
        <w:rPr>
          <w:lang w:val="bg-BG"/>
        </w:rPr>
        <w:t xml:space="preserve"> 80, </w:t>
      </w:r>
      <w:r w:rsidR="006533EE">
        <w:rPr>
          <w:lang w:val="bg-BG"/>
        </w:rPr>
        <w:t>ал.</w:t>
      </w:r>
      <w:r w:rsidRPr="006533EE">
        <w:rPr>
          <w:lang w:val="bg-BG"/>
        </w:rPr>
        <w:t xml:space="preserve"> 1, точки 1 и 2 от Закона от 2002 г., с който е транспониран член 47, параграф 1 от </w:t>
      </w:r>
      <w:r w:rsidR="008C6275" w:rsidRPr="006533EE">
        <w:rPr>
          <w:lang w:val="bg-BG"/>
        </w:rPr>
        <w:t>Директивата за правоприлагането</w:t>
      </w:r>
      <w:r w:rsidRPr="006533EE">
        <w:rPr>
          <w:lang w:val="bg-BG"/>
        </w:rPr>
        <w:t>).</w:t>
      </w:r>
    </w:p>
    <w:bookmarkStart w:id="193" w:name="RLF_PPDA_CPPD_quater"/>
    <w:p w14:paraId="3CCC3C74" w14:textId="6BDDB6D0" w:rsidR="00304BC9" w:rsidRPr="002F2B60" w:rsidRDefault="000F3485" w:rsidP="00A91E18">
      <w:pPr>
        <w:pStyle w:val="JuPara"/>
        <w:rPr>
          <w:lang w:val="bg-BG"/>
        </w:rPr>
      </w:pPr>
      <w:r w:rsidRPr="00FE3CEB">
        <w:fldChar w:fldCharType="begin"/>
      </w:r>
      <w:r w:rsidRPr="00290A54">
        <w:rPr>
          <w:lang w:val="bg-BG"/>
        </w:rPr>
        <w:instrText xml:space="preserve"> </w:instrText>
      </w:r>
      <w:r w:rsidRPr="00FE3CEB">
        <w:instrText>SEQ</w:instrText>
      </w:r>
      <w:r w:rsidRPr="00290A54">
        <w:rPr>
          <w:lang w:val="bg-BG"/>
        </w:rPr>
        <w:instrText xml:space="preserve"> </w:instrText>
      </w:r>
      <w:r w:rsidRPr="00FE3CEB">
        <w:instrText>level</w:instrText>
      </w:r>
      <w:r w:rsidRPr="00290A54">
        <w:rPr>
          <w:lang w:val="bg-BG"/>
        </w:rPr>
        <w:instrText>0 \*</w:instrText>
      </w:r>
      <w:r w:rsidRPr="00FE3CEB">
        <w:instrText>arabic</w:instrText>
      </w:r>
      <w:r w:rsidRPr="00290A54">
        <w:rPr>
          <w:lang w:val="bg-BG"/>
        </w:rPr>
        <w:instrText xml:space="preserve"> \* </w:instrText>
      </w:r>
      <w:r w:rsidRPr="00FE3CEB">
        <w:instrText>MERGEFORMAT</w:instrText>
      </w:r>
      <w:r w:rsidRPr="00290A54">
        <w:rPr>
          <w:lang w:val="bg-BG"/>
        </w:rPr>
        <w:instrText xml:space="preserve"> </w:instrText>
      </w:r>
      <w:r w:rsidRPr="00FE3CEB">
        <w:fldChar w:fldCharType="separate"/>
      </w:r>
      <w:r w:rsidR="00F21D3F" w:rsidRPr="00290A54">
        <w:rPr>
          <w:noProof/>
          <w:lang w:val="bg-BG"/>
        </w:rPr>
        <w:t>94</w:t>
      </w:r>
      <w:r w:rsidRPr="00FE3CEB">
        <w:fldChar w:fldCharType="end"/>
      </w:r>
      <w:bookmarkEnd w:id="193"/>
      <w:r w:rsidR="008C6275" w:rsidRPr="00290A54">
        <w:rPr>
          <w:lang w:val="bg-BG"/>
        </w:rPr>
        <w:t>.</w:t>
      </w:r>
      <w:r w:rsidR="008C6275">
        <w:t> </w:t>
      </w:r>
      <w:r w:rsidRPr="00290A54">
        <w:rPr>
          <w:lang w:val="bg-BG"/>
        </w:rPr>
        <w:t>При надзора върху обработката на данни за целите на правоприлагането тази комисия може (</w:t>
      </w:r>
      <w:r w:rsidR="00290A54">
        <w:fldChar w:fldCharType="begin"/>
      </w:r>
      <w:r w:rsidR="00290A54" w:rsidRPr="00290A54">
        <w:rPr>
          <w:lang w:val="bg-BG"/>
        </w:rPr>
        <w:instrText xml:space="preserve"> </w:instrText>
      </w:r>
      <w:r w:rsidR="00290A54">
        <w:instrText>SEQ</w:instrText>
      </w:r>
      <w:r w:rsidR="00290A54" w:rsidRPr="00290A54">
        <w:rPr>
          <w:lang w:val="bg-BG"/>
        </w:rPr>
        <w:instrText xml:space="preserve"> </w:instrText>
      </w:r>
      <w:r w:rsidR="00290A54">
        <w:instrText>level</w:instrText>
      </w:r>
      <w:r w:rsidR="00290A54" w:rsidRPr="00290A54">
        <w:rPr>
          <w:lang w:val="bg-BG"/>
        </w:rPr>
        <w:instrText>1 \*</w:instrText>
      </w:r>
      <w:r w:rsidR="00290A54">
        <w:instrText>alphabetic</w:instrText>
      </w:r>
      <w:r w:rsidR="00290A54" w:rsidRPr="00290A54">
        <w:rPr>
          <w:lang w:val="bg-BG"/>
        </w:rPr>
        <w:instrText xml:space="preserve"> \</w:instrText>
      </w:r>
      <w:r w:rsidR="00290A54">
        <w:instrText>r</w:instrText>
      </w:r>
      <w:r w:rsidR="00290A54" w:rsidRPr="00290A54">
        <w:rPr>
          <w:lang w:val="bg-BG"/>
        </w:rPr>
        <w:instrText xml:space="preserve">1 \* </w:instrText>
      </w:r>
      <w:r w:rsidR="00290A54">
        <w:instrText>MERGEFORMAT</w:instrText>
      </w:r>
      <w:r w:rsidR="00290A54" w:rsidRPr="00290A54">
        <w:rPr>
          <w:lang w:val="bg-BG"/>
        </w:rPr>
        <w:instrText xml:space="preserve"> </w:instrText>
      </w:r>
      <w:r w:rsidR="00290A54">
        <w:fldChar w:fldCharType="separate"/>
      </w:r>
      <w:r w:rsidR="00F21D3F" w:rsidRPr="00290A54">
        <w:rPr>
          <w:noProof/>
          <w:lang w:val="bg-BG"/>
        </w:rPr>
        <w:t>а</w:t>
      </w:r>
      <w:r w:rsidR="00290A54">
        <w:rPr>
          <w:noProof/>
        </w:rPr>
        <w:fldChar w:fldCharType="end"/>
      </w:r>
      <w:r w:rsidRPr="00290A54">
        <w:rPr>
          <w:lang w:val="bg-BG"/>
        </w:rPr>
        <w:t xml:space="preserve">) да разпореди на администратора или обработващия лични данни да приведе операциите по обработка в съответствие със съответната част от Закона от 2002 г. </w:t>
      </w:r>
      <w:r w:rsidR="00784F08" w:rsidRPr="00290A54">
        <w:rPr>
          <w:lang w:val="bg-BG"/>
        </w:rPr>
        <w:t>–</w:t>
      </w:r>
      <w:r w:rsidRPr="00290A54">
        <w:rPr>
          <w:lang w:val="bg-BG"/>
        </w:rPr>
        <w:t xml:space="preserve"> </w:t>
      </w:r>
      <w:r w:rsidRPr="00290A54">
        <w:rPr>
          <w:lang w:val="bg-BG"/>
        </w:rPr>
        <w:lastRenderedPageBreak/>
        <w:t>по</w:t>
      </w:r>
      <w:r w:rsidR="00784F08">
        <w:rPr>
          <w:lang w:val="bg-BG"/>
        </w:rPr>
        <w:t xml:space="preserve"> </w:t>
      </w:r>
      <w:r w:rsidRPr="00784F08">
        <w:rPr>
          <w:lang w:val="bg-BG"/>
        </w:rPr>
        <w:t>-специално като разпореди коригиране или изтриване на лични данни или ограничаване на</w:t>
      </w:r>
      <w:r w:rsidR="00244338">
        <w:rPr>
          <w:lang w:val="bg-BG"/>
        </w:rPr>
        <w:t xml:space="preserve"> тяхната обработка съгласно чл.</w:t>
      </w:r>
      <w:r w:rsidRPr="00784F08">
        <w:rPr>
          <w:lang w:val="bg-BG"/>
        </w:rPr>
        <w:t xml:space="preserve"> 56 от Закона, и (</w:t>
      </w:r>
      <w:r w:rsidR="003F68C2">
        <w:fldChar w:fldCharType="begin"/>
      </w:r>
      <w:r w:rsidR="003F68C2" w:rsidRPr="00784F08">
        <w:rPr>
          <w:lang w:val="bg-BG"/>
        </w:rPr>
        <w:instrText xml:space="preserve"> </w:instrText>
      </w:r>
      <w:r w:rsidR="003F68C2">
        <w:instrText>SEQ</w:instrText>
      </w:r>
      <w:r w:rsidR="003F68C2" w:rsidRPr="00784F08">
        <w:rPr>
          <w:lang w:val="bg-BG"/>
        </w:rPr>
        <w:instrText xml:space="preserve"> </w:instrText>
      </w:r>
      <w:r w:rsidR="003F68C2">
        <w:instrText>level</w:instrText>
      </w:r>
      <w:r w:rsidR="003F68C2" w:rsidRPr="00784F08">
        <w:rPr>
          <w:lang w:val="bg-BG"/>
        </w:rPr>
        <w:instrText>1 \*</w:instrText>
      </w:r>
      <w:r w:rsidR="003F68C2">
        <w:instrText>alphabetic</w:instrText>
      </w:r>
      <w:r w:rsidR="003F68C2" w:rsidRPr="00784F08">
        <w:rPr>
          <w:lang w:val="bg-BG"/>
        </w:rPr>
        <w:instrText xml:space="preserve"> \* </w:instrText>
      </w:r>
      <w:r w:rsidR="003F68C2">
        <w:instrText>MERGEFORMAT</w:instrText>
      </w:r>
      <w:r w:rsidR="003F68C2" w:rsidRPr="00784F08">
        <w:rPr>
          <w:lang w:val="bg-BG"/>
        </w:rPr>
        <w:instrText xml:space="preserve"> </w:instrText>
      </w:r>
      <w:r w:rsidR="003F68C2">
        <w:fldChar w:fldCharType="separate"/>
      </w:r>
      <w:r w:rsidR="00F21D3F" w:rsidRPr="00784F08">
        <w:rPr>
          <w:noProof/>
          <w:lang w:val="bg-BG"/>
        </w:rPr>
        <w:t>б</w:t>
      </w:r>
      <w:r w:rsidR="003F68C2">
        <w:rPr>
          <w:noProof/>
        </w:rPr>
        <w:fldChar w:fldCharType="end"/>
      </w:r>
      <w:r w:rsidRPr="00784F08">
        <w:rPr>
          <w:lang w:val="bg-BG"/>
        </w:rPr>
        <w:t>) да наложи временно или окончателно ограничение, включително з</w:t>
      </w:r>
      <w:r w:rsidR="00244338">
        <w:rPr>
          <w:lang w:val="bg-BG"/>
        </w:rPr>
        <w:t>абрана, върху обработката (чл.</w:t>
      </w:r>
      <w:r w:rsidRPr="00784F08">
        <w:rPr>
          <w:lang w:val="bg-BG"/>
        </w:rPr>
        <w:t xml:space="preserve"> 80</w:t>
      </w:r>
      <w:r w:rsidR="008E3764">
        <w:rPr>
          <w:lang w:val="bg-BG"/>
        </w:rPr>
        <w:t xml:space="preserve">, ал. 1 и 3 </w:t>
      </w:r>
      <w:r w:rsidRPr="00784F08">
        <w:rPr>
          <w:lang w:val="bg-BG"/>
        </w:rPr>
        <w:t xml:space="preserve">и </w:t>
      </w:r>
      <w:r w:rsidR="008E3764">
        <w:rPr>
          <w:lang w:val="bg-BG"/>
        </w:rPr>
        <w:t>1 и 4</w:t>
      </w:r>
      <w:r w:rsidRPr="00784F08">
        <w:rPr>
          <w:lang w:val="bg-BG"/>
        </w:rPr>
        <w:t xml:space="preserve"> от Закона от 2002 г., с който са транспонирани член 47, параграф 2, букви б) и в) от </w:t>
      </w:r>
      <w:r w:rsidR="008E3764" w:rsidRPr="008E3764">
        <w:rPr>
          <w:lang w:val="bg-BG"/>
        </w:rPr>
        <w:t>Директивата за правоприлагането</w:t>
      </w:r>
      <w:r w:rsidRPr="00784F08">
        <w:rPr>
          <w:lang w:val="bg-BG"/>
        </w:rPr>
        <w:t xml:space="preserve">). </w:t>
      </w:r>
      <w:r w:rsidRPr="00290A54">
        <w:rPr>
          <w:lang w:val="bg-BG"/>
        </w:rPr>
        <w:t xml:space="preserve">Комисията е упражнила тези правомощия най-малко три пъти по отношение на Министерството на вътрешните работи (вж. </w:t>
      </w:r>
      <w:r w:rsidRPr="003A25A2">
        <w:rPr>
          <w:i/>
          <w:iCs/>
          <w:lang w:val="bg-BG"/>
        </w:rPr>
        <w:t>реш. № ППН-01-482/2020 от 10.05.2021 г., КЗЛД</w:t>
      </w:r>
      <w:r w:rsidRPr="00CD41A0">
        <w:rPr>
          <w:lang w:val="ru-RU"/>
        </w:rPr>
        <w:t xml:space="preserve">; </w:t>
      </w:r>
      <w:r w:rsidRPr="00713A4D">
        <w:rPr>
          <w:i/>
          <w:iCs/>
          <w:lang w:val="bg-BG"/>
        </w:rPr>
        <w:t>реш. № ППН-01-361/2021 от 18.01.2022 г., КЗЛД</w:t>
      </w:r>
      <w:r w:rsidRPr="00CD41A0">
        <w:rPr>
          <w:lang w:val="ru-RU"/>
        </w:rPr>
        <w:t xml:space="preserve">; </w:t>
      </w:r>
      <w:r w:rsidRPr="002F2B60">
        <w:rPr>
          <w:lang w:val="bg-BG"/>
        </w:rPr>
        <w:t xml:space="preserve">и </w:t>
      </w:r>
      <w:r w:rsidRPr="003265B6">
        <w:rPr>
          <w:i/>
          <w:iCs/>
          <w:lang w:val="bg-BG"/>
        </w:rPr>
        <w:t>реш.</w:t>
      </w:r>
      <w:r w:rsidR="00866C7F" w:rsidRPr="002F2B60">
        <w:rPr>
          <w:i/>
          <w:iCs/>
          <w:lang w:val="bg-BG"/>
        </w:rPr>
        <w:t xml:space="preserve"> </w:t>
      </w:r>
      <w:r w:rsidRPr="003265B6">
        <w:rPr>
          <w:i/>
          <w:iCs/>
          <w:lang w:val="bg-BG"/>
        </w:rPr>
        <w:t>№ ППН 01-350/2021 от 17.03.2022 г., КЗЛД</w:t>
      </w:r>
      <w:r w:rsidRPr="002F2B60">
        <w:rPr>
          <w:lang w:val="bg-BG"/>
        </w:rPr>
        <w:t>).</w:t>
      </w:r>
    </w:p>
    <w:bookmarkStart w:id="194" w:name="RLF_PPDA_CPPD_quinquies"/>
    <w:p w14:paraId="0237F660" w14:textId="62CC575C" w:rsidR="00304BC9" w:rsidRPr="002F2B60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2F2B60">
        <w:rPr>
          <w:lang w:val="bg-BG"/>
        </w:rPr>
        <w:instrText xml:space="preserve"> </w:instrText>
      </w:r>
      <w:r w:rsidRPr="00FE3CEB">
        <w:instrText>SEQ</w:instrText>
      </w:r>
      <w:r w:rsidRPr="002F2B60">
        <w:rPr>
          <w:lang w:val="bg-BG"/>
        </w:rPr>
        <w:instrText xml:space="preserve"> </w:instrText>
      </w:r>
      <w:r w:rsidRPr="00FE3CEB">
        <w:instrText>level</w:instrText>
      </w:r>
      <w:r w:rsidRPr="002F2B60">
        <w:rPr>
          <w:lang w:val="bg-BG"/>
        </w:rPr>
        <w:instrText>0 \*</w:instrText>
      </w:r>
      <w:r w:rsidRPr="00FE3CEB">
        <w:instrText>arabic</w:instrText>
      </w:r>
      <w:r w:rsidRPr="002F2B60">
        <w:rPr>
          <w:lang w:val="bg-BG"/>
        </w:rPr>
        <w:instrText xml:space="preserve"> \* </w:instrText>
      </w:r>
      <w:r w:rsidRPr="00FE3CEB">
        <w:instrText>MERGEFORMAT</w:instrText>
      </w:r>
      <w:r w:rsidRPr="002F2B60">
        <w:rPr>
          <w:lang w:val="bg-BG"/>
        </w:rPr>
        <w:instrText xml:space="preserve"> </w:instrText>
      </w:r>
      <w:r w:rsidRPr="00FE3CEB">
        <w:fldChar w:fldCharType="separate"/>
      </w:r>
      <w:r w:rsidR="00F21D3F" w:rsidRPr="002F2B60">
        <w:rPr>
          <w:noProof/>
          <w:lang w:val="bg-BG"/>
        </w:rPr>
        <w:t>95</w:t>
      </w:r>
      <w:r w:rsidRPr="00FE3CEB">
        <w:fldChar w:fldCharType="end"/>
      </w:r>
      <w:bookmarkEnd w:id="194"/>
      <w:r w:rsidR="008C6275" w:rsidRPr="002F2B60">
        <w:rPr>
          <w:lang w:val="bg-BG"/>
        </w:rPr>
        <w:t>.</w:t>
      </w:r>
      <w:r w:rsidR="008C6275">
        <w:t> </w:t>
      </w:r>
      <w:r w:rsidRPr="002F2B60">
        <w:rPr>
          <w:lang w:val="bg-BG"/>
        </w:rPr>
        <w:t>Тази комисия може също така да доведе до знанието на съдилищата нарушения на съответната част от Закона от 2002 г. (</w:t>
      </w:r>
      <w:r w:rsidR="00244338">
        <w:rPr>
          <w:lang w:val="bg-BG"/>
        </w:rPr>
        <w:t>чл. 80, ал.</w:t>
      </w:r>
      <w:r w:rsidRPr="002F2B60">
        <w:rPr>
          <w:lang w:val="bg-BG"/>
        </w:rPr>
        <w:t xml:space="preserve"> 3 от Закона от 2002 г., който транспонира член 47, параграф 5 от </w:t>
      </w:r>
      <w:r w:rsidR="00244338" w:rsidRPr="00244338">
        <w:rPr>
          <w:lang w:val="bg-BG"/>
        </w:rPr>
        <w:t>Директивата за правоприлагането</w:t>
      </w:r>
      <w:r w:rsidRPr="002F2B60">
        <w:rPr>
          <w:lang w:val="bg-BG"/>
        </w:rPr>
        <w:t>).</w:t>
      </w:r>
    </w:p>
    <w:bookmarkStart w:id="195" w:name="RLF_PPDA_CPPD_sexies_annual_reports"/>
    <w:p w14:paraId="37F3783F" w14:textId="0F005CCA" w:rsidR="00304BC9" w:rsidRPr="002F2B60" w:rsidRDefault="000F3485" w:rsidP="00304BC9">
      <w:pPr>
        <w:pStyle w:val="JuPara"/>
        <w:rPr>
          <w:lang w:val="bg-BG"/>
        </w:rPr>
      </w:pPr>
      <w:r w:rsidRPr="00FE3CEB">
        <w:fldChar w:fldCharType="begin"/>
      </w:r>
      <w:r w:rsidRPr="002F2B60">
        <w:rPr>
          <w:lang w:val="bg-BG"/>
        </w:rPr>
        <w:instrText xml:space="preserve"> </w:instrText>
      </w:r>
      <w:r w:rsidRPr="00FE3CEB">
        <w:instrText>SEQ</w:instrText>
      </w:r>
      <w:r w:rsidRPr="002F2B60">
        <w:rPr>
          <w:lang w:val="bg-BG"/>
        </w:rPr>
        <w:instrText xml:space="preserve"> </w:instrText>
      </w:r>
      <w:r w:rsidRPr="00FE3CEB">
        <w:instrText>level</w:instrText>
      </w:r>
      <w:r w:rsidRPr="002F2B60">
        <w:rPr>
          <w:lang w:val="bg-BG"/>
        </w:rPr>
        <w:instrText>0 \*</w:instrText>
      </w:r>
      <w:r w:rsidRPr="00FE3CEB">
        <w:instrText>arabic</w:instrText>
      </w:r>
      <w:r w:rsidRPr="002F2B60">
        <w:rPr>
          <w:lang w:val="bg-BG"/>
        </w:rPr>
        <w:instrText xml:space="preserve"> \* </w:instrText>
      </w:r>
      <w:r w:rsidRPr="00FE3CEB">
        <w:instrText>MERGEFORMAT</w:instrText>
      </w:r>
      <w:r w:rsidRPr="002F2B60">
        <w:rPr>
          <w:lang w:val="bg-BG"/>
        </w:rPr>
        <w:instrText xml:space="preserve"> </w:instrText>
      </w:r>
      <w:r w:rsidRPr="00FE3CEB">
        <w:fldChar w:fldCharType="separate"/>
      </w:r>
      <w:r w:rsidR="00F21D3F" w:rsidRPr="002F2B60">
        <w:rPr>
          <w:noProof/>
          <w:lang w:val="bg-BG"/>
        </w:rPr>
        <w:t>96</w:t>
      </w:r>
      <w:r w:rsidRPr="00FE3CEB">
        <w:fldChar w:fldCharType="end"/>
      </w:r>
      <w:bookmarkEnd w:id="195"/>
      <w:r w:rsidR="008C6275" w:rsidRPr="002F2B60">
        <w:rPr>
          <w:lang w:val="bg-BG"/>
        </w:rPr>
        <w:t>.</w:t>
      </w:r>
      <w:r w:rsidR="008C6275">
        <w:t> </w:t>
      </w:r>
      <w:r w:rsidRPr="002F2B60">
        <w:rPr>
          <w:lang w:val="bg-BG"/>
        </w:rPr>
        <w:t>В годишния си доклад за 2009 г. Комисията отбелязва на страница 28, че е сключила споразумение за сътрудничество с Агенцията с цел постигане на по-тясно сътрудничество между двете институции в областта на защитата на личните данни (в духа на взаимно зачитане на независимостта и съответните сфери на компетентност</w:t>
      </w:r>
      <w:r w:rsidR="003778B8">
        <w:rPr>
          <w:lang w:val="bg-BG"/>
        </w:rPr>
        <w:t>); това сътрудничество обхваща</w:t>
      </w:r>
      <w:r w:rsidRPr="002F2B60">
        <w:rPr>
          <w:lang w:val="bg-BG"/>
        </w:rPr>
        <w:t xml:space="preserve"> координацията, обмена, съхранението и използването на данни и информация, както и създаването на съвместни работни групи и предоставянето на експертна или техническа помощ. Комисията също така отбеляз</w:t>
      </w:r>
      <w:r w:rsidR="00634F8C">
        <w:rPr>
          <w:lang w:val="bg-BG"/>
        </w:rPr>
        <w:t>в</w:t>
      </w:r>
      <w:r w:rsidRPr="002F2B60">
        <w:rPr>
          <w:lang w:val="bg-BG"/>
        </w:rPr>
        <w:t xml:space="preserve">а, </w:t>
      </w:r>
      <w:r w:rsidRPr="002F2B60">
        <w:rPr>
          <w:i/>
          <w:iCs/>
          <w:lang w:val="bg-BG"/>
        </w:rPr>
        <w:t>в края на</w:t>
      </w:r>
      <w:r w:rsidRPr="002F2B60">
        <w:rPr>
          <w:lang w:val="bg-BG"/>
        </w:rPr>
        <w:t xml:space="preserve"> страница 35, че е на път да приключи одит на Агенцията във връзка с подготовката за бъдещото внедряване на Шенгенската информационна система. В годишния си доклад за 2010 г. Комисията отбеляз</w:t>
      </w:r>
      <w:r w:rsidR="00634F8C">
        <w:rPr>
          <w:lang w:val="bg-BG"/>
        </w:rPr>
        <w:t>в</w:t>
      </w:r>
      <w:r w:rsidRPr="002F2B60">
        <w:rPr>
          <w:lang w:val="bg-BG"/>
        </w:rPr>
        <w:t>а на страница 38, че е продължила сътрудничеството си с Агенцията съгласно споразумението, сключено през 2009 г. В годишния си доклад за 2015 г. Комисията се позова</w:t>
      </w:r>
      <w:r w:rsidR="00610518">
        <w:rPr>
          <w:lang w:val="bg-BG"/>
        </w:rPr>
        <w:t>ва</w:t>
      </w:r>
      <w:r w:rsidRPr="002F2B60">
        <w:rPr>
          <w:lang w:val="bg-BG"/>
        </w:rPr>
        <w:t xml:space="preserve"> на страници 42</w:t>
      </w:r>
      <w:r w:rsidR="002F1D0B">
        <w:rPr>
          <w:lang w:val="bg-BG"/>
        </w:rPr>
        <w:t>-</w:t>
      </w:r>
      <w:r w:rsidRPr="002F2B60">
        <w:rPr>
          <w:lang w:val="bg-BG"/>
        </w:rPr>
        <w:t>43 на проверка на частна фондация, която е извършила съвместно с други органи, включително Агенцията. В годишния си доклад за 2016 г. Комисията споменава на страници 98</w:t>
      </w:r>
      <w:r w:rsidR="002F1D0B">
        <w:rPr>
          <w:lang w:val="bg-BG"/>
        </w:rPr>
        <w:t>-</w:t>
      </w:r>
      <w:r w:rsidRPr="002F2B60">
        <w:rPr>
          <w:lang w:val="bg-BG"/>
        </w:rPr>
        <w:t>99 сътрудничеството си с Агенцията по отношение на транспонирането на ново законодателство (например относно създаването на нов</w:t>
      </w:r>
      <w:r w:rsidR="00610518">
        <w:rPr>
          <w:lang w:val="bg-BG"/>
        </w:rPr>
        <w:t xml:space="preserve"> отдел</w:t>
      </w:r>
      <w:r w:rsidRPr="002F2B60">
        <w:rPr>
          <w:lang w:val="bg-BG"/>
        </w:rPr>
        <w:t xml:space="preserve"> за финансово разузнаване в рамките на Агенцията) и международното сътрудничество. В нито един от годишните си доклади за периода 2009–2013 г. Комисията не е споменавала никакви проверки, които е извършила в Агенцията, освен гореспоменатия одит от 2009 г., свързан с бъдещото внедряване на Шенгенската информационна система.</w:t>
      </w:r>
    </w:p>
    <w:p w14:paraId="1258EBA6" w14:textId="77777777" w:rsidR="00304BC9" w:rsidRPr="00FE3CEB" w:rsidRDefault="00145B17" w:rsidP="00304BC9">
      <w:pPr>
        <w:pStyle w:val="JuHA"/>
      </w:pPr>
      <w:bookmarkStart w:id="196" w:name="_Toc175304755"/>
      <w:bookmarkStart w:id="197" w:name="_Toc232688286"/>
      <w:r>
        <w:rPr>
          <w:lang w:val="bg-BG"/>
        </w:rPr>
        <w:t>Правни средства за</w:t>
      </w:r>
      <w:r w:rsidR="000F3485" w:rsidRPr="00FE3CEB">
        <w:t xml:space="preserve"> защита</w:t>
      </w:r>
      <w:bookmarkEnd w:id="196"/>
      <w:bookmarkEnd w:id="197"/>
    </w:p>
    <w:p w14:paraId="7854F2DA" w14:textId="1A1A4448" w:rsidR="00304BC9" w:rsidRPr="00FE3CEB" w:rsidRDefault="000F3485" w:rsidP="00304BC9">
      <w:pPr>
        <w:pStyle w:val="JuH1"/>
      </w:pPr>
      <w:bookmarkStart w:id="198" w:name="_Toc175304756"/>
      <w:bookmarkStart w:id="199" w:name="_Toc232688287"/>
      <w:r w:rsidRPr="00FE3CEB">
        <w:t xml:space="preserve">По отношение на обработката, попадаща в обхвата на </w:t>
      </w:r>
      <w:bookmarkEnd w:id="198"/>
      <w:r w:rsidR="00611867" w:rsidRPr="00611867">
        <w:t>GDPR</w:t>
      </w:r>
      <w:bookmarkEnd w:id="199"/>
    </w:p>
    <w:bookmarkStart w:id="200" w:name="RLF_PPDA_remedies_GDPR_1"/>
    <w:p w14:paraId="6DF59432" w14:textId="78547052" w:rsidR="00304BC9" w:rsidRPr="00FE3CEB" w:rsidRDefault="000F3485" w:rsidP="00304BC9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97</w:t>
      </w:r>
      <w:r w:rsidRPr="00FE3CEB">
        <w:fldChar w:fldCharType="end"/>
      </w:r>
      <w:bookmarkEnd w:id="200"/>
      <w:r w:rsidR="008C6275">
        <w:t>. </w:t>
      </w:r>
      <w:r w:rsidRPr="00863D73">
        <w:t xml:space="preserve">Субектите на данни, които считат, че правата им по </w:t>
      </w:r>
      <w:r w:rsidR="00611867" w:rsidRPr="00611867">
        <w:t>GDPR</w:t>
      </w:r>
      <w:r w:rsidRPr="00863D73">
        <w:t xml:space="preserve"> или Закона от 2002 г. са били нарушени, могат да подадат жалба до </w:t>
      </w:r>
      <w:r>
        <w:lastRenderedPageBreak/>
        <w:t xml:space="preserve">Комисията за защита на личните данни </w:t>
      </w:r>
      <w:r w:rsidRPr="00863D73">
        <w:t>и да поискат съдебен контрол на нейното решение (</w:t>
      </w:r>
      <w:r w:rsidR="003F531D">
        <w:rPr>
          <w:lang w:val="bg-BG"/>
        </w:rPr>
        <w:t>чл.</w:t>
      </w:r>
      <w:r w:rsidR="003F531D">
        <w:t xml:space="preserve"> 38, ал.</w:t>
      </w:r>
      <w:r w:rsidRPr="00863D73">
        <w:t xml:space="preserve"> 1 и</w:t>
      </w:r>
      <w:r>
        <w:t xml:space="preserve"> </w:t>
      </w:r>
      <w:r w:rsidR="003F531D">
        <w:t>7</w:t>
      </w:r>
      <w:r w:rsidRPr="00863D73">
        <w:t xml:space="preserve"> </w:t>
      </w:r>
      <w:r>
        <w:t xml:space="preserve">(от </w:t>
      </w:r>
      <w:r w:rsidR="003F531D">
        <w:rPr>
          <w:lang w:val="bg-BG"/>
        </w:rPr>
        <w:t xml:space="preserve">м. </w:t>
      </w:r>
      <w:r w:rsidR="003F531D">
        <w:t xml:space="preserve">май 2023 г. </w:t>
      </w:r>
      <w:r w:rsidR="003F531D">
        <w:rPr>
          <w:lang w:val="bg-BG"/>
        </w:rPr>
        <w:t>а</w:t>
      </w:r>
      <w:r w:rsidR="003F531D">
        <w:t>л</w:t>
      </w:r>
      <w:r w:rsidR="003F531D">
        <w:rPr>
          <w:lang w:val="bg-BG"/>
        </w:rPr>
        <w:t>.</w:t>
      </w:r>
      <w:r w:rsidR="003F531D">
        <w:t xml:space="preserve"> 8</w:t>
      </w:r>
      <w:r>
        <w:t xml:space="preserve"> </w:t>
      </w:r>
      <w:r w:rsidRPr="00863D73">
        <w:t xml:space="preserve">от Закона от 2002 г., </w:t>
      </w:r>
      <w:r w:rsidR="003F531D">
        <w:rPr>
          <w:lang w:val="bg-BG"/>
        </w:rPr>
        <w:t>която</w:t>
      </w:r>
      <w:r w:rsidRPr="00863D73">
        <w:t xml:space="preserve"> </w:t>
      </w:r>
      <w:r w:rsidR="003F531D">
        <w:t>отразява чл.</w:t>
      </w:r>
      <w:r w:rsidRPr="00863D73">
        <w:t xml:space="preserve"> 77</w:t>
      </w:r>
      <w:r>
        <w:t>, параграф</w:t>
      </w:r>
      <w:r w:rsidRPr="00863D73">
        <w:t xml:space="preserve"> 1 и </w:t>
      </w:r>
      <w:r w:rsidR="003F531D">
        <w:rPr>
          <w:lang w:val="bg-BG"/>
        </w:rPr>
        <w:t xml:space="preserve">чл. </w:t>
      </w:r>
      <w:r w:rsidRPr="00863D73">
        <w:t>78</w:t>
      </w:r>
      <w:r>
        <w:t>, параграфи</w:t>
      </w:r>
      <w:r w:rsidRPr="00863D73">
        <w:t xml:space="preserve"> 1 </w:t>
      </w:r>
      <w:r>
        <w:t>и</w:t>
      </w:r>
      <w:r w:rsidRPr="00863D73">
        <w:t xml:space="preserve"> </w:t>
      </w:r>
      <w:r>
        <w:t xml:space="preserve">2 </w:t>
      </w:r>
      <w:r w:rsidRPr="00863D73">
        <w:t xml:space="preserve">от </w:t>
      </w:r>
      <w:r w:rsidR="003F531D" w:rsidRPr="00611867">
        <w:t>GDPR</w:t>
      </w:r>
      <w:r w:rsidRPr="00863D73">
        <w:t>).</w:t>
      </w:r>
    </w:p>
    <w:bookmarkStart w:id="201" w:name="RLF_PPDA_remedies_GDPR_2"/>
    <w:p w14:paraId="01433DE0" w14:textId="50404CA5" w:rsidR="00304BC9" w:rsidRPr="00FE3CEB" w:rsidRDefault="000F3485" w:rsidP="00304BC9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98</w:t>
      </w:r>
      <w:r w:rsidRPr="00FE3CEB">
        <w:fldChar w:fldCharType="end"/>
      </w:r>
      <w:bookmarkEnd w:id="201"/>
      <w:r w:rsidR="008C6275">
        <w:t>. </w:t>
      </w:r>
      <w:r w:rsidRPr="00863D73">
        <w:t xml:space="preserve">Субектите на данни могат също така </w:t>
      </w:r>
      <w:r>
        <w:t xml:space="preserve">директно </w:t>
      </w:r>
      <w:r w:rsidRPr="00863D73">
        <w:t xml:space="preserve">да поискат съдебен контрол на </w:t>
      </w:r>
      <w:r>
        <w:t xml:space="preserve">предприетите </w:t>
      </w:r>
      <w:r w:rsidRPr="00863D73">
        <w:t xml:space="preserve">действия или </w:t>
      </w:r>
      <w:r>
        <w:t>издадените</w:t>
      </w:r>
      <w:r w:rsidRPr="00863D73">
        <w:t xml:space="preserve"> решения </w:t>
      </w:r>
      <w:r>
        <w:t xml:space="preserve">от </w:t>
      </w:r>
      <w:r w:rsidRPr="00863D73">
        <w:t xml:space="preserve">администратора или обработващия лични данни, или да търсят обезщетение от тях, </w:t>
      </w:r>
      <w:r>
        <w:t xml:space="preserve">ако </w:t>
      </w:r>
      <w:r w:rsidRPr="00863D73">
        <w:t>администраторът или обработващият лични данни са обработвали техните лични данни незаконосъобразно (</w:t>
      </w:r>
      <w:r w:rsidR="00A6492C">
        <w:rPr>
          <w:lang w:val="bg-BG"/>
        </w:rPr>
        <w:t>чл.</w:t>
      </w:r>
      <w:r w:rsidRPr="00863D73">
        <w:t xml:space="preserve"> 39, </w:t>
      </w:r>
      <w:r w:rsidR="00A6492C">
        <w:rPr>
          <w:lang w:val="bg-BG"/>
        </w:rPr>
        <w:t>ал.</w:t>
      </w:r>
      <w:r w:rsidRPr="00863D73">
        <w:t xml:space="preserve"> 1 и 2 от Закона от 2002 г., който </w:t>
      </w:r>
      <w:r>
        <w:t xml:space="preserve">отразява </w:t>
      </w:r>
      <w:r w:rsidR="00A6492C">
        <w:t>чл.</w:t>
      </w:r>
      <w:r w:rsidRPr="002B6EE6">
        <w:t xml:space="preserve"> 79</w:t>
      </w:r>
      <w:r>
        <w:t>, параграф</w:t>
      </w:r>
      <w:r w:rsidRPr="00863D73">
        <w:t xml:space="preserve"> 1 и </w:t>
      </w:r>
      <w:r w:rsidR="00A6492C">
        <w:rPr>
          <w:lang w:val="bg-BG"/>
        </w:rPr>
        <w:t xml:space="preserve">чл. </w:t>
      </w:r>
      <w:r w:rsidRPr="00863D73">
        <w:t>82</w:t>
      </w:r>
      <w:r>
        <w:t>, параграф</w:t>
      </w:r>
      <w:r w:rsidRPr="00863D73">
        <w:t xml:space="preserve"> 1 от </w:t>
      </w:r>
      <w:r w:rsidR="00A6492C" w:rsidRPr="00611867">
        <w:t>GDPR</w:t>
      </w:r>
      <w:r>
        <w:t>).</w:t>
      </w:r>
    </w:p>
    <w:p w14:paraId="0BA969A9" w14:textId="77777777" w:rsidR="00304BC9" w:rsidRPr="00FE3CEB" w:rsidRDefault="000F3485" w:rsidP="00304BC9">
      <w:pPr>
        <w:pStyle w:val="JuH1"/>
      </w:pPr>
      <w:bookmarkStart w:id="202" w:name="_Toc175304757"/>
      <w:bookmarkStart w:id="203" w:name="_Toc232688288"/>
      <w:r w:rsidRPr="00FE3CEB">
        <w:t>По отношение на обработката от органите за целите на правоприлагането</w:t>
      </w:r>
      <w:bookmarkEnd w:id="202"/>
      <w:bookmarkEnd w:id="203"/>
    </w:p>
    <w:bookmarkStart w:id="204" w:name="RLF_PPDA_remedies_LED"/>
    <w:p w14:paraId="7D471D1B" w14:textId="578C87B5" w:rsidR="00304BC9" w:rsidRDefault="000F3485" w:rsidP="00304BC9">
      <w:pPr>
        <w:pStyle w:val="JuPara"/>
      </w:pPr>
      <w:r w:rsidRPr="00FE3CEB">
        <w:fldChar w:fldCharType="begin"/>
      </w:r>
      <w:r w:rsidRPr="00FE3CEB">
        <w:instrText xml:space="preserve"> SEQ level0 \*arabic \* MERGEFORMAT </w:instrText>
      </w:r>
      <w:r w:rsidRPr="00FE3CEB">
        <w:fldChar w:fldCharType="separate"/>
      </w:r>
      <w:r w:rsidR="00F21D3F">
        <w:rPr>
          <w:noProof/>
        </w:rPr>
        <w:t>99</w:t>
      </w:r>
      <w:r w:rsidRPr="00FE3CEB">
        <w:fldChar w:fldCharType="end"/>
      </w:r>
      <w:bookmarkEnd w:id="204"/>
      <w:r w:rsidR="008C6275">
        <w:t>. </w:t>
      </w:r>
      <w:r w:rsidRPr="009B294F">
        <w:t xml:space="preserve">Средствата </w:t>
      </w:r>
      <w:r>
        <w:t xml:space="preserve">за </w:t>
      </w:r>
      <w:r w:rsidRPr="009B294F">
        <w:t xml:space="preserve">правна защита </w:t>
      </w:r>
      <w:r>
        <w:t>при</w:t>
      </w:r>
      <w:r w:rsidRPr="009B294F">
        <w:t xml:space="preserve"> твър</w:t>
      </w:r>
      <w:r>
        <w:t>дения за</w:t>
      </w:r>
      <w:r w:rsidRPr="009B294F">
        <w:t xml:space="preserve"> нарушения на </w:t>
      </w:r>
      <w:r>
        <w:t xml:space="preserve">правата на субектите на данни, възникнали в хода на обработката на лични данни от правоприлагащите органи, са същите като тези при </w:t>
      </w:r>
      <w:r w:rsidRPr="009B294F">
        <w:t xml:space="preserve">твърдения за нарушения </w:t>
      </w:r>
      <w:r>
        <w:t xml:space="preserve">в хода на обработката, попадащи в обхвата на </w:t>
      </w:r>
      <w:r w:rsidR="008E00AF" w:rsidRPr="00611867">
        <w:t>GDPR</w:t>
      </w:r>
      <w:r>
        <w:t xml:space="preserve"> </w:t>
      </w:r>
      <w:r w:rsidRPr="009B294F">
        <w:t xml:space="preserve">(член 82, </w:t>
      </w:r>
      <w:r w:rsidR="008E00AF">
        <w:rPr>
          <w:lang w:val="bg-BG"/>
        </w:rPr>
        <w:t>ал.</w:t>
      </w:r>
      <w:r w:rsidRPr="009B294F">
        <w:t xml:space="preserve"> 1 от Закона от 2002 г., </w:t>
      </w:r>
      <w:r>
        <w:t xml:space="preserve">с който са транспонирани </w:t>
      </w:r>
      <w:r w:rsidR="008E00AF">
        <w:t>чл.</w:t>
      </w:r>
      <w:r w:rsidRPr="009B294F">
        <w:t xml:space="preserve"> 52</w:t>
      </w:r>
      <w:r>
        <w:t>, параграф</w:t>
      </w:r>
      <w:r w:rsidRPr="009B294F">
        <w:t xml:space="preserve"> 1</w:t>
      </w:r>
      <w:r>
        <w:t xml:space="preserve">, </w:t>
      </w:r>
      <w:r w:rsidR="008E00AF">
        <w:rPr>
          <w:lang w:val="bg-BG"/>
        </w:rPr>
        <w:t xml:space="preserve">чл. </w:t>
      </w:r>
      <w:r>
        <w:t xml:space="preserve">53 </w:t>
      </w:r>
      <w:r w:rsidRPr="009B294F">
        <w:t xml:space="preserve">и </w:t>
      </w:r>
      <w:r w:rsidR="008E00AF">
        <w:rPr>
          <w:lang w:val="bg-BG"/>
        </w:rPr>
        <w:t xml:space="preserve">чл. </w:t>
      </w:r>
      <w:r w:rsidRPr="009B294F">
        <w:t xml:space="preserve">54 от </w:t>
      </w:r>
      <w:r>
        <w:t xml:space="preserve">Директивата за </w:t>
      </w:r>
      <w:r w:rsidR="008E00AF">
        <w:rPr>
          <w:lang w:val="bg-BG"/>
        </w:rPr>
        <w:t>правоприлагането</w:t>
      </w:r>
      <w:r w:rsidRPr="009B294F">
        <w:t>).</w:t>
      </w:r>
    </w:p>
    <w:p w14:paraId="2C34A0AA" w14:textId="41E71B80" w:rsidR="00304BC9" w:rsidRPr="00C462F6" w:rsidRDefault="008E00AF" w:rsidP="00304BC9">
      <w:pPr>
        <w:pStyle w:val="JuHIRoman"/>
      </w:pPr>
      <w:bookmarkStart w:id="205" w:name="_Toc232688289"/>
      <w:r>
        <w:t>АДМИНИСТРАТИВНО</w:t>
      </w:r>
      <w:r w:rsidR="000F3485" w:rsidRPr="00C462F6">
        <w:t>ПРОЦЕСУАЛЕН КОДЕКС</w:t>
      </w:r>
      <w:bookmarkEnd w:id="205"/>
    </w:p>
    <w:bookmarkStart w:id="206" w:name="RLF_CAP_A_150_1_5"/>
    <w:p w14:paraId="7A0461C3" w14:textId="2BECE64B" w:rsidR="00304BC9" w:rsidRPr="00C462F6" w:rsidRDefault="000F3485" w:rsidP="00304BC9">
      <w:pPr>
        <w:pStyle w:val="JuPara"/>
      </w:pPr>
      <w:r w:rsidRPr="00C462F6">
        <w:fldChar w:fldCharType="begin"/>
      </w:r>
      <w:r w:rsidRPr="00C462F6">
        <w:instrText xml:space="preserve"> SEQ level0 \*arabic \* MERGEFORMAT </w:instrText>
      </w:r>
      <w:r w:rsidRPr="00C462F6">
        <w:fldChar w:fldCharType="separate"/>
      </w:r>
      <w:r w:rsidR="00F21D3F">
        <w:rPr>
          <w:noProof/>
        </w:rPr>
        <w:t>100</w:t>
      </w:r>
      <w:r w:rsidRPr="00C462F6">
        <w:fldChar w:fldCharType="end"/>
      </w:r>
      <w:bookmarkEnd w:id="206"/>
      <w:r w:rsidR="008C6275">
        <w:t xml:space="preserve">. </w:t>
      </w:r>
      <w:r w:rsidR="00BC37FE">
        <w:t>Съгласно чл.</w:t>
      </w:r>
      <w:r w:rsidRPr="00C462F6">
        <w:t xml:space="preserve"> 150, </w:t>
      </w:r>
      <w:r w:rsidR="008E00AF">
        <w:rPr>
          <w:rFonts w:cstheme="minorHAnsi"/>
          <w:lang w:val="bg-BG"/>
        </w:rPr>
        <w:t>ал.</w:t>
      </w:r>
      <w:r w:rsidR="00BC37FE">
        <w:t xml:space="preserve"> 1, т.</w:t>
      </w:r>
      <w:r w:rsidRPr="00C462F6">
        <w:t xml:space="preserve"> 5 от Административнопроцесуалния кодекс от 2006 г. в жалбата за съдебен контрол трябва </w:t>
      </w:r>
      <w:r w:rsidR="00735842">
        <w:t>да бъде посочен</w:t>
      </w:r>
      <w:r>
        <w:t xml:space="preserve"> </w:t>
      </w:r>
      <w:r w:rsidR="00735842">
        <w:t>административния акт</w:t>
      </w:r>
      <w:r w:rsidRPr="00C462F6">
        <w:t>, срещу ко</w:t>
      </w:r>
      <w:r w:rsidR="00735842">
        <w:rPr>
          <w:lang w:val="bg-BG"/>
        </w:rPr>
        <w:t>й</w:t>
      </w:r>
      <w:r w:rsidRPr="00C462F6">
        <w:t>то е насочена.</w:t>
      </w:r>
    </w:p>
    <w:p w14:paraId="15276509" w14:textId="0D3376C9" w:rsidR="00304BC9" w:rsidRPr="00C462F6" w:rsidRDefault="00CC04AC" w:rsidP="00304BC9">
      <w:pPr>
        <w:pStyle w:val="JuHHead"/>
        <w:numPr>
          <w:ilvl w:val="0"/>
          <w:numId w:val="22"/>
        </w:numPr>
        <w:tabs>
          <w:tab w:val="num" w:pos="340"/>
        </w:tabs>
        <w:ind w:left="340" w:hanging="340"/>
      </w:pPr>
      <w:bookmarkStart w:id="207" w:name="_Toc232688290"/>
      <w:r>
        <w:rPr>
          <w:lang w:val="bg-BG"/>
        </w:rPr>
        <w:t>ПРАВОТО</w:t>
      </w:r>
      <w:bookmarkEnd w:id="207"/>
    </w:p>
    <w:p w14:paraId="235BD307" w14:textId="205EB52F" w:rsidR="00304BC9" w:rsidRPr="00C462F6" w:rsidRDefault="00CC04AC" w:rsidP="00304BC9">
      <w:pPr>
        <w:pStyle w:val="JuHIRoman"/>
        <w:numPr>
          <w:ilvl w:val="1"/>
          <w:numId w:val="23"/>
        </w:numPr>
        <w:tabs>
          <w:tab w:val="left" w:pos="567"/>
          <w:tab w:val="left" w:pos="680"/>
        </w:tabs>
      </w:pPr>
      <w:bookmarkStart w:id="208" w:name="_Toc175214986"/>
      <w:bookmarkStart w:id="209" w:name="_Toc232688291"/>
      <w:r>
        <w:rPr>
          <w:lang w:val="bg-BG"/>
        </w:rPr>
        <w:t>ТВЪРДЯНО</w:t>
      </w:r>
      <w:r w:rsidR="000F3485" w:rsidRPr="00C462F6">
        <w:t xml:space="preserve"> НАРУШЕНИЕ НА ЧЛЕН 8 ОТ КОНВЕНЦИЯТА</w:t>
      </w:r>
      <w:bookmarkEnd w:id="208"/>
      <w:bookmarkEnd w:id="209"/>
    </w:p>
    <w:bookmarkStart w:id="210" w:name="L_C_A_8"/>
    <w:p w14:paraId="14BB7555" w14:textId="1EEBD4F8" w:rsidR="00304BC9" w:rsidRDefault="000F3485" w:rsidP="00304BC9">
      <w:pPr>
        <w:pStyle w:val="JuPara"/>
      </w:pPr>
      <w:r w:rsidRPr="00C462F6">
        <w:fldChar w:fldCharType="begin"/>
      </w:r>
      <w:r w:rsidRPr="00C462F6">
        <w:instrText xml:space="preserve"> SEQ level0 \*arabic \* MERGEFORMAT </w:instrText>
      </w:r>
      <w:r w:rsidRPr="00C462F6">
        <w:fldChar w:fldCharType="separate"/>
      </w:r>
      <w:r w:rsidR="00F21D3F">
        <w:rPr>
          <w:noProof/>
        </w:rPr>
        <w:t>101</w:t>
      </w:r>
      <w:r w:rsidRPr="00C462F6">
        <w:fldChar w:fldCharType="end"/>
      </w:r>
      <w:bookmarkEnd w:id="210"/>
      <w:r w:rsidR="008C6275">
        <w:t xml:space="preserve">. </w:t>
      </w:r>
      <w:r w:rsidRPr="00C462F6">
        <w:t>Жалбоподател</w:t>
      </w:r>
      <w:r w:rsidR="00636119">
        <w:rPr>
          <w:lang w:val="bg-BG"/>
        </w:rPr>
        <w:t>ят</w:t>
      </w:r>
      <w:r w:rsidRPr="00C462F6">
        <w:t xml:space="preserve"> се оплака, че </w:t>
      </w:r>
      <w:r w:rsidR="00A607D1">
        <w:rPr>
          <w:lang w:val="bg-BG"/>
        </w:rPr>
        <w:t>Правилника</w:t>
      </w:r>
      <w:r w:rsidR="00A607D1">
        <w:t xml:space="preserve"> от 2008 г., разрешаващ</w:t>
      </w:r>
      <w:r w:rsidRPr="00C462F6">
        <w:t xml:space="preserve"> използването на „</w:t>
      </w:r>
      <w:r w:rsidR="00636119">
        <w:t>служители</w:t>
      </w:r>
      <w:r w:rsidR="006F2E88">
        <w:rPr>
          <w:lang w:val="bg-BG"/>
        </w:rPr>
        <w:t xml:space="preserve"> на прикритие</w:t>
      </w:r>
      <w:r w:rsidR="006F2E88">
        <w:t>“, изменен</w:t>
      </w:r>
      <w:r w:rsidRPr="00C462F6">
        <w:t xml:space="preserve"> през 2018 г., не отговаря на изискванията на член 8 от Конвенцията в различни аспекти, особено по отношение на гаранциите</w:t>
      </w:r>
      <w:r>
        <w:t>,</w:t>
      </w:r>
      <w:r w:rsidRPr="00C462F6">
        <w:t xml:space="preserve"> и по този начин позво</w:t>
      </w:r>
      <w:r w:rsidR="003039ED">
        <w:t>лява</w:t>
      </w:r>
      <w:r w:rsidRPr="00C462F6">
        <w:t xml:space="preserve"> на Агенцията да разполага такива </w:t>
      </w:r>
      <w:r w:rsidR="00636119">
        <w:t>служители</w:t>
      </w:r>
      <w:r w:rsidRPr="00C462F6">
        <w:t xml:space="preserve"> по произволен и </w:t>
      </w:r>
      <w:r w:rsidR="005679E7">
        <w:rPr>
          <w:lang w:val="bg-BG"/>
        </w:rPr>
        <w:t>неправомерен</w:t>
      </w:r>
      <w:r w:rsidRPr="00C462F6">
        <w:t xml:space="preserve"> начин – по-специално предвид факта, че </w:t>
      </w:r>
      <w:r w:rsidR="006F2E88">
        <w:rPr>
          <w:lang w:val="bg-BG"/>
        </w:rPr>
        <w:t>Правилник</w:t>
      </w:r>
      <w:r w:rsidR="003039ED">
        <w:rPr>
          <w:lang w:val="bg-BG"/>
        </w:rPr>
        <w:t>ът</w:t>
      </w:r>
      <w:r w:rsidRPr="00C462F6">
        <w:t xml:space="preserve">, </w:t>
      </w:r>
      <w:r w:rsidR="006F2E88">
        <w:rPr>
          <w:lang w:val="bg-BG"/>
        </w:rPr>
        <w:t>който</w:t>
      </w:r>
      <w:r w:rsidR="006F2E88">
        <w:t xml:space="preserve"> не предвижда</w:t>
      </w:r>
      <w:r w:rsidRPr="00C462F6">
        <w:t xml:space="preserve"> уведомяване на засегнатите лица за решението на Агенцията за разполагане на такива </w:t>
      </w:r>
      <w:r w:rsidR="00636119">
        <w:t>служители</w:t>
      </w:r>
      <w:r w:rsidR="006F2E88">
        <w:t>, не дава</w:t>
      </w:r>
      <w:r w:rsidRPr="00C462F6">
        <w:t xml:space="preserve"> възможност за оспорване на това решение. По отношение на последното </w:t>
      </w:r>
      <w:r w:rsidR="006F2E88">
        <w:rPr>
          <w:lang w:val="bg-BG"/>
        </w:rPr>
        <w:t>сдружението-жалбоподател</w:t>
      </w:r>
      <w:r w:rsidRPr="00C462F6">
        <w:t xml:space="preserve"> </w:t>
      </w:r>
      <w:r>
        <w:t>се позовава също на членове 6</w:t>
      </w:r>
      <w:r w:rsidR="006F2E88">
        <w:t xml:space="preserve"> </w:t>
      </w:r>
      <w:r w:rsidR="006F2E88">
        <w:rPr>
          <w:lang w:val="bg-BG"/>
        </w:rPr>
        <w:t xml:space="preserve">§ </w:t>
      </w:r>
      <w:r>
        <w:t>1 и 13 от Конвенцията.</w:t>
      </w:r>
    </w:p>
    <w:bookmarkStart w:id="211" w:name="L_C_A_8_bis"/>
    <w:p w14:paraId="769103C9" w14:textId="3C7131BC" w:rsidR="00304BC9" w:rsidRPr="00E13447" w:rsidRDefault="000F3485" w:rsidP="00600C83">
      <w:pPr>
        <w:pStyle w:val="JuPara"/>
        <w:keepNext/>
        <w:keepLines/>
      </w:pPr>
      <w:r>
        <w:lastRenderedPageBreak/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102</w:t>
      </w:r>
      <w:r>
        <w:fldChar w:fldCharType="end"/>
      </w:r>
      <w:bookmarkEnd w:id="211"/>
      <w:r>
        <w:t>.  </w:t>
      </w:r>
      <w:r w:rsidRPr="00E13447">
        <w:t xml:space="preserve">В светлината на съдебната практика на Съда </w:t>
      </w:r>
      <w:r>
        <w:t xml:space="preserve">по въпроси от </w:t>
      </w:r>
      <w:r w:rsidR="005679E7">
        <w:rPr>
          <w:lang w:val="bg-BG"/>
        </w:rPr>
        <w:t xml:space="preserve">вида </w:t>
      </w:r>
      <w:r>
        <w:t xml:space="preserve">на разглежданите в настоящото дело </w:t>
      </w:r>
      <w:r w:rsidRPr="00E13447">
        <w:t xml:space="preserve">(вж. </w:t>
      </w:r>
      <w:r w:rsidR="00AC6B68" w:rsidRPr="00E13447">
        <w:rPr>
          <w:i/>
          <w:iCs/>
        </w:rPr>
        <w:t xml:space="preserve">Roman Zakharov </w:t>
      </w:r>
      <w:r w:rsidRPr="00E13447">
        <w:rPr>
          <w:i/>
          <w:iCs/>
        </w:rPr>
        <w:t>с</w:t>
      </w:r>
      <w:r w:rsidR="008C6275">
        <w:rPr>
          <w:i/>
          <w:iCs/>
          <w:lang w:val="bg-BG"/>
        </w:rPr>
        <w:t>/</w:t>
      </w:r>
      <w:r w:rsidRPr="00E13447">
        <w:rPr>
          <w:i/>
          <w:iCs/>
        </w:rPr>
        <w:t xml:space="preserve">у Русия </w:t>
      </w:r>
      <w:r w:rsidRPr="00E13447">
        <w:t>[</w:t>
      </w:r>
      <w:r w:rsidR="008C6275">
        <w:rPr>
          <w:lang w:val="bg-BG"/>
        </w:rPr>
        <w:t>ГК</w:t>
      </w:r>
      <w:r w:rsidRPr="00E13447">
        <w:t xml:space="preserve">], № 47143/06, </w:t>
      </w:r>
      <w:r w:rsidR="003039ED">
        <w:rPr>
          <w:lang w:val="bg-BG"/>
        </w:rPr>
        <w:t>§</w:t>
      </w:r>
      <w:r w:rsidRPr="00E13447">
        <w:t xml:space="preserve"> 307, ECHR 2015</w:t>
      </w:r>
      <w:r>
        <w:t>;</w:t>
      </w:r>
      <w:bookmarkStart w:id="212" w:name="_cl40702THELAW"/>
      <w:bookmarkStart w:id="213" w:name="_cl41284THELAW"/>
      <w:r>
        <w:t xml:space="preserve"> </w:t>
      </w:r>
      <w:r w:rsidR="00AC6B68" w:rsidRPr="003A776C">
        <w:rPr>
          <w:i/>
          <w:iCs/>
        </w:rPr>
        <w:t xml:space="preserve">Centrum för rättvisa </w:t>
      </w:r>
      <w:r w:rsidRPr="003A776C">
        <w:rPr>
          <w:i/>
          <w:iCs/>
        </w:rPr>
        <w:t>с</w:t>
      </w:r>
      <w:r w:rsidR="008C6275">
        <w:rPr>
          <w:i/>
          <w:iCs/>
          <w:lang w:val="bg-BG"/>
        </w:rPr>
        <w:t>/</w:t>
      </w:r>
      <w:r w:rsidRPr="003A776C">
        <w:rPr>
          <w:i/>
          <w:iCs/>
        </w:rPr>
        <w:t>у Швеция</w:t>
      </w:r>
      <w:bookmarkEnd w:id="212"/>
      <w:r w:rsidRPr="003A776C">
        <w:t xml:space="preserve"> [</w:t>
      </w:r>
      <w:r w:rsidR="008C6275">
        <w:rPr>
          <w:lang w:val="bg-BG"/>
        </w:rPr>
        <w:t>ГК</w:t>
      </w:r>
      <w:r w:rsidRPr="003A776C">
        <w:t xml:space="preserve">], № 35252/08, </w:t>
      </w:r>
      <w:r w:rsidR="003039ED">
        <w:rPr>
          <w:lang w:val="bg-BG"/>
        </w:rPr>
        <w:t>§</w:t>
      </w:r>
      <w:r>
        <w:t xml:space="preserve"> 377</w:t>
      </w:r>
      <w:r w:rsidRPr="003A776C">
        <w:t>, 25 май 2021 г.</w:t>
      </w:r>
      <w:r>
        <w:t xml:space="preserve">; </w:t>
      </w:r>
      <w:r w:rsidR="008C6275">
        <w:rPr>
          <w:i/>
          <w:iCs/>
          <w:lang w:val="bg-BG"/>
        </w:rPr>
        <w:t>Екимджиев</w:t>
      </w:r>
      <w:r w:rsidRPr="008B0655">
        <w:rPr>
          <w:i/>
          <w:iCs/>
        </w:rPr>
        <w:t xml:space="preserve"> и други с</w:t>
      </w:r>
      <w:r w:rsidR="008C6275">
        <w:rPr>
          <w:i/>
          <w:iCs/>
          <w:lang w:val="bg-BG"/>
        </w:rPr>
        <w:t>/</w:t>
      </w:r>
      <w:r w:rsidRPr="008B0655">
        <w:rPr>
          <w:i/>
          <w:iCs/>
        </w:rPr>
        <w:t>у България</w:t>
      </w:r>
      <w:bookmarkEnd w:id="213"/>
      <w:r w:rsidRPr="008B0655">
        <w:t xml:space="preserve"> , № 70078/12, </w:t>
      </w:r>
      <w:r w:rsidR="003039ED">
        <w:rPr>
          <w:lang w:val="bg-BG"/>
        </w:rPr>
        <w:t>§</w:t>
      </w:r>
      <w:r>
        <w:t xml:space="preserve"> 247</w:t>
      </w:r>
      <w:r w:rsidRPr="008B0655">
        <w:t>, 11 януари 2022 г.</w:t>
      </w:r>
      <w:r>
        <w:t>; и</w:t>
      </w:r>
      <w:bookmarkStart w:id="214" w:name="_cl44212THELAW"/>
      <w:r>
        <w:t xml:space="preserve"> </w:t>
      </w:r>
      <w:r w:rsidR="0097721F" w:rsidRPr="0030773D">
        <w:rPr>
          <w:i/>
          <w:iCs/>
        </w:rPr>
        <w:t>Pietrzak and</w:t>
      </w:r>
      <w:r w:rsidR="0097721F">
        <w:rPr>
          <w:i/>
          <w:iCs/>
        </w:rPr>
        <w:t xml:space="preserve"> </w:t>
      </w:r>
      <w:r w:rsidR="0097721F" w:rsidRPr="0030773D">
        <w:rPr>
          <w:i/>
          <w:iCs/>
        </w:rPr>
        <w:t>Bychawska</w:t>
      </w:r>
      <w:r w:rsidR="0097721F">
        <w:rPr>
          <w:i/>
          <w:iCs/>
        </w:rPr>
        <w:t>-</w:t>
      </w:r>
      <w:r w:rsidR="0097721F" w:rsidRPr="0030773D">
        <w:rPr>
          <w:i/>
          <w:iCs/>
        </w:rPr>
        <w:t>Siniarska and Others</w:t>
      </w:r>
      <w:r w:rsidRPr="0030773D">
        <w:rPr>
          <w:i/>
          <w:iCs/>
        </w:rPr>
        <w:t xml:space="preserve"> с</w:t>
      </w:r>
      <w:r w:rsidR="008C6275">
        <w:rPr>
          <w:i/>
          <w:iCs/>
          <w:lang w:val="bg-BG"/>
        </w:rPr>
        <w:t>/</w:t>
      </w:r>
      <w:r w:rsidRPr="0030773D">
        <w:rPr>
          <w:i/>
          <w:iCs/>
        </w:rPr>
        <w:t>у Полша</w:t>
      </w:r>
      <w:r w:rsidRPr="0030773D">
        <w:t xml:space="preserve">, № 72038/17 и 25237/18, </w:t>
      </w:r>
      <w:r w:rsidR="003039ED">
        <w:rPr>
          <w:lang w:val="bg-BG"/>
        </w:rPr>
        <w:t>§</w:t>
      </w:r>
      <w:r>
        <w:t xml:space="preserve"> 127</w:t>
      </w:r>
      <w:r w:rsidRPr="0030773D">
        <w:t>, 28 май 2024 г</w:t>
      </w:r>
      <w:r>
        <w:t>.</w:t>
      </w:r>
      <w:bookmarkEnd w:id="214"/>
      <w:r>
        <w:t xml:space="preserve"> ; вж. също, </w:t>
      </w:r>
      <w:r w:rsidRPr="00563C69">
        <w:rPr>
          <w:i/>
          <w:iCs/>
        </w:rPr>
        <w:t>mutatis mutandis</w:t>
      </w:r>
      <w:r>
        <w:t>,</w:t>
      </w:r>
      <w:bookmarkStart w:id="215" w:name="_cl22632THELAW"/>
      <w:r>
        <w:t xml:space="preserve"> </w:t>
      </w:r>
      <w:r w:rsidR="0097721F" w:rsidRPr="00563C69">
        <w:rPr>
          <w:i/>
          <w:iCs/>
        </w:rPr>
        <w:t>Brito Ferrinho Bexiga Villa</w:t>
      </w:r>
      <w:r w:rsidR="0097721F">
        <w:rPr>
          <w:i/>
          <w:iCs/>
        </w:rPr>
        <w:t>-</w:t>
      </w:r>
      <w:r w:rsidR="0097721F" w:rsidRPr="00563C69">
        <w:rPr>
          <w:i/>
          <w:iCs/>
        </w:rPr>
        <w:t>Nova</w:t>
      </w:r>
      <w:r w:rsidRPr="00563C69">
        <w:rPr>
          <w:i/>
          <w:iCs/>
        </w:rPr>
        <w:t xml:space="preserve"> с</w:t>
      </w:r>
      <w:r w:rsidR="008C6275">
        <w:rPr>
          <w:i/>
          <w:iCs/>
          <w:lang w:val="bg-BG"/>
        </w:rPr>
        <w:t>/</w:t>
      </w:r>
      <w:r w:rsidRPr="00563C69">
        <w:rPr>
          <w:i/>
          <w:iCs/>
        </w:rPr>
        <w:t>у Португалия</w:t>
      </w:r>
      <w:bookmarkEnd w:id="215"/>
      <w:r w:rsidRPr="00563C69">
        <w:t xml:space="preserve"> , № 69436/10, </w:t>
      </w:r>
      <w:r w:rsidR="002426FE">
        <w:rPr>
          <w:rFonts w:cstheme="minorHAnsi"/>
          <w:lang w:val="bg-BG"/>
        </w:rPr>
        <w:t>§§</w:t>
      </w:r>
      <w:r>
        <w:t xml:space="preserve"> 33-35</w:t>
      </w:r>
      <w:r w:rsidRPr="00563C69">
        <w:t>, 1 декември 2015 г.</w:t>
      </w:r>
      <w:r w:rsidRPr="00E13447">
        <w:t>)</w:t>
      </w:r>
      <w:r>
        <w:t xml:space="preserve">, и предвид начина, по който </w:t>
      </w:r>
      <w:r w:rsidR="00825EC2">
        <w:rPr>
          <w:lang w:val="bg-BG"/>
        </w:rPr>
        <w:t>сдружението-жалбоподател</w:t>
      </w:r>
      <w:r>
        <w:t xml:space="preserve"> е формулирало </w:t>
      </w:r>
      <w:r w:rsidR="00825EC2">
        <w:rPr>
          <w:lang w:val="bg-BG"/>
        </w:rPr>
        <w:t>оплакването</w:t>
      </w:r>
      <w:r>
        <w:t xml:space="preserve"> си, т</w:t>
      </w:r>
      <w:r w:rsidR="00825EC2">
        <w:rPr>
          <w:lang w:val="bg-BG"/>
        </w:rPr>
        <w:t>о</w:t>
      </w:r>
      <w:r>
        <w:t xml:space="preserve"> следва </w:t>
      </w:r>
      <w:r w:rsidR="00825EC2">
        <w:t>да бъде разгледано</w:t>
      </w:r>
      <w:r w:rsidRPr="00E13447">
        <w:t xml:space="preserve"> единствено </w:t>
      </w:r>
      <w:r w:rsidR="00825EC2">
        <w:rPr>
          <w:lang w:val="bg-BG"/>
        </w:rPr>
        <w:t>п</w:t>
      </w:r>
      <w:r w:rsidRPr="00E13447">
        <w:t>о член 8 от Конвенцията</w:t>
      </w:r>
      <w:r>
        <w:t>. Този член гласи</w:t>
      </w:r>
      <w:r w:rsidRPr="00E13447">
        <w:t xml:space="preserve">, </w:t>
      </w:r>
      <w:r w:rsidR="00391F5B">
        <w:rPr>
          <w:lang w:val="bg-BG"/>
        </w:rPr>
        <w:t>в приложимата си част</w:t>
      </w:r>
      <w:r w:rsidRPr="00E13447">
        <w:t>:</w:t>
      </w:r>
    </w:p>
    <w:p w14:paraId="344B21EB" w14:textId="09D11D5D" w:rsidR="00304BC9" w:rsidRPr="00282EA7" w:rsidRDefault="008C6275" w:rsidP="00304BC9">
      <w:pPr>
        <w:pStyle w:val="JuQuot"/>
        <w:keepLines/>
      </w:pPr>
      <w:r>
        <w:t xml:space="preserve">„1. </w:t>
      </w:r>
      <w:r w:rsidR="00391F5B" w:rsidRPr="00391F5B">
        <w:t xml:space="preserve">Βсеки има право на неприкосновеност на личния </w:t>
      </w:r>
      <w:r w:rsidR="00002035">
        <w:rPr>
          <w:lang w:val="bg-BG"/>
        </w:rPr>
        <w:t>…</w:t>
      </w:r>
      <w:r w:rsidR="00391F5B" w:rsidRPr="00391F5B">
        <w:t xml:space="preserve"> си живот, на жилището и на тайната на кореспонденцията</w:t>
      </w:r>
      <w:r w:rsidR="000F3485" w:rsidRPr="00282EA7">
        <w:t>.</w:t>
      </w:r>
    </w:p>
    <w:p w14:paraId="4160FD6D" w14:textId="149406A2" w:rsidR="00304BC9" w:rsidRDefault="008C6275" w:rsidP="00304BC9">
      <w:pPr>
        <w:pStyle w:val="JuQuot"/>
        <w:keepLines/>
      </w:pPr>
      <w:r>
        <w:t xml:space="preserve">2. </w:t>
      </w:r>
      <w:r w:rsidR="00002035" w:rsidRPr="00002035">
        <w:t>Намесата на държавните власти в упражняването на това право е недопустима, освен в случаите,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</w:t>
      </w:r>
      <w:r w:rsidR="00002035">
        <w:t xml:space="preserve"> правата и свободите на другите</w:t>
      </w:r>
      <w:r w:rsidR="000F3485" w:rsidRPr="00282EA7">
        <w:t>.“</w:t>
      </w:r>
    </w:p>
    <w:p w14:paraId="40E71C42" w14:textId="77777777" w:rsidR="00304BC9" w:rsidRDefault="000F3485" w:rsidP="00304BC9">
      <w:pPr>
        <w:pStyle w:val="JuHA"/>
      </w:pPr>
      <w:bookmarkStart w:id="216" w:name="_Toc175214987"/>
      <w:bookmarkStart w:id="217" w:name="_Toc232688292"/>
      <w:r w:rsidRPr="007C6978">
        <w:t>Допустимост</w:t>
      </w:r>
      <w:bookmarkEnd w:id="216"/>
      <w:bookmarkEnd w:id="217"/>
    </w:p>
    <w:p w14:paraId="7D33EBC3" w14:textId="77777777" w:rsidR="00304BC9" w:rsidRPr="004304AD" w:rsidRDefault="000F3485" w:rsidP="00304BC9">
      <w:pPr>
        <w:pStyle w:val="JuH1"/>
      </w:pPr>
      <w:bookmarkStart w:id="218" w:name="_Toc175214988"/>
      <w:bookmarkStart w:id="219" w:name="_Toc232688293"/>
      <w:r>
        <w:t xml:space="preserve">Изложенията </w:t>
      </w:r>
      <w:r w:rsidR="00A060A3">
        <w:t>на</w:t>
      </w:r>
      <w:r>
        <w:t xml:space="preserve"> страните</w:t>
      </w:r>
      <w:bookmarkEnd w:id="218"/>
      <w:bookmarkEnd w:id="219"/>
    </w:p>
    <w:p w14:paraId="4BE8853C" w14:textId="77777777" w:rsidR="00304BC9" w:rsidRDefault="000F3485" w:rsidP="00304BC9">
      <w:pPr>
        <w:pStyle w:val="JuHa0"/>
      </w:pPr>
      <w:bookmarkStart w:id="220" w:name="_Toc175214989"/>
      <w:bookmarkStart w:id="221" w:name="_Toc232688294"/>
      <w:r>
        <w:t>Статут на жертва</w:t>
      </w:r>
      <w:bookmarkEnd w:id="220"/>
      <w:bookmarkEnd w:id="221"/>
    </w:p>
    <w:bookmarkStart w:id="222" w:name="L_C_A_8_adm_rm_G"/>
    <w:p w14:paraId="324C3021" w14:textId="48AA9C97" w:rsidR="00304BC9" w:rsidRPr="007C6978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103</w:t>
      </w:r>
      <w:r>
        <w:fldChar w:fldCharType="end"/>
      </w:r>
      <w:bookmarkEnd w:id="222"/>
      <w:r w:rsidRPr="007C6978">
        <w:t xml:space="preserve">. </w:t>
      </w:r>
      <w:r>
        <w:t xml:space="preserve">Аргументите на правителството по този въпрос, които то формулира като наличието на намеса в правата на </w:t>
      </w:r>
      <w:r w:rsidR="00453BAB">
        <w:rPr>
          <w:lang w:val="bg-BG"/>
        </w:rPr>
        <w:t>сдружението</w:t>
      </w:r>
      <w:r>
        <w:t xml:space="preserve"> съгласно член 8 от Конвенцията, са изложени в параграфи</w:t>
      </w:r>
      <w:r w:rsidR="00453BAB">
        <w:rPr>
          <w:lang w:val="bg-BG"/>
        </w:rPr>
        <w:t xml:space="preserve"> </w:t>
      </w:r>
      <w:r>
        <w:fldChar w:fldCharType="begin"/>
      </w:r>
      <w:r>
        <w:instrText xml:space="preserve"> REF  L_C_A_8_m_int_G_1 \h  \* MERGEFORMAT </w:instrText>
      </w:r>
      <w:r>
        <w:fldChar w:fldCharType="separate"/>
      </w:r>
      <w:r w:rsidR="00F21D3F">
        <w:t>110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L_C_A_8_m_int_G_2 \h  \* MERGEFORMAT </w:instrText>
      </w:r>
      <w:r>
        <w:fldChar w:fldCharType="separate"/>
      </w:r>
      <w:r w:rsidR="00F21D3F">
        <w:t>111</w:t>
      </w:r>
      <w:r>
        <w:fldChar w:fldCharType="end"/>
      </w:r>
      <w:r>
        <w:t xml:space="preserve"> по-долу (вж., за подобен подход,</w:t>
      </w:r>
      <w:bookmarkStart w:id="223" w:name="_cl42547THELAW"/>
      <w:r w:rsidRPr="00BC135B">
        <w:rPr>
          <w:i/>
          <w:iCs/>
        </w:rPr>
        <w:t xml:space="preserve"> Fu Quan, s.r.o. с</w:t>
      </w:r>
      <w:r w:rsidR="008C6275">
        <w:rPr>
          <w:i/>
          <w:iCs/>
          <w:lang w:val="bg-BG"/>
        </w:rPr>
        <w:t>/</w:t>
      </w:r>
      <w:r w:rsidRPr="00BC135B">
        <w:rPr>
          <w:i/>
          <w:iCs/>
        </w:rPr>
        <w:t>у Чешката република</w:t>
      </w:r>
      <w:bookmarkEnd w:id="223"/>
      <w:r w:rsidRPr="00BC135B">
        <w:t xml:space="preserve"> [</w:t>
      </w:r>
      <w:r w:rsidR="008C6275">
        <w:rPr>
          <w:lang w:val="bg-BG"/>
        </w:rPr>
        <w:t>ГК</w:t>
      </w:r>
      <w:r w:rsidRPr="00BC135B">
        <w:t xml:space="preserve">], № 24827/14, </w:t>
      </w:r>
      <w:r w:rsidR="008C6275">
        <w:rPr>
          <w:lang w:val="bg-BG"/>
        </w:rPr>
        <w:t>чл.</w:t>
      </w:r>
      <w:r>
        <w:t xml:space="preserve"> 88 </w:t>
      </w:r>
      <w:r w:rsidRPr="00BC135B">
        <w:rPr>
          <w:i/>
          <w:iCs/>
        </w:rPr>
        <w:t>in fine</w:t>
      </w:r>
      <w:r w:rsidRPr="00BC135B">
        <w:t>, 1 юни 2023 г.</w:t>
      </w:r>
      <w:r>
        <w:t>).</w:t>
      </w:r>
    </w:p>
    <w:bookmarkStart w:id="224" w:name="L_C_A_8_adm_rm_A"/>
    <w:p w14:paraId="2FDF39F5" w14:textId="28CCB809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104</w:t>
      </w:r>
      <w:r>
        <w:fldChar w:fldCharType="end"/>
      </w:r>
      <w:bookmarkEnd w:id="224"/>
      <w:r w:rsidRPr="007C6978">
        <w:t xml:space="preserve">. </w:t>
      </w:r>
      <w:r w:rsidR="005F021E">
        <w:rPr>
          <w:lang w:val="bg-BG"/>
        </w:rPr>
        <w:t>Сдружението-</w:t>
      </w:r>
      <w:r w:rsidR="005F021E">
        <w:t>ж</w:t>
      </w:r>
      <w:r>
        <w:t xml:space="preserve">албоподател твърди, че подозира, че Агенцията е внедрила в </w:t>
      </w:r>
      <w:r w:rsidR="00453BAB">
        <w:rPr>
          <w:lang w:val="bg-BG"/>
        </w:rPr>
        <w:t>него</w:t>
      </w:r>
      <w:r>
        <w:t xml:space="preserve"> „</w:t>
      </w:r>
      <w:r w:rsidR="00636119">
        <w:t>служители</w:t>
      </w:r>
      <w:r>
        <w:t xml:space="preserve"> </w:t>
      </w:r>
      <w:r w:rsidR="008B2EC1">
        <w:rPr>
          <w:lang w:val="bg-BG"/>
        </w:rPr>
        <w:t>на</w:t>
      </w:r>
      <w:r>
        <w:t xml:space="preserve"> прикритие“, тъй като това е напъ</w:t>
      </w:r>
      <w:r w:rsidR="008B2EC1">
        <w:t>лно възможно съгласно въпросните</w:t>
      </w:r>
      <w:r>
        <w:t xml:space="preserve"> разпоредби. Агенцията не е имала задължение да уведоми </w:t>
      </w:r>
      <w:r w:rsidR="008B2EC1">
        <w:rPr>
          <w:lang w:val="bg-BG"/>
        </w:rPr>
        <w:t>сдружението</w:t>
      </w:r>
      <w:r>
        <w:t xml:space="preserve"> за това, а </w:t>
      </w:r>
      <w:r w:rsidR="008B2EC1">
        <w:rPr>
          <w:lang w:val="bg-BG"/>
        </w:rPr>
        <w:t>сдружението</w:t>
      </w:r>
      <w:r>
        <w:t xml:space="preserve"> не е имал</w:t>
      </w:r>
      <w:r w:rsidR="008B2EC1">
        <w:rPr>
          <w:lang w:val="bg-BG"/>
        </w:rPr>
        <w:t>о</w:t>
      </w:r>
      <w:r>
        <w:t xml:space="preserve"> законен начин да разбере дали това се е случило; правителството не е опровергало това в </w:t>
      </w:r>
      <w:r w:rsidR="008B2EC1">
        <w:rPr>
          <w:lang w:val="bg-BG"/>
        </w:rPr>
        <w:t>своето становище</w:t>
      </w:r>
      <w:r>
        <w:t>.</w:t>
      </w:r>
    </w:p>
    <w:p w14:paraId="21BF28EC" w14:textId="77777777" w:rsidR="00304BC9" w:rsidRPr="00D143CC" w:rsidRDefault="000F3485" w:rsidP="00304BC9">
      <w:pPr>
        <w:pStyle w:val="JuHa0"/>
      </w:pPr>
      <w:bookmarkStart w:id="225" w:name="_Toc175214990"/>
      <w:bookmarkStart w:id="226" w:name="_Toc232688295"/>
      <w:r>
        <w:t>Изчерпване на вътрешните правни средства за защита</w:t>
      </w:r>
      <w:bookmarkEnd w:id="225"/>
      <w:bookmarkEnd w:id="226"/>
    </w:p>
    <w:bookmarkStart w:id="227" w:name="L_C_A_8_adm_exh_G"/>
    <w:p w14:paraId="3D91B310" w14:textId="06642246" w:rsidR="00304BC9" w:rsidRPr="007C6978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105</w:t>
      </w:r>
      <w:r>
        <w:fldChar w:fldCharType="end"/>
      </w:r>
      <w:bookmarkEnd w:id="227"/>
      <w:r w:rsidR="008C6275">
        <w:t xml:space="preserve">. </w:t>
      </w:r>
      <w:r w:rsidRPr="007C6978">
        <w:t xml:space="preserve">Правителството </w:t>
      </w:r>
      <w:r>
        <w:t xml:space="preserve">изтъкна, че вътрешните средства за защита не са били изчерпани, тъй като членовете на </w:t>
      </w:r>
      <w:r w:rsidR="002A507C">
        <w:rPr>
          <w:lang w:val="bg-BG"/>
        </w:rPr>
        <w:t>сдружението</w:t>
      </w:r>
      <w:r>
        <w:t xml:space="preserve"> са могли да поискат достъп до личните данни, отнасящи се до тях и обработвани в </w:t>
      </w:r>
      <w:r w:rsidR="002A507C">
        <w:rPr>
          <w:lang w:val="bg-BG"/>
        </w:rPr>
        <w:t>информационните фондове</w:t>
      </w:r>
      <w:r w:rsidR="003243AA">
        <w:t xml:space="preserve"> на Агенцията съгласно чл.</w:t>
      </w:r>
      <w:r>
        <w:t xml:space="preserve"> 36, </w:t>
      </w:r>
      <w:r w:rsidR="002A507C">
        <w:rPr>
          <w:lang w:val="bg-BG"/>
        </w:rPr>
        <w:t>ал.</w:t>
      </w:r>
      <w:r>
        <w:t xml:space="preserve"> 4 от Закона от 2007 г. (вж. параграф</w:t>
      </w:r>
      <w:r w:rsidR="008C6275">
        <w:rPr>
          <w:lang w:val="bg-BG"/>
        </w:rPr>
        <w:t xml:space="preserve"> </w:t>
      </w:r>
      <w:r>
        <w:fldChar w:fldCharType="begin"/>
      </w:r>
      <w:r>
        <w:instrText xml:space="preserve"> REF  RLF_SANSA_s_36_4_5_6 \h  \* MERGEFORMAT </w:instrText>
      </w:r>
      <w:r>
        <w:fldChar w:fldCharType="separate"/>
      </w:r>
      <w:r w:rsidR="00F21D3F">
        <w:t>60</w:t>
      </w:r>
      <w:r>
        <w:fldChar w:fldCharType="end"/>
      </w:r>
      <w:r>
        <w:t xml:space="preserve"> по-горе), и да обжалват пред административните съдилища всеки отказ на Агенцията да предо</w:t>
      </w:r>
      <w:r w:rsidR="00154767">
        <w:t>стави такъв достъп съгласно чл.</w:t>
      </w:r>
      <w:r>
        <w:t xml:space="preserve"> 36, </w:t>
      </w:r>
      <w:r w:rsidR="002A507C">
        <w:rPr>
          <w:lang w:val="bg-BG"/>
        </w:rPr>
        <w:t>ал.</w:t>
      </w:r>
      <w:r>
        <w:t xml:space="preserve"> 9 от същия закон. Тази възможност все </w:t>
      </w:r>
      <w:r>
        <w:lastRenderedPageBreak/>
        <w:t xml:space="preserve">още е налице и би позволила на </w:t>
      </w:r>
      <w:r w:rsidR="002A507C">
        <w:rPr>
          <w:lang w:val="bg-BG"/>
        </w:rPr>
        <w:t>сдружението</w:t>
      </w:r>
      <w:r>
        <w:t xml:space="preserve"> да установи дали Агенцията действително е събрала информация за него или за неговите членове.</w:t>
      </w:r>
    </w:p>
    <w:bookmarkStart w:id="228" w:name="L_C_A_8_adm_exh_A"/>
    <w:p w14:paraId="198F31AD" w14:textId="1C6C6691" w:rsidR="00304BC9" w:rsidRPr="00F73B0F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106</w:t>
      </w:r>
      <w:r>
        <w:fldChar w:fldCharType="end"/>
      </w:r>
      <w:bookmarkEnd w:id="228"/>
      <w:r w:rsidR="008C6275">
        <w:rPr>
          <w:lang w:val="bg-BG"/>
        </w:rPr>
        <w:t xml:space="preserve">. </w:t>
      </w:r>
      <w:r w:rsidR="00F73B0F">
        <w:rPr>
          <w:lang w:val="bg-BG"/>
        </w:rPr>
        <w:t>Сдружението-ж</w:t>
      </w:r>
      <w:r w:rsidR="001B408C">
        <w:rPr>
          <w:lang w:val="bg-BG"/>
        </w:rPr>
        <w:t>албоподател</w:t>
      </w:r>
      <w:r w:rsidR="00F73B0F">
        <w:rPr>
          <w:lang w:val="bg-BG"/>
        </w:rPr>
        <w:t xml:space="preserve"> отговоря</w:t>
      </w:r>
      <w:r w:rsidRPr="00F73B0F">
        <w:rPr>
          <w:lang w:val="bg-BG"/>
        </w:rPr>
        <w:t>, че като е довела до край производството за</w:t>
      </w:r>
      <w:r w:rsidR="00F73B0F">
        <w:rPr>
          <w:lang w:val="bg-BG"/>
        </w:rPr>
        <w:t xml:space="preserve"> съдебен контрол на оспорените разпоредби</w:t>
      </w:r>
      <w:r w:rsidRPr="00F73B0F">
        <w:rPr>
          <w:lang w:val="bg-BG"/>
        </w:rPr>
        <w:t xml:space="preserve">, </w:t>
      </w:r>
      <w:r w:rsidR="00F73B0F">
        <w:rPr>
          <w:lang w:val="bg-BG"/>
        </w:rPr>
        <w:t>то е изчерпал</w:t>
      </w:r>
      <w:r w:rsidR="003243AA">
        <w:rPr>
          <w:lang w:val="bg-BG"/>
        </w:rPr>
        <w:t>о</w:t>
      </w:r>
      <w:r w:rsidRPr="00F73B0F">
        <w:rPr>
          <w:lang w:val="bg-BG"/>
        </w:rPr>
        <w:t xml:space="preserve"> вътрешните средства за защита.</w:t>
      </w:r>
    </w:p>
    <w:p w14:paraId="25716A8E" w14:textId="0C5733D8" w:rsidR="00304BC9" w:rsidRDefault="00F73B0F" w:rsidP="00304BC9">
      <w:pPr>
        <w:pStyle w:val="JuH1"/>
      </w:pPr>
      <w:bookmarkStart w:id="229" w:name="_Toc175214991"/>
      <w:bookmarkStart w:id="230" w:name="_Toc232688296"/>
      <w:r>
        <w:rPr>
          <w:lang w:val="bg-BG"/>
        </w:rPr>
        <w:t>Преценк</w:t>
      </w:r>
      <w:r w:rsidR="00012FF5">
        <w:rPr>
          <w:lang w:val="bg-BG"/>
        </w:rPr>
        <w:t>а</w:t>
      </w:r>
      <w:r>
        <w:rPr>
          <w:lang w:val="bg-BG"/>
        </w:rPr>
        <w:t xml:space="preserve">та </w:t>
      </w:r>
      <w:r w:rsidR="000F3485">
        <w:t>на Съда</w:t>
      </w:r>
      <w:bookmarkEnd w:id="229"/>
      <w:bookmarkEnd w:id="230"/>
    </w:p>
    <w:p w14:paraId="0B117F9D" w14:textId="77777777" w:rsidR="00304BC9" w:rsidRPr="004304AD" w:rsidRDefault="000F3485" w:rsidP="00304BC9">
      <w:pPr>
        <w:pStyle w:val="JuHa0"/>
      </w:pPr>
      <w:bookmarkStart w:id="231" w:name="_Toc175214992"/>
      <w:bookmarkStart w:id="232" w:name="_Toc232688297"/>
      <w:r w:rsidRPr="004304AD">
        <w:t>Статут на жертва и изчерпване на вътрешните правни средства за защита</w:t>
      </w:r>
      <w:bookmarkEnd w:id="231"/>
      <w:bookmarkEnd w:id="232"/>
    </w:p>
    <w:bookmarkStart w:id="233" w:name="L_C_A_8_adm_exh_C"/>
    <w:p w14:paraId="39595C17" w14:textId="231106D3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107</w:t>
      </w:r>
      <w:r>
        <w:fldChar w:fldCharType="end"/>
      </w:r>
      <w:bookmarkEnd w:id="233"/>
      <w:r w:rsidR="008C6275">
        <w:t xml:space="preserve">. </w:t>
      </w:r>
      <w:r>
        <w:t xml:space="preserve">Въпросът дали </w:t>
      </w:r>
      <w:r w:rsidR="001B408C">
        <w:rPr>
          <w:lang w:val="bg-BG"/>
        </w:rPr>
        <w:t>сдружението-</w:t>
      </w:r>
      <w:r w:rsidR="001B408C">
        <w:t>жалбоподател</w:t>
      </w:r>
      <w:r>
        <w:t xml:space="preserve"> може </w:t>
      </w:r>
      <w:r w:rsidRPr="00C74512">
        <w:t xml:space="preserve">да претендира, че е жертва на </w:t>
      </w:r>
      <w:r w:rsidR="001B408C">
        <w:t>намеса в правата му</w:t>
      </w:r>
      <w:r>
        <w:t xml:space="preserve"> по член 8 от Конвенцията поради с</w:t>
      </w:r>
      <w:r w:rsidR="001B408C">
        <w:t>амото съществуване на спорните правила</w:t>
      </w:r>
      <w:r>
        <w:t xml:space="preserve"> и дали е </w:t>
      </w:r>
      <w:r w:rsidR="001B408C">
        <w:t>изчерпало</w:t>
      </w:r>
      <w:r w:rsidRPr="00C74512">
        <w:t xml:space="preserve"> вътрешните правни средства за защита </w:t>
      </w:r>
      <w:r>
        <w:t xml:space="preserve">е </w:t>
      </w:r>
      <w:r w:rsidRPr="00C74512">
        <w:t xml:space="preserve">тясно </w:t>
      </w:r>
      <w:r>
        <w:t xml:space="preserve">свързан със </w:t>
      </w:r>
      <w:r w:rsidRPr="00C74512">
        <w:t>същността на жалбата</w:t>
      </w:r>
      <w:r>
        <w:t xml:space="preserve">. Възражението на правителството за неизчерпване на вътрешните средства за защита и възражението, че </w:t>
      </w:r>
      <w:r w:rsidR="00713FDD">
        <w:rPr>
          <w:lang w:val="bg-BG"/>
        </w:rPr>
        <w:t>сдружението-</w:t>
      </w:r>
      <w:r w:rsidR="00713FDD">
        <w:t>жалбоподател</w:t>
      </w:r>
      <w:r>
        <w:t xml:space="preserve"> не може да претендира, че е жертва, трябва следователно да бъдат разгледани по същество </w:t>
      </w:r>
      <w:r w:rsidRPr="00C74512">
        <w:t>(вж</w:t>
      </w:r>
      <w:r>
        <w:t xml:space="preserve">., </w:t>
      </w:r>
      <w:r w:rsidRPr="00C74512">
        <w:rPr>
          <w:i/>
          <w:iCs/>
        </w:rPr>
        <w:t>mutatis mutandis</w:t>
      </w:r>
      <w:r>
        <w:t xml:space="preserve">, </w:t>
      </w:r>
      <w:r w:rsidR="00713FDD" w:rsidRPr="00C74512">
        <w:rPr>
          <w:i/>
          <w:iCs/>
        </w:rPr>
        <w:t>Roman Zakharov</w:t>
      </w:r>
      <w:r w:rsidRPr="00C74512">
        <w:t xml:space="preserve">, </w:t>
      </w:r>
      <w:r w:rsidR="008C6275">
        <w:rPr>
          <w:lang w:val="bg-BG"/>
        </w:rPr>
        <w:t>чл.</w:t>
      </w:r>
      <w:r w:rsidRPr="00C74512">
        <w:t xml:space="preserve"> 150</w:t>
      </w:r>
      <w:r>
        <w:t xml:space="preserve">; </w:t>
      </w:r>
      <w:r w:rsidR="008C6275">
        <w:rPr>
          <w:i/>
          <w:iCs/>
          <w:lang w:val="bg-BG"/>
        </w:rPr>
        <w:t>Екимджиев</w:t>
      </w:r>
      <w:r w:rsidRPr="008B0655">
        <w:rPr>
          <w:i/>
          <w:iCs/>
        </w:rPr>
        <w:t xml:space="preserve"> и др</w:t>
      </w:r>
      <w:r>
        <w:t xml:space="preserve">., </w:t>
      </w:r>
      <w:r w:rsidR="008C6275">
        <w:rPr>
          <w:rFonts w:cstheme="minorHAnsi"/>
          <w:lang w:val="bg-BG"/>
        </w:rPr>
        <w:t>чл.</w:t>
      </w:r>
      <w:r>
        <w:t xml:space="preserve"> 259; и </w:t>
      </w:r>
      <w:r w:rsidR="00713FDD" w:rsidRPr="0030773D">
        <w:rPr>
          <w:i/>
          <w:iCs/>
        </w:rPr>
        <w:t>Pietrzak and Bychawska-Siniarska and Others</w:t>
      </w:r>
      <w:r>
        <w:t xml:space="preserve">, </w:t>
      </w:r>
      <w:r w:rsidR="00713FDD">
        <w:rPr>
          <w:rFonts w:cstheme="minorHAnsi"/>
          <w:lang w:val="bg-BG"/>
        </w:rPr>
        <w:t>§</w:t>
      </w:r>
      <w:r>
        <w:t xml:space="preserve"> 129, всички цитирани по-горе).</w:t>
      </w:r>
    </w:p>
    <w:p w14:paraId="342E9EB8" w14:textId="77777777" w:rsidR="00304BC9" w:rsidRPr="004304AD" w:rsidRDefault="000F3485" w:rsidP="00304BC9">
      <w:pPr>
        <w:pStyle w:val="JuHa0"/>
      </w:pPr>
      <w:bookmarkStart w:id="234" w:name="_Toc175214993"/>
      <w:bookmarkStart w:id="235" w:name="_Toc232688298"/>
      <w:r>
        <w:t>Заключение относно допустимостта на жалбата</w:t>
      </w:r>
      <w:bookmarkEnd w:id="234"/>
      <w:bookmarkEnd w:id="235"/>
    </w:p>
    <w:p w14:paraId="7B8BD3CE" w14:textId="5B95182D" w:rsidR="00304BC9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108</w:t>
      </w:r>
      <w:r>
        <w:rPr>
          <w:noProof/>
        </w:rPr>
        <w:fldChar w:fldCharType="end"/>
      </w:r>
      <w:r w:rsidR="008C6275">
        <w:t>. </w:t>
      </w:r>
      <w:r w:rsidR="00E86C1E">
        <w:rPr>
          <w:lang w:val="bg-BG"/>
        </w:rPr>
        <w:t>Оплакването, освен това,</w:t>
      </w:r>
      <w:r w:rsidR="000F3485" w:rsidRPr="0013735B">
        <w:t xml:space="preserve"> не е явно </w:t>
      </w:r>
      <w:r w:rsidR="00E86C1E">
        <w:rPr>
          <w:lang w:val="bg-BG"/>
        </w:rPr>
        <w:t xml:space="preserve">необосновано </w:t>
      </w:r>
      <w:r w:rsidR="00E86C1E">
        <w:t>или недопустимо</w:t>
      </w:r>
      <w:r w:rsidR="000F3485" w:rsidRPr="0013735B">
        <w:t xml:space="preserve"> </w:t>
      </w:r>
      <w:r w:rsidR="00E86C1E">
        <w:rPr>
          <w:lang w:val="bg-BG"/>
        </w:rPr>
        <w:t>на</w:t>
      </w:r>
      <w:r w:rsidR="000F3485" w:rsidRPr="0013735B">
        <w:t xml:space="preserve"> други </w:t>
      </w:r>
      <w:r w:rsidR="00E86C1E">
        <w:rPr>
          <w:lang w:val="bg-BG"/>
        </w:rPr>
        <w:t>основания</w:t>
      </w:r>
      <w:r w:rsidR="000F3485" w:rsidRPr="0013735B">
        <w:t xml:space="preserve">. Следователно </w:t>
      </w:r>
      <w:r w:rsidR="00E86C1E">
        <w:rPr>
          <w:lang w:val="bg-BG"/>
        </w:rPr>
        <w:t>то</w:t>
      </w:r>
      <w:r w:rsidR="00E86C1E">
        <w:t xml:space="preserve"> трябва да бъде обявено за допустимо</w:t>
      </w:r>
      <w:r w:rsidR="000F3485" w:rsidRPr="0013735B">
        <w:t>.</w:t>
      </w:r>
    </w:p>
    <w:p w14:paraId="3E49734E" w14:textId="77777777" w:rsidR="00304BC9" w:rsidRDefault="008C6275" w:rsidP="00304BC9">
      <w:pPr>
        <w:pStyle w:val="JuHA"/>
      </w:pPr>
      <w:bookmarkStart w:id="236" w:name="_Toc175214994"/>
      <w:bookmarkStart w:id="237" w:name="_Toc232688299"/>
      <w:r>
        <w:rPr>
          <w:lang w:val="bg-BG"/>
        </w:rPr>
        <w:t>По с</w:t>
      </w:r>
      <w:r w:rsidR="000F3485" w:rsidRPr="007C6978">
        <w:t>ъщество</w:t>
      </w:r>
      <w:bookmarkEnd w:id="236"/>
      <w:bookmarkEnd w:id="237"/>
    </w:p>
    <w:p w14:paraId="22D95FB7" w14:textId="77777777" w:rsidR="00304BC9" w:rsidRDefault="00145B17" w:rsidP="00304BC9">
      <w:pPr>
        <w:pStyle w:val="JuH1"/>
      </w:pPr>
      <w:bookmarkStart w:id="238" w:name="_Toc175214995"/>
      <w:bookmarkStart w:id="239" w:name="_Toc232688300"/>
      <w:r>
        <w:t>Статут</w:t>
      </w:r>
      <w:r w:rsidR="000F3485" w:rsidRPr="00A032B6">
        <w:t xml:space="preserve"> на жертва и наличието на намеса</w:t>
      </w:r>
      <w:bookmarkEnd w:id="238"/>
      <w:r w:rsidR="000F3485">
        <w:t xml:space="preserve"> в правата, защитени съгласно член 8 от Конвенцията</w:t>
      </w:r>
      <w:bookmarkEnd w:id="239"/>
    </w:p>
    <w:p w14:paraId="0839A3EF" w14:textId="77777777" w:rsidR="00304BC9" w:rsidRDefault="00145B17" w:rsidP="00304BC9">
      <w:pPr>
        <w:pStyle w:val="JuHa0"/>
      </w:pPr>
      <w:bookmarkStart w:id="240" w:name="_Toc175214996"/>
      <w:bookmarkStart w:id="241" w:name="_Toc232688301"/>
      <w:r>
        <w:rPr>
          <w:lang w:val="bg-BG"/>
        </w:rPr>
        <w:t>Становищата</w:t>
      </w:r>
      <w:r w:rsidR="000F3485">
        <w:t xml:space="preserve"> </w:t>
      </w:r>
      <w:r w:rsidR="00A060A3">
        <w:t>на</w:t>
      </w:r>
      <w:r w:rsidR="000F3485">
        <w:t xml:space="preserve"> страните</w:t>
      </w:r>
      <w:bookmarkEnd w:id="240"/>
      <w:bookmarkEnd w:id="241"/>
    </w:p>
    <w:p w14:paraId="2652C0FF" w14:textId="4DD84F8E" w:rsidR="00304BC9" w:rsidRPr="00061FE4" w:rsidRDefault="004114B7" w:rsidP="00304BC9">
      <w:pPr>
        <w:pStyle w:val="JuHi"/>
        <w:spacing w:line="240" w:lineRule="auto"/>
      </w:pPr>
      <w:bookmarkStart w:id="242" w:name="_Toc232688302"/>
      <w:r>
        <w:rPr>
          <w:lang w:val="bg-BG"/>
        </w:rPr>
        <w:t>Сдружението</w:t>
      </w:r>
      <w:r w:rsidR="00145B17">
        <w:rPr>
          <w:lang w:val="bg-BG"/>
        </w:rPr>
        <w:t>-жалбоподател</w:t>
      </w:r>
      <w:bookmarkEnd w:id="242"/>
    </w:p>
    <w:bookmarkStart w:id="243" w:name="L_C_A_8_m_int_A"/>
    <w:p w14:paraId="4FC2C0D1" w14:textId="70925DF4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109</w:t>
      </w:r>
      <w:r>
        <w:fldChar w:fldCharType="end"/>
      </w:r>
      <w:bookmarkEnd w:id="243"/>
      <w:r w:rsidR="008C6275">
        <w:t>. </w:t>
      </w:r>
      <w:r w:rsidR="004114B7">
        <w:rPr>
          <w:lang w:val="bg-BG"/>
        </w:rPr>
        <w:t>Сдружението-</w:t>
      </w:r>
      <w:r w:rsidR="004114B7">
        <w:t>жалбоподател</w:t>
      </w:r>
      <w:r>
        <w:t xml:space="preserve"> твърди, че самото съществуване на разпоредбите, които позволяват на Агенцията да внедрява „</w:t>
      </w:r>
      <w:r w:rsidR="00636119">
        <w:t>служители</w:t>
      </w:r>
      <w:r>
        <w:t xml:space="preserve"> </w:t>
      </w:r>
      <w:r w:rsidR="004114B7">
        <w:rPr>
          <w:lang w:val="bg-BG"/>
        </w:rPr>
        <w:t>на</w:t>
      </w:r>
      <w:r>
        <w:t xml:space="preserve"> прикритие“ в частни организации, представлява намеса в правата </w:t>
      </w:r>
      <w:r w:rsidR="004114B7">
        <w:rPr>
          <w:lang w:val="bg-BG"/>
        </w:rPr>
        <w:t>му</w:t>
      </w:r>
      <w:r>
        <w:t xml:space="preserve"> по член 8 от Конвенцията. Според </w:t>
      </w:r>
      <w:r w:rsidR="004114B7">
        <w:rPr>
          <w:lang w:val="bg-BG"/>
        </w:rPr>
        <w:t>него</w:t>
      </w:r>
      <w:r>
        <w:t xml:space="preserve"> разграничението между „</w:t>
      </w:r>
      <w:r w:rsidR="00636119">
        <w:t>служители</w:t>
      </w:r>
      <w:r>
        <w:t xml:space="preserve"> под прикритие“ и „</w:t>
      </w:r>
      <w:r w:rsidR="00636119">
        <w:t>служители</w:t>
      </w:r>
      <w:r>
        <w:t xml:space="preserve"> </w:t>
      </w:r>
      <w:r w:rsidR="004114B7">
        <w:rPr>
          <w:lang w:val="bg-BG"/>
        </w:rPr>
        <w:t>на</w:t>
      </w:r>
      <w:r>
        <w:t xml:space="preserve"> прикритие“ е „просто игра на думи“ и не отразява никаква съществена разлика, тъй като „</w:t>
      </w:r>
      <w:r w:rsidR="00636119">
        <w:t>служители</w:t>
      </w:r>
      <w:r>
        <w:t xml:space="preserve">те </w:t>
      </w:r>
      <w:r w:rsidR="00D53F80">
        <w:rPr>
          <w:lang w:val="bg-BG"/>
        </w:rPr>
        <w:t>на</w:t>
      </w:r>
      <w:r>
        <w:t xml:space="preserve"> прикритие“ също могат да </w:t>
      </w:r>
      <w:r w:rsidR="00D53F80">
        <w:rPr>
          <w:lang w:val="bg-BG"/>
        </w:rPr>
        <w:t>достъпят дома</w:t>
      </w:r>
      <w:r>
        <w:t xml:space="preserve"> или да подслушват комуникациите на организациите, в които могат да бъдат внедрени – дори и да не използват технически средства за това.</w:t>
      </w:r>
    </w:p>
    <w:p w14:paraId="7D6BE505" w14:textId="77777777" w:rsidR="00304BC9" w:rsidRDefault="000F3485" w:rsidP="00304BC9">
      <w:pPr>
        <w:pStyle w:val="JuHi"/>
        <w:spacing w:line="240" w:lineRule="auto"/>
      </w:pPr>
      <w:bookmarkStart w:id="244" w:name="_Toc175214998"/>
      <w:bookmarkStart w:id="245" w:name="_Toc232688303"/>
      <w:r>
        <w:lastRenderedPageBreak/>
        <w:t>Правителството</w:t>
      </w:r>
      <w:bookmarkEnd w:id="244"/>
      <w:bookmarkEnd w:id="245"/>
    </w:p>
    <w:bookmarkStart w:id="246" w:name="L_C_A_8_m_int_G_1"/>
    <w:p w14:paraId="2F3DDB84" w14:textId="500DC66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110</w:t>
      </w:r>
      <w:r>
        <w:fldChar w:fldCharType="end"/>
      </w:r>
      <w:bookmarkStart w:id="247" w:name="_cl30694THELAW"/>
      <w:bookmarkEnd w:id="246"/>
      <w:r w:rsidR="008C6275">
        <w:t xml:space="preserve">. </w:t>
      </w:r>
      <w:r>
        <w:t>Правителството изтък</w:t>
      </w:r>
      <w:r w:rsidR="00EB3CD8">
        <w:rPr>
          <w:lang w:val="bg-BG"/>
        </w:rPr>
        <w:t>в</w:t>
      </w:r>
      <w:r>
        <w:t xml:space="preserve">а, че от </w:t>
      </w:r>
      <w:r w:rsidRPr="00E66E88">
        <w:rPr>
          <w:i/>
          <w:iCs/>
        </w:rPr>
        <w:t xml:space="preserve">делото </w:t>
      </w:r>
      <w:bookmarkEnd w:id="247"/>
      <w:r w:rsidR="00515751" w:rsidRPr="00515751">
        <w:rPr>
          <w:i/>
          <w:iCs/>
        </w:rPr>
        <w:t xml:space="preserve">Lüdi v. Switzerland </w:t>
      </w:r>
      <w:r>
        <w:t>(</w:t>
      </w:r>
      <w:r w:rsidRPr="00E66E88">
        <w:t xml:space="preserve">15 юни 1992 г., </w:t>
      </w:r>
      <w:r w:rsidR="008C6275">
        <w:rPr>
          <w:lang w:val="bg-BG"/>
        </w:rPr>
        <w:t>чл.</w:t>
      </w:r>
      <w:r>
        <w:t xml:space="preserve"> 40</w:t>
      </w:r>
      <w:r w:rsidRPr="00E66E88">
        <w:t>, серия А № 238</w:t>
      </w:r>
      <w:r>
        <w:t xml:space="preserve">) следва, че използването на тайни </w:t>
      </w:r>
      <w:r w:rsidR="00636119">
        <w:t>служители</w:t>
      </w:r>
      <w:r>
        <w:t xml:space="preserve"> не засяга </w:t>
      </w:r>
      <w:r w:rsidRPr="00291093">
        <w:t xml:space="preserve">непременно </w:t>
      </w:r>
      <w:r>
        <w:t>„личния живот“ или „кореспонденцията“. То също така изтъкна, че работата на „</w:t>
      </w:r>
      <w:r w:rsidR="00636119">
        <w:t>служители</w:t>
      </w:r>
      <w:r>
        <w:t xml:space="preserve"> </w:t>
      </w:r>
      <w:r w:rsidR="00275CB7">
        <w:rPr>
          <w:lang w:val="bg-BG"/>
        </w:rPr>
        <w:t>на</w:t>
      </w:r>
      <w:r>
        <w:t xml:space="preserve"> прикритие“ не води до накърняване на личния живот от същия вид, по отношение на </w:t>
      </w:r>
      <w:r w:rsidRPr="00F21067">
        <w:t xml:space="preserve">степента и вероятността </w:t>
      </w:r>
      <w:r>
        <w:t>на настъпване, както това, което е свързано с тайни мерки за наблюдение, като например подслушване на комуникации. Ролята на „</w:t>
      </w:r>
      <w:r w:rsidR="00636119">
        <w:t>служители</w:t>
      </w:r>
      <w:r>
        <w:t xml:space="preserve">те </w:t>
      </w:r>
      <w:r w:rsidR="00275CB7">
        <w:rPr>
          <w:lang w:val="bg-BG"/>
        </w:rPr>
        <w:t>на</w:t>
      </w:r>
      <w:r w:rsidR="00C241EB">
        <w:t xml:space="preserve"> прикритие“ е </w:t>
      </w:r>
      <w:r>
        <w:t xml:space="preserve"> само да установят престъпно поведение, което би се случило във всеки случай.</w:t>
      </w:r>
    </w:p>
    <w:bookmarkStart w:id="248" w:name="L_C_A_8_m_int_G_2"/>
    <w:p w14:paraId="731B239A" w14:textId="61E938E0" w:rsidR="00304BC9" w:rsidRPr="00290A54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111</w:t>
      </w:r>
      <w:r>
        <w:fldChar w:fldCharType="end"/>
      </w:r>
      <w:bookmarkEnd w:id="248"/>
      <w:r w:rsidR="008C6275">
        <w:rPr>
          <w:lang w:val="bg-BG"/>
        </w:rPr>
        <w:t xml:space="preserve">. </w:t>
      </w:r>
      <w:r w:rsidRPr="00275CB7">
        <w:rPr>
          <w:lang w:val="bg-BG"/>
        </w:rPr>
        <w:t>Правителството също така изтък</w:t>
      </w:r>
      <w:r w:rsidR="00EB3CD8">
        <w:rPr>
          <w:lang w:val="bg-BG"/>
        </w:rPr>
        <w:t>в</w:t>
      </w:r>
      <w:r w:rsidRPr="00275CB7">
        <w:rPr>
          <w:lang w:val="bg-BG"/>
        </w:rPr>
        <w:t xml:space="preserve">а, че жалбата на </w:t>
      </w:r>
      <w:r w:rsidR="00275CB7" w:rsidRPr="00275CB7">
        <w:rPr>
          <w:lang w:val="bg-BG"/>
        </w:rPr>
        <w:t>сдружението</w:t>
      </w:r>
      <w:r w:rsidRPr="00275CB7">
        <w:rPr>
          <w:lang w:val="bg-BG"/>
        </w:rPr>
        <w:t xml:space="preserve"> е изцяло абстрактна, тъй като в нея не се твърди, че в него са </w:t>
      </w:r>
      <w:r w:rsidR="00EB3CD8">
        <w:rPr>
          <w:lang w:val="bg-BG"/>
        </w:rPr>
        <w:t>внедрени</w:t>
      </w:r>
      <w:r w:rsidRPr="00275CB7">
        <w:rPr>
          <w:lang w:val="bg-BG"/>
        </w:rPr>
        <w:t xml:space="preserve"> „</w:t>
      </w:r>
      <w:r w:rsidR="00636119" w:rsidRPr="00275CB7">
        <w:rPr>
          <w:lang w:val="bg-BG"/>
        </w:rPr>
        <w:t>служители</w:t>
      </w:r>
      <w:r w:rsidRPr="00275CB7">
        <w:rPr>
          <w:lang w:val="bg-BG"/>
        </w:rPr>
        <w:t xml:space="preserve"> </w:t>
      </w:r>
      <w:r w:rsidR="00EB3CD8">
        <w:rPr>
          <w:lang w:val="bg-BG"/>
        </w:rPr>
        <w:t>на</w:t>
      </w:r>
      <w:r w:rsidRPr="00275CB7">
        <w:rPr>
          <w:lang w:val="bg-BG"/>
        </w:rPr>
        <w:t xml:space="preserve"> прикритие“. </w:t>
      </w:r>
      <w:r w:rsidRPr="00C23485">
        <w:rPr>
          <w:lang w:val="bg-BG"/>
        </w:rPr>
        <w:t>Според тях специфичният характер на „</w:t>
      </w:r>
      <w:r w:rsidR="00636119" w:rsidRPr="00C23485">
        <w:rPr>
          <w:lang w:val="bg-BG"/>
        </w:rPr>
        <w:t>служители</w:t>
      </w:r>
      <w:r w:rsidRPr="00C23485">
        <w:rPr>
          <w:lang w:val="bg-BG"/>
        </w:rPr>
        <w:t xml:space="preserve">те </w:t>
      </w:r>
      <w:r w:rsidR="00C23485">
        <w:rPr>
          <w:lang w:val="bg-BG"/>
        </w:rPr>
        <w:t>на</w:t>
      </w:r>
      <w:r w:rsidRPr="00C23485">
        <w:rPr>
          <w:lang w:val="bg-BG"/>
        </w:rPr>
        <w:t xml:space="preserve"> прикритие“ означава, че подходът на Съда към въпроса дали дадено лице може да претендира, че е жертва на намеса в правата, гарантирани от член 8 от Конвенцията, само поради съществуването на закон, разрешаващ тайно наблюдение, не може лесно да бъде пренесен към „</w:t>
      </w:r>
      <w:r w:rsidR="00636119" w:rsidRPr="00C23485">
        <w:rPr>
          <w:lang w:val="bg-BG"/>
        </w:rPr>
        <w:t>служители</w:t>
      </w:r>
      <w:r w:rsidRPr="00C23485">
        <w:rPr>
          <w:lang w:val="bg-BG"/>
        </w:rPr>
        <w:t xml:space="preserve">те </w:t>
      </w:r>
      <w:r w:rsidR="00C23485">
        <w:rPr>
          <w:lang w:val="bg-BG"/>
        </w:rPr>
        <w:t>на</w:t>
      </w:r>
      <w:r w:rsidRPr="00C23485">
        <w:rPr>
          <w:lang w:val="bg-BG"/>
        </w:rPr>
        <w:t xml:space="preserve"> прикритие“. </w:t>
      </w:r>
      <w:r w:rsidRPr="00290A54">
        <w:rPr>
          <w:lang w:val="bg-BG"/>
        </w:rPr>
        <w:t>В тази връзка е от съществено значение да се подчертае разликата между „</w:t>
      </w:r>
      <w:r w:rsidR="00636119" w:rsidRPr="00290A54">
        <w:rPr>
          <w:lang w:val="bg-BG"/>
        </w:rPr>
        <w:t>служители</w:t>
      </w:r>
      <w:r w:rsidRPr="00290A54">
        <w:rPr>
          <w:lang w:val="bg-BG"/>
        </w:rPr>
        <w:t xml:space="preserve"> под прикритие“ и „</w:t>
      </w:r>
      <w:r w:rsidR="00636119" w:rsidRPr="00290A54">
        <w:rPr>
          <w:lang w:val="bg-BG"/>
        </w:rPr>
        <w:t>служители</w:t>
      </w:r>
      <w:r w:rsidRPr="00290A54">
        <w:rPr>
          <w:lang w:val="bg-BG"/>
        </w:rPr>
        <w:t xml:space="preserve"> на прикритие“. В България първите представляват вид „специални</w:t>
      </w:r>
      <w:r w:rsidR="00C23485">
        <w:rPr>
          <w:lang w:val="bg-BG"/>
        </w:rPr>
        <w:t xml:space="preserve"> разузнавателни</w:t>
      </w:r>
      <w:r w:rsidR="00C23485" w:rsidRPr="00290A54">
        <w:rPr>
          <w:lang w:val="bg-BG"/>
        </w:rPr>
        <w:t xml:space="preserve"> средства</w:t>
      </w:r>
      <w:r w:rsidRPr="00290A54">
        <w:rPr>
          <w:lang w:val="bg-BG"/>
        </w:rPr>
        <w:t>“, които са предмет на разпоредбите на Закона от 1997 г. (вж. параграфи</w:t>
      </w:r>
      <w:r w:rsidR="008C6275">
        <w:rPr>
          <w:lang w:val="bg-BG"/>
        </w:rPr>
        <w:t xml:space="preserve"> </w:t>
      </w:r>
      <w:r>
        <w:fldChar w:fldCharType="begin"/>
      </w:r>
      <w:r w:rsidRPr="00290A54">
        <w:rPr>
          <w:lang w:val="bg-BG"/>
        </w:rPr>
        <w:instrText xml:space="preserve"> </w:instrText>
      </w:r>
      <w:r>
        <w:instrText>REF</w:instrText>
      </w:r>
      <w:r w:rsidRPr="00290A54">
        <w:rPr>
          <w:lang w:val="bg-BG"/>
        </w:rPr>
        <w:instrText xml:space="preserve">  </w:instrText>
      </w:r>
      <w:r>
        <w:instrText>RLF</w:instrText>
      </w:r>
      <w:r w:rsidRPr="00290A54">
        <w:rPr>
          <w:lang w:val="bg-BG"/>
        </w:rPr>
        <w:instrText>_</w:instrText>
      </w:r>
      <w:r>
        <w:instrText>SSMA</w:instrText>
      </w:r>
      <w:r w:rsidRPr="00290A54">
        <w:rPr>
          <w:lang w:val="bg-BG"/>
        </w:rPr>
        <w:instrText xml:space="preserve"> \</w:instrText>
      </w:r>
      <w:r>
        <w:instrText>h</w:instrText>
      </w:r>
      <w:r w:rsidRPr="00290A54">
        <w:rPr>
          <w:lang w:val="bg-BG"/>
        </w:rPr>
        <w:instrText xml:space="preserve"> 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lang w:val="bg-BG"/>
        </w:rPr>
        <w:t>73</w:t>
      </w:r>
      <w:r>
        <w:fldChar w:fldCharType="end"/>
      </w:r>
      <w:r w:rsidRPr="00290A54">
        <w:rPr>
          <w:lang w:val="bg-BG"/>
        </w:rPr>
        <w:t xml:space="preserve"> -</w:t>
      </w:r>
      <w:r>
        <w:fldChar w:fldCharType="begin"/>
      </w:r>
      <w:r w:rsidRPr="00290A54">
        <w:rPr>
          <w:lang w:val="bg-BG"/>
        </w:rPr>
        <w:instrText xml:space="preserve"> </w:instrText>
      </w:r>
      <w:r>
        <w:instrText>REF</w:instrText>
      </w:r>
      <w:r w:rsidRPr="00290A54">
        <w:rPr>
          <w:lang w:val="bg-BG"/>
        </w:rPr>
        <w:instrText xml:space="preserve">  </w:instrText>
      </w:r>
      <w:r>
        <w:instrText>RLF</w:instrText>
      </w:r>
      <w:r w:rsidRPr="00290A54">
        <w:rPr>
          <w:lang w:val="bg-BG"/>
        </w:rPr>
        <w:instrText>_</w:instrText>
      </w:r>
      <w:r>
        <w:instrText>SSMA</w:instrText>
      </w:r>
      <w:r w:rsidRPr="00290A54">
        <w:rPr>
          <w:lang w:val="bg-BG"/>
        </w:rPr>
        <w:instrText>_</w:instrText>
      </w:r>
      <w:r>
        <w:instrText>s</w:instrText>
      </w:r>
      <w:r w:rsidRPr="00290A54">
        <w:rPr>
          <w:lang w:val="bg-BG"/>
        </w:rPr>
        <w:instrText>_10</w:instrText>
      </w:r>
      <w:r>
        <w:instrText>c</w:instrText>
      </w:r>
      <w:r w:rsidRPr="00290A54">
        <w:rPr>
          <w:lang w:val="bg-BG"/>
        </w:rPr>
        <w:instrText>_1 \</w:instrText>
      </w:r>
      <w:r>
        <w:instrText>h</w:instrText>
      </w:r>
      <w:r w:rsidRPr="00290A54">
        <w:rPr>
          <w:lang w:val="bg-BG"/>
        </w:rPr>
        <w:instrText xml:space="preserve"> 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lang w:val="bg-BG"/>
        </w:rPr>
        <w:t>75</w:t>
      </w:r>
      <w:r>
        <w:fldChar w:fldCharType="end"/>
      </w:r>
      <w:r w:rsidRPr="00290A54">
        <w:rPr>
          <w:lang w:val="bg-BG"/>
        </w:rPr>
        <w:t xml:space="preserve"> по-горе), докато вторите не са. Те не могат да дават показания в наказателни производства, нито да използват технически средства за записване на каквото и да било или за създаване на материал за използване в такива производства. Работата им не включва никакво активно разследване; тя е пасивна. Те действа</w:t>
      </w:r>
      <w:r w:rsidR="00911A66">
        <w:rPr>
          <w:lang w:val="bg-BG"/>
        </w:rPr>
        <w:t>т</w:t>
      </w:r>
      <w:r w:rsidRPr="00290A54">
        <w:rPr>
          <w:lang w:val="bg-BG"/>
        </w:rPr>
        <w:t xml:space="preserve"> под истинските си имена и не </w:t>
      </w:r>
      <w:r w:rsidR="00911A66">
        <w:rPr>
          <w:lang w:val="bg-BG"/>
        </w:rPr>
        <w:t>са</w:t>
      </w:r>
      <w:r w:rsidRPr="00290A54">
        <w:rPr>
          <w:lang w:val="bg-BG"/>
        </w:rPr>
        <w:t xml:space="preserve"> освободени от наказателна или гражданска отговорност. </w:t>
      </w:r>
      <w:r w:rsidR="00D63FFB">
        <w:rPr>
          <w:lang w:val="bg-BG"/>
        </w:rPr>
        <w:t>Сигнал от</w:t>
      </w:r>
      <w:r w:rsidRPr="00290A54">
        <w:rPr>
          <w:lang w:val="bg-BG"/>
        </w:rPr>
        <w:t xml:space="preserve"> „</w:t>
      </w:r>
      <w:r w:rsidR="00145B17">
        <w:rPr>
          <w:lang w:val="bg-BG"/>
        </w:rPr>
        <w:t xml:space="preserve">служител </w:t>
      </w:r>
      <w:r w:rsidR="00D63FFB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 w:rsidRPr="00290A54">
        <w:rPr>
          <w:lang w:val="bg-BG"/>
        </w:rPr>
        <w:t>“</w:t>
      </w:r>
      <w:r w:rsidR="005009ED">
        <w:rPr>
          <w:lang w:val="bg-BG"/>
        </w:rPr>
        <w:t xml:space="preserve"> до компетените власти</w:t>
      </w:r>
      <w:r w:rsidRPr="00290A54">
        <w:rPr>
          <w:lang w:val="bg-BG"/>
        </w:rPr>
        <w:t xml:space="preserve"> относн</w:t>
      </w:r>
      <w:r w:rsidR="005009ED" w:rsidRPr="00290A54">
        <w:rPr>
          <w:lang w:val="bg-BG"/>
        </w:rPr>
        <w:t>о престъпление не се различава</w:t>
      </w:r>
      <w:r w:rsidRPr="00290A54">
        <w:rPr>
          <w:lang w:val="bg-BG"/>
        </w:rPr>
        <w:t xml:space="preserve"> от </w:t>
      </w:r>
      <w:r w:rsidR="005009ED">
        <w:rPr>
          <w:lang w:val="bg-BG"/>
        </w:rPr>
        <w:t>сигнала</w:t>
      </w:r>
      <w:r w:rsidRPr="00290A54">
        <w:rPr>
          <w:lang w:val="bg-BG"/>
        </w:rPr>
        <w:t>, който всеки гражданин има</w:t>
      </w:r>
      <w:r w:rsidR="005009ED">
        <w:rPr>
          <w:lang w:val="bg-BG"/>
        </w:rPr>
        <w:t xml:space="preserve"> </w:t>
      </w:r>
      <w:r w:rsidRPr="00290A54">
        <w:rPr>
          <w:lang w:val="bg-BG"/>
        </w:rPr>
        <w:t>законово задължение да подаде. Работата на „</w:t>
      </w:r>
      <w:r w:rsidR="005009ED">
        <w:rPr>
          <w:lang w:val="bg-BG"/>
        </w:rPr>
        <w:t>служителните на прикритие</w:t>
      </w:r>
      <w:r w:rsidR="005009ED" w:rsidRPr="00290A54">
        <w:rPr>
          <w:lang w:val="bg-BG"/>
        </w:rPr>
        <w:t>“ следователно не може</w:t>
      </w:r>
      <w:r w:rsidRPr="00290A54">
        <w:rPr>
          <w:lang w:val="bg-BG"/>
        </w:rPr>
        <w:t xml:space="preserve"> да се разглежда като намеса в „личния живот“ или „кореспонденцията“ на </w:t>
      </w:r>
      <w:r w:rsidR="005009ED">
        <w:rPr>
          <w:lang w:val="bg-BG"/>
        </w:rPr>
        <w:t>сдружението</w:t>
      </w:r>
      <w:r w:rsidRPr="00290A54">
        <w:rPr>
          <w:lang w:val="bg-BG"/>
        </w:rPr>
        <w:t>.</w:t>
      </w:r>
    </w:p>
    <w:p w14:paraId="7331C42D" w14:textId="0DC00C44" w:rsidR="00304BC9" w:rsidRDefault="00CD7C25" w:rsidP="00304BC9">
      <w:pPr>
        <w:pStyle w:val="JuHa0"/>
      </w:pPr>
      <w:bookmarkStart w:id="249" w:name="_Toc175214999"/>
      <w:bookmarkStart w:id="250" w:name="_Toc232688304"/>
      <w:r>
        <w:rPr>
          <w:lang w:val="bg-BG"/>
        </w:rPr>
        <w:t xml:space="preserve">Преценката </w:t>
      </w:r>
      <w:r w:rsidR="000F3485">
        <w:t>на Съда</w:t>
      </w:r>
      <w:bookmarkEnd w:id="249"/>
      <w:bookmarkEnd w:id="250"/>
    </w:p>
    <w:bookmarkStart w:id="251" w:name="L_C_A_8_m_int_C_1_questions_one_two"/>
    <w:p w14:paraId="573FEEA7" w14:textId="4985E674" w:rsidR="00304BC9" w:rsidRPr="002102E1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112</w:t>
      </w:r>
      <w:r>
        <w:fldChar w:fldCharType="end"/>
      </w:r>
      <w:bookmarkStart w:id="252" w:name="_Hlk175236047"/>
      <w:bookmarkEnd w:id="251"/>
      <w:r w:rsidR="008C6275">
        <w:t xml:space="preserve">. </w:t>
      </w:r>
      <w:r>
        <w:t>Въпросът дали съществ</w:t>
      </w:r>
      <w:r w:rsidR="007222FC">
        <w:t xml:space="preserve">уването на спорните разпоредби </w:t>
      </w:r>
      <w:r w:rsidR="007222FC">
        <w:rPr>
          <w:lang w:val="bg-BG"/>
        </w:rPr>
        <w:t>–</w:t>
      </w:r>
      <w:r>
        <w:t xml:space="preserve"> които позволяват на Агенцията да разполага „</w:t>
      </w:r>
      <w:r w:rsidR="00636119">
        <w:t>служители</w:t>
      </w:r>
      <w:r>
        <w:t xml:space="preserve"> </w:t>
      </w:r>
      <w:r w:rsidR="007222FC">
        <w:rPr>
          <w:lang w:val="bg-BG"/>
        </w:rPr>
        <w:t>на</w:t>
      </w:r>
      <w:r>
        <w:t xml:space="preserve"> прикритие“ в частни организации – нарушава правата на </w:t>
      </w:r>
      <w:r w:rsidR="00D8568B">
        <w:t>жалбоподателя</w:t>
      </w:r>
      <w:r>
        <w:t xml:space="preserve"> съгласно член 8 от Конвенцията, включва два въпроса. Първият е дали работата на „</w:t>
      </w:r>
      <w:r w:rsidR="00145B17">
        <w:rPr>
          <w:lang w:val="bg-BG"/>
        </w:rPr>
        <w:t xml:space="preserve">служител </w:t>
      </w:r>
      <w:r w:rsidR="007222FC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>
        <w:t>“ може, предвид нейните характеристики, по принцип да нарушава такива права. Ако отговорът на</w:t>
      </w:r>
      <w:bookmarkStart w:id="253" w:name="_Hlk183016912"/>
      <w:r>
        <w:t xml:space="preserve"> този първи въпрос </w:t>
      </w:r>
      <w:r>
        <w:lastRenderedPageBreak/>
        <w:t>е „да“, вторият въпрос</w:t>
      </w:r>
      <w:bookmarkEnd w:id="253"/>
      <w:r>
        <w:t xml:space="preserve"> е дали </w:t>
      </w:r>
      <w:r w:rsidR="007222FC">
        <w:t>сдружението</w:t>
      </w:r>
      <w:r>
        <w:t xml:space="preserve"> може да</w:t>
      </w:r>
      <w:r w:rsidRPr="000B0233">
        <w:t xml:space="preserve"> твърди</w:t>
      </w:r>
      <w:r>
        <w:t xml:space="preserve">, че е </w:t>
      </w:r>
      <w:r w:rsidRPr="000B0233">
        <w:t xml:space="preserve">жертва на </w:t>
      </w:r>
      <w:r>
        <w:t xml:space="preserve">такова </w:t>
      </w:r>
      <w:r w:rsidRPr="000B0233">
        <w:t xml:space="preserve">нарушение само </w:t>
      </w:r>
      <w:r>
        <w:t xml:space="preserve">поради </w:t>
      </w:r>
      <w:r w:rsidRPr="000B0233">
        <w:t xml:space="preserve">съществуването на </w:t>
      </w:r>
      <w:r>
        <w:t>тези разпоредби</w:t>
      </w:r>
      <w:bookmarkEnd w:id="252"/>
      <w:r>
        <w:t xml:space="preserve"> .</w:t>
      </w:r>
    </w:p>
    <w:p w14:paraId="4AB363B2" w14:textId="39861483" w:rsidR="00304BC9" w:rsidRPr="0013735B" w:rsidRDefault="000F3485" w:rsidP="00304BC9">
      <w:pPr>
        <w:pStyle w:val="JuHi"/>
        <w:spacing w:line="240" w:lineRule="auto"/>
      </w:pPr>
      <w:bookmarkStart w:id="254" w:name="_Toc175215000"/>
      <w:bookmarkStart w:id="255" w:name="_Toc232688305"/>
      <w:r>
        <w:t xml:space="preserve">Може ли </w:t>
      </w:r>
      <w:r w:rsidR="00145B17">
        <w:rPr>
          <w:lang w:val="bg-BG"/>
        </w:rPr>
        <w:t>работата</w:t>
      </w:r>
      <w:r>
        <w:t xml:space="preserve"> на „</w:t>
      </w:r>
      <w:r w:rsidR="007222FC">
        <w:rPr>
          <w:lang w:val="bg-BG"/>
        </w:rPr>
        <w:t>служител</w:t>
      </w:r>
      <w:r w:rsidR="00145B17">
        <w:rPr>
          <w:lang w:val="bg-BG"/>
        </w:rPr>
        <w:t xml:space="preserve"> </w:t>
      </w:r>
      <w:r w:rsidR="007222FC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>
        <w:t xml:space="preserve">“ да </w:t>
      </w:r>
      <w:r w:rsidR="007222FC">
        <w:rPr>
          <w:lang w:val="bg-BG"/>
        </w:rPr>
        <w:t>бъде намеса</w:t>
      </w:r>
      <w:r w:rsidR="00145B17">
        <w:rPr>
          <w:lang w:val="bg-BG"/>
        </w:rPr>
        <w:t xml:space="preserve"> в</w:t>
      </w:r>
      <w:r>
        <w:t xml:space="preserve"> правата на </w:t>
      </w:r>
      <w:r w:rsidR="007222FC">
        <w:rPr>
          <w:lang w:val="bg-BG"/>
        </w:rPr>
        <w:t>сдружението</w:t>
      </w:r>
      <w:r>
        <w:t>-</w:t>
      </w:r>
      <w:r w:rsidR="00145B17">
        <w:rPr>
          <w:lang w:val="bg-BG"/>
        </w:rPr>
        <w:t>жалбоподател</w:t>
      </w:r>
      <w:r>
        <w:t xml:space="preserve"> </w:t>
      </w:r>
      <w:r w:rsidR="00145B17">
        <w:rPr>
          <w:lang w:val="bg-BG"/>
        </w:rPr>
        <w:t>по</w:t>
      </w:r>
      <w:r>
        <w:t xml:space="preserve"> член 8 от Конвенцията?</w:t>
      </w:r>
      <w:bookmarkEnd w:id="254"/>
      <w:bookmarkEnd w:id="255"/>
    </w:p>
    <w:bookmarkStart w:id="256" w:name="L_C_A_8_m_int_C_possibility_1"/>
    <w:p w14:paraId="5F047423" w14:textId="7C70F2CF" w:rsidR="00304BC9" w:rsidRPr="00290A54" w:rsidRDefault="000F3485" w:rsidP="00304BC9">
      <w:pPr>
        <w:pStyle w:val="JuPara"/>
        <w:rPr>
          <w:lang w:val="bg-BG"/>
        </w:rPr>
      </w:pPr>
      <w:r w:rsidRPr="00B032BF">
        <w:fldChar w:fldCharType="begin"/>
      </w:r>
      <w:r w:rsidRPr="00B032BF">
        <w:instrText xml:space="preserve"> SEQ level0 \*arabic \* MERGEFORMAT </w:instrText>
      </w:r>
      <w:r w:rsidRPr="00B032BF">
        <w:fldChar w:fldCharType="separate"/>
      </w:r>
      <w:r w:rsidR="00F21D3F">
        <w:rPr>
          <w:noProof/>
        </w:rPr>
        <w:t>113</w:t>
      </w:r>
      <w:r w:rsidRPr="00B032BF">
        <w:fldChar w:fldCharType="end"/>
      </w:r>
      <w:bookmarkEnd w:id="256"/>
      <w:r w:rsidR="008C6275">
        <w:rPr>
          <w:lang w:val="bg-BG"/>
        </w:rPr>
        <w:t xml:space="preserve">. </w:t>
      </w:r>
      <w:r w:rsidRPr="00F97983">
        <w:rPr>
          <w:lang w:val="bg-BG"/>
        </w:rPr>
        <w:t>„</w:t>
      </w:r>
      <w:r w:rsidR="008C6275">
        <w:rPr>
          <w:lang w:val="bg-BG"/>
        </w:rPr>
        <w:t>Служител</w:t>
      </w:r>
      <w:r w:rsidRPr="00F97983">
        <w:rPr>
          <w:lang w:val="bg-BG"/>
        </w:rPr>
        <w:t xml:space="preserve"> </w:t>
      </w:r>
      <w:r w:rsidR="00F97983">
        <w:rPr>
          <w:lang w:val="bg-BG"/>
        </w:rPr>
        <w:t>на</w:t>
      </w:r>
      <w:r w:rsidRPr="00F97983">
        <w:rPr>
          <w:lang w:val="bg-BG"/>
        </w:rPr>
        <w:t xml:space="preserve"> прикритие“, </w:t>
      </w:r>
      <w:r w:rsidR="00A209B6">
        <w:rPr>
          <w:lang w:val="bg-BG"/>
        </w:rPr>
        <w:t>внедрен</w:t>
      </w:r>
      <w:r w:rsidRPr="00F97983">
        <w:rPr>
          <w:lang w:val="bg-BG"/>
        </w:rPr>
        <w:t xml:space="preserve"> в </w:t>
      </w:r>
      <w:r w:rsidR="00A209B6">
        <w:rPr>
          <w:lang w:val="bg-BG"/>
        </w:rPr>
        <w:t>сдружението</w:t>
      </w:r>
      <w:r w:rsidRPr="00F97983">
        <w:rPr>
          <w:lang w:val="bg-BG"/>
        </w:rPr>
        <w:t xml:space="preserve">, несъмнено би могъл да получи данни за „кореспонденцията“ на </w:t>
      </w:r>
      <w:r w:rsidR="00B73C4D">
        <w:rPr>
          <w:lang w:val="bg-BG"/>
        </w:rPr>
        <w:t>сдружението</w:t>
      </w:r>
      <w:r w:rsidRPr="00F97983">
        <w:rPr>
          <w:lang w:val="bg-BG"/>
        </w:rPr>
        <w:t xml:space="preserve"> по смисъла на член 8, </w:t>
      </w:r>
      <w:r w:rsidRPr="00F97983">
        <w:rPr>
          <w:rFonts w:cstheme="minorHAnsi"/>
          <w:lang w:val="bg-BG"/>
        </w:rPr>
        <w:t>§</w:t>
      </w:r>
      <w:r w:rsidRPr="00F97983">
        <w:rPr>
          <w:lang w:val="bg-BG"/>
        </w:rPr>
        <w:t xml:space="preserve"> 1 от Конвенцията (вж., </w:t>
      </w:r>
      <w:r w:rsidRPr="00C462F6">
        <w:rPr>
          <w:i/>
          <w:iCs/>
        </w:rPr>
        <w:t>mutatis</w:t>
      </w:r>
      <w:r w:rsidRPr="00F97983">
        <w:rPr>
          <w:i/>
          <w:iCs/>
          <w:lang w:val="bg-BG"/>
        </w:rPr>
        <w:t xml:space="preserve"> </w:t>
      </w:r>
      <w:r w:rsidRPr="00C462F6">
        <w:rPr>
          <w:i/>
          <w:iCs/>
        </w:rPr>
        <w:t>mutandis</w:t>
      </w:r>
      <w:r w:rsidRPr="00F97983">
        <w:rPr>
          <w:lang w:val="bg-BG"/>
        </w:rPr>
        <w:t xml:space="preserve">, </w:t>
      </w:r>
      <w:r w:rsidR="008C6275" w:rsidRPr="00F97983">
        <w:rPr>
          <w:i/>
          <w:iCs/>
          <w:lang w:val="bg-BG"/>
        </w:rPr>
        <w:t xml:space="preserve">Асоциация за европейска интеграция и права на човека </w:t>
      </w:r>
      <w:r w:rsidR="008C6275">
        <w:rPr>
          <w:i/>
          <w:iCs/>
          <w:lang w:val="bg-BG"/>
        </w:rPr>
        <w:t>и</w:t>
      </w:r>
      <w:r w:rsidRPr="00F97983">
        <w:rPr>
          <w:i/>
          <w:iCs/>
          <w:lang w:val="bg-BG"/>
        </w:rPr>
        <w:t xml:space="preserve"> </w:t>
      </w:r>
      <w:r w:rsidR="008C6275">
        <w:rPr>
          <w:i/>
          <w:iCs/>
          <w:lang w:val="bg-BG"/>
        </w:rPr>
        <w:t>Екимджиев с/у България</w:t>
      </w:r>
      <w:r w:rsidRPr="00F97983">
        <w:rPr>
          <w:lang w:val="bg-BG"/>
        </w:rPr>
        <w:t xml:space="preserve">, № 62540/00, </w:t>
      </w:r>
      <w:r w:rsidR="00B44338">
        <w:rPr>
          <w:lang w:val="bg-BG"/>
        </w:rPr>
        <w:t>§</w:t>
      </w:r>
      <w:r w:rsidRPr="00F97983">
        <w:rPr>
          <w:lang w:val="bg-BG"/>
        </w:rPr>
        <w:t xml:space="preserve"> 60, 28 юни 2007 г., и </w:t>
      </w:r>
      <w:r w:rsidR="008C6275">
        <w:rPr>
          <w:i/>
          <w:iCs/>
          <w:lang w:val="bg-BG"/>
        </w:rPr>
        <w:t>Екимджиев</w:t>
      </w:r>
      <w:r w:rsidRPr="00F97983">
        <w:rPr>
          <w:i/>
          <w:iCs/>
          <w:lang w:val="bg-BG"/>
        </w:rPr>
        <w:t xml:space="preserve"> и други</w:t>
      </w:r>
      <w:r w:rsidRPr="00F97983">
        <w:rPr>
          <w:lang w:val="bg-BG"/>
        </w:rPr>
        <w:t xml:space="preserve">, цитирано по-горе, </w:t>
      </w:r>
      <w:r w:rsidR="00B44338">
        <w:rPr>
          <w:lang w:val="bg-BG"/>
        </w:rPr>
        <w:t>§</w:t>
      </w:r>
      <w:r w:rsidRPr="00F97983">
        <w:rPr>
          <w:lang w:val="bg-BG"/>
        </w:rPr>
        <w:t xml:space="preserve"> 263). </w:t>
      </w:r>
      <w:r w:rsidRPr="00290A54">
        <w:rPr>
          <w:lang w:val="bg-BG"/>
        </w:rPr>
        <w:t>Както е тълкуван в съдебната практика на Съда, този термин обхваща всички видове частна кореспонденция, независимо от съдържанието или формата, която може да приеме – устни съобщения, писма, телефонни разговори или електронна кореспонденция (вж.</w:t>
      </w:r>
      <w:r w:rsidRPr="00290A54">
        <w:rPr>
          <w:i/>
          <w:iCs/>
          <w:lang w:val="bg-BG"/>
        </w:rPr>
        <w:t xml:space="preserve"> </w:t>
      </w:r>
      <w:r w:rsidR="00A2087C" w:rsidRPr="00A2087C">
        <w:rPr>
          <w:i/>
          <w:iCs/>
        </w:rPr>
        <w:t>Michaud</w:t>
      </w:r>
      <w:r w:rsidRPr="00290A54">
        <w:rPr>
          <w:i/>
          <w:iCs/>
          <w:lang w:val="bg-BG"/>
        </w:rPr>
        <w:t xml:space="preserve"> с</w:t>
      </w:r>
      <w:r w:rsidR="008C6275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Франция</w:t>
      </w:r>
      <w:r w:rsidRPr="00290A54">
        <w:rPr>
          <w:lang w:val="bg-BG"/>
        </w:rPr>
        <w:t xml:space="preserve">, № 12323/11, </w:t>
      </w:r>
      <w:r w:rsidR="00C44A70">
        <w:rPr>
          <w:lang w:val="bg-BG"/>
        </w:rPr>
        <w:t>§</w:t>
      </w:r>
      <w:r w:rsidRPr="00290A54">
        <w:rPr>
          <w:lang w:val="bg-BG"/>
        </w:rPr>
        <w:t xml:space="preserve"> 90, </w:t>
      </w:r>
      <w:r w:rsidRPr="00C462F6">
        <w:t>ECHR</w:t>
      </w:r>
      <w:r w:rsidRPr="00290A54">
        <w:rPr>
          <w:lang w:val="bg-BG"/>
        </w:rPr>
        <w:t xml:space="preserve"> 2012; </w:t>
      </w:r>
      <w:r w:rsidR="00A2087C" w:rsidRPr="00A2087C">
        <w:rPr>
          <w:i/>
          <w:iCs/>
        </w:rPr>
        <w:t>M</w:t>
      </w:r>
      <w:r w:rsidR="00A2087C" w:rsidRPr="00290A54">
        <w:rPr>
          <w:i/>
          <w:iCs/>
          <w:lang w:val="bg-BG"/>
        </w:rPr>
        <w:t>.</w:t>
      </w:r>
      <w:r w:rsidR="00A2087C" w:rsidRPr="00A2087C">
        <w:rPr>
          <w:i/>
          <w:iCs/>
        </w:rPr>
        <w:t>N</w:t>
      </w:r>
      <w:r w:rsidR="00A2087C" w:rsidRPr="00290A54">
        <w:rPr>
          <w:i/>
          <w:iCs/>
          <w:lang w:val="bg-BG"/>
        </w:rPr>
        <w:t xml:space="preserve">. </w:t>
      </w:r>
      <w:r w:rsidR="00A2087C" w:rsidRPr="00A2087C">
        <w:rPr>
          <w:i/>
          <w:iCs/>
        </w:rPr>
        <w:t>and</w:t>
      </w:r>
      <w:r w:rsidR="00A2087C" w:rsidRPr="00290A54">
        <w:rPr>
          <w:i/>
          <w:iCs/>
          <w:lang w:val="bg-BG"/>
        </w:rPr>
        <w:t xml:space="preserve"> </w:t>
      </w:r>
      <w:r w:rsidR="00A2087C" w:rsidRPr="00A2087C">
        <w:rPr>
          <w:i/>
          <w:iCs/>
        </w:rPr>
        <w:t>Others</w:t>
      </w:r>
      <w:r w:rsidR="00A2087C" w:rsidRPr="00290A54">
        <w:rPr>
          <w:i/>
          <w:iCs/>
          <w:lang w:val="bg-BG"/>
        </w:rPr>
        <w:t xml:space="preserve"> </w:t>
      </w:r>
      <w:r w:rsidRPr="00290A54">
        <w:rPr>
          <w:i/>
          <w:iCs/>
          <w:lang w:val="bg-BG"/>
        </w:rPr>
        <w:t>с</w:t>
      </w:r>
      <w:r w:rsidR="008C6275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Сан Марино</w:t>
      </w:r>
      <w:r w:rsidRPr="00290A54">
        <w:rPr>
          <w:lang w:val="bg-BG"/>
        </w:rPr>
        <w:t xml:space="preserve">, № 28005/12, </w:t>
      </w:r>
      <w:r w:rsidR="00C44A70">
        <w:rPr>
          <w:lang w:val="bg-BG"/>
        </w:rPr>
        <w:t>§</w:t>
      </w:r>
      <w:r w:rsidRPr="00290A54">
        <w:rPr>
          <w:lang w:val="bg-BG"/>
        </w:rPr>
        <w:t xml:space="preserve"> 52, 7 юли 2015 г.; и </w:t>
      </w:r>
      <w:r w:rsidR="00A2087C" w:rsidRPr="00A2087C">
        <w:rPr>
          <w:i/>
          <w:iCs/>
        </w:rPr>
        <w:t>Klaus</w:t>
      </w:r>
      <w:r w:rsidR="00A2087C" w:rsidRPr="00290A54">
        <w:rPr>
          <w:i/>
          <w:iCs/>
          <w:lang w:val="bg-BG"/>
        </w:rPr>
        <w:t xml:space="preserve"> </w:t>
      </w:r>
      <w:r w:rsidR="00A2087C" w:rsidRPr="00A2087C">
        <w:rPr>
          <w:i/>
          <w:iCs/>
        </w:rPr>
        <w:t>M</w:t>
      </w:r>
      <w:r w:rsidR="00A2087C" w:rsidRPr="00290A54">
        <w:rPr>
          <w:i/>
          <w:iCs/>
          <w:lang w:val="bg-BG"/>
        </w:rPr>
        <w:t>ü</w:t>
      </w:r>
      <w:r w:rsidR="00A2087C" w:rsidRPr="00A2087C">
        <w:rPr>
          <w:i/>
          <w:iCs/>
        </w:rPr>
        <w:t>ller</w:t>
      </w:r>
      <w:r w:rsidR="00A2087C" w:rsidRPr="00290A54">
        <w:rPr>
          <w:i/>
          <w:iCs/>
          <w:lang w:val="bg-BG"/>
        </w:rPr>
        <w:t xml:space="preserve"> </w:t>
      </w:r>
      <w:r w:rsidRPr="00290A54">
        <w:rPr>
          <w:i/>
          <w:iCs/>
          <w:lang w:val="bg-BG"/>
        </w:rPr>
        <w:t>с</w:t>
      </w:r>
      <w:r w:rsidR="008C6275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Германия</w:t>
      </w:r>
      <w:r w:rsidRPr="00290A54">
        <w:rPr>
          <w:lang w:val="bg-BG"/>
        </w:rPr>
        <w:t xml:space="preserve">, № 24173/18, </w:t>
      </w:r>
      <w:r w:rsidR="00C44A70">
        <w:rPr>
          <w:lang w:val="bg-BG"/>
        </w:rPr>
        <w:t>§</w:t>
      </w:r>
      <w:r w:rsidRPr="00290A54">
        <w:rPr>
          <w:lang w:val="bg-BG"/>
        </w:rPr>
        <w:t xml:space="preserve"> 37, 19 ноември 2020 г.). По-специално, тя обхваща обажданията, направени от или получени на служебни телефони (вж. </w:t>
      </w:r>
      <w:r w:rsidR="00A2087C" w:rsidRPr="00A2087C">
        <w:rPr>
          <w:i/>
          <w:iCs/>
        </w:rPr>
        <w:t>Halford</w:t>
      </w:r>
      <w:r w:rsidR="00A2087C" w:rsidRPr="00290A54">
        <w:rPr>
          <w:i/>
          <w:iCs/>
          <w:lang w:val="bg-BG"/>
        </w:rPr>
        <w:t xml:space="preserve"> </w:t>
      </w:r>
      <w:r w:rsidRPr="00290A54">
        <w:rPr>
          <w:i/>
          <w:iCs/>
          <w:lang w:val="bg-BG"/>
        </w:rPr>
        <w:t>с</w:t>
      </w:r>
      <w:r w:rsidR="008C6275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Обединеното кралство</w:t>
      </w:r>
      <w:r w:rsidRPr="00290A54">
        <w:rPr>
          <w:lang w:val="bg-BG"/>
        </w:rPr>
        <w:t xml:space="preserve">, 25 юни 1997 г., </w:t>
      </w:r>
      <w:r w:rsidR="00966EBF" w:rsidRPr="00290A54">
        <w:rPr>
          <w:lang w:val="bg-BG"/>
        </w:rPr>
        <w:t>§</w:t>
      </w:r>
      <w:r w:rsidRPr="00290A54">
        <w:rPr>
          <w:lang w:val="bg-BG"/>
        </w:rPr>
        <w:t xml:space="preserve"> 44, </w:t>
      </w:r>
      <w:r w:rsidRPr="00290A54">
        <w:rPr>
          <w:i/>
          <w:iCs/>
          <w:lang w:val="bg-BG"/>
        </w:rPr>
        <w:t>Доклади за съдебни решения и решения</w:t>
      </w:r>
      <w:r w:rsidRPr="00290A54">
        <w:rPr>
          <w:lang w:val="bg-BG"/>
        </w:rPr>
        <w:t xml:space="preserve"> 1997-</w:t>
      </w:r>
      <w:r w:rsidRPr="00C462F6">
        <w:t>III</w:t>
      </w:r>
      <w:bookmarkStart w:id="257" w:name="_cl41736THELAW"/>
      <w:r w:rsidRPr="00290A54">
        <w:rPr>
          <w:lang w:val="bg-BG"/>
        </w:rPr>
        <w:t xml:space="preserve"> ;</w:t>
      </w:r>
      <w:bookmarkStart w:id="258" w:name="_cl29524THELAW"/>
      <w:r w:rsidRPr="00290A54">
        <w:rPr>
          <w:lang w:val="bg-BG"/>
        </w:rPr>
        <w:t xml:space="preserve"> </w:t>
      </w:r>
      <w:r w:rsidRPr="00290A54">
        <w:rPr>
          <w:i/>
          <w:iCs/>
          <w:lang w:val="bg-BG"/>
        </w:rPr>
        <w:t>Коп с</w:t>
      </w:r>
      <w:r w:rsidR="008C6275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Швейцария</w:t>
      </w:r>
      <w:bookmarkEnd w:id="258"/>
      <w:r w:rsidRPr="00290A54">
        <w:rPr>
          <w:lang w:val="bg-BG"/>
        </w:rPr>
        <w:t xml:space="preserve">, 25 март 1998 г., </w:t>
      </w:r>
      <w:r w:rsidR="00C44A70">
        <w:rPr>
          <w:lang w:val="bg-BG"/>
        </w:rPr>
        <w:t>§</w:t>
      </w:r>
      <w:r w:rsidR="008C6275">
        <w:rPr>
          <w:lang w:val="bg-BG"/>
        </w:rPr>
        <w:t xml:space="preserve"> </w:t>
      </w:r>
      <w:r w:rsidRPr="00290A54">
        <w:rPr>
          <w:lang w:val="bg-BG"/>
        </w:rPr>
        <w:t xml:space="preserve">50, </w:t>
      </w:r>
      <w:r w:rsidRPr="00290A54">
        <w:rPr>
          <w:i/>
          <w:iCs/>
          <w:lang w:val="bg-BG"/>
        </w:rPr>
        <w:t>Доклади</w:t>
      </w:r>
      <w:r w:rsidRPr="00290A54">
        <w:rPr>
          <w:lang w:val="bg-BG"/>
        </w:rPr>
        <w:t xml:space="preserve"> 1998-</w:t>
      </w:r>
      <w:r w:rsidRPr="00C462F6">
        <w:t>II</w:t>
      </w:r>
      <w:r w:rsidRPr="00290A54">
        <w:rPr>
          <w:lang w:val="bg-BG"/>
        </w:rPr>
        <w:t>;</w:t>
      </w:r>
      <w:bookmarkStart w:id="259" w:name="_cl20795THELAW"/>
      <w:r w:rsidRPr="00290A54">
        <w:rPr>
          <w:lang w:val="bg-BG"/>
        </w:rPr>
        <w:t xml:space="preserve"> </w:t>
      </w:r>
      <w:r w:rsidRPr="00C462F6">
        <w:rPr>
          <w:i/>
          <w:iCs/>
        </w:rPr>
        <w:t>Amann</w:t>
      </w:r>
      <w:r w:rsidRPr="00290A54">
        <w:rPr>
          <w:i/>
          <w:iCs/>
          <w:lang w:val="bg-BG"/>
        </w:rPr>
        <w:t xml:space="preserve"> с</w:t>
      </w:r>
      <w:r w:rsidR="008C6275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Швейцария</w:t>
      </w:r>
      <w:bookmarkEnd w:id="259"/>
      <w:r w:rsidRPr="00290A54">
        <w:rPr>
          <w:lang w:val="bg-BG"/>
        </w:rPr>
        <w:t xml:space="preserve"> [</w:t>
      </w:r>
      <w:r w:rsidR="00107E8D">
        <w:rPr>
          <w:lang w:val="bg-BG"/>
        </w:rPr>
        <w:t>ГК</w:t>
      </w:r>
      <w:r w:rsidRPr="00290A54">
        <w:rPr>
          <w:lang w:val="bg-BG"/>
        </w:rPr>
        <w:t xml:space="preserve">], № 27798/95, </w:t>
      </w:r>
      <w:r w:rsidR="00C44A70">
        <w:rPr>
          <w:lang w:val="bg-BG"/>
        </w:rPr>
        <w:t>§</w:t>
      </w:r>
      <w:r w:rsidRPr="00290A54">
        <w:rPr>
          <w:lang w:val="bg-BG"/>
        </w:rPr>
        <w:t xml:space="preserve"> 44, </w:t>
      </w:r>
      <w:r w:rsidRPr="005D77D8">
        <w:t>ECHR</w:t>
      </w:r>
      <w:r w:rsidRPr="00290A54">
        <w:rPr>
          <w:lang w:val="bg-BG"/>
        </w:rPr>
        <w:t xml:space="preserve"> 2000-</w:t>
      </w:r>
      <w:r w:rsidRPr="005D77D8">
        <w:t>II</w:t>
      </w:r>
      <w:r w:rsidRPr="00290A54">
        <w:rPr>
          <w:lang w:val="bg-BG"/>
        </w:rPr>
        <w:t>;</w:t>
      </w:r>
      <w:bookmarkStart w:id="260" w:name="_cl30478THELAW"/>
      <w:r w:rsidRPr="00290A54">
        <w:rPr>
          <w:i/>
          <w:iCs/>
          <w:lang w:val="bg-BG"/>
        </w:rPr>
        <w:t xml:space="preserve"> </w:t>
      </w:r>
      <w:r w:rsidR="00C44A70" w:rsidRPr="00C44A70">
        <w:rPr>
          <w:i/>
          <w:iCs/>
        </w:rPr>
        <w:t>Liblik</w:t>
      </w:r>
      <w:r w:rsidR="00C44A70" w:rsidRPr="00290A54">
        <w:rPr>
          <w:i/>
          <w:iCs/>
          <w:lang w:val="bg-BG"/>
        </w:rPr>
        <w:t xml:space="preserve"> </w:t>
      </w:r>
      <w:r w:rsidR="00C44A70" w:rsidRPr="00C44A70">
        <w:rPr>
          <w:i/>
          <w:iCs/>
        </w:rPr>
        <w:t>and</w:t>
      </w:r>
      <w:r w:rsidR="00C44A70" w:rsidRPr="00290A54">
        <w:rPr>
          <w:i/>
          <w:iCs/>
          <w:lang w:val="bg-BG"/>
        </w:rPr>
        <w:t xml:space="preserve"> </w:t>
      </w:r>
      <w:r w:rsidR="00C44A70" w:rsidRPr="00C44A70">
        <w:rPr>
          <w:i/>
          <w:iCs/>
        </w:rPr>
        <w:t>Others</w:t>
      </w:r>
      <w:r w:rsidR="00C44A70" w:rsidRPr="00290A54">
        <w:rPr>
          <w:i/>
          <w:iCs/>
          <w:lang w:val="bg-BG"/>
        </w:rPr>
        <w:t xml:space="preserve"> </w:t>
      </w:r>
      <w:r w:rsidRPr="00290A54">
        <w:rPr>
          <w:i/>
          <w:iCs/>
          <w:lang w:val="bg-BG"/>
        </w:rPr>
        <w:t>с</w:t>
      </w:r>
      <w:r w:rsidR="00107E8D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Естония</w:t>
      </w:r>
      <w:bookmarkEnd w:id="260"/>
      <w:r w:rsidRPr="00290A54">
        <w:rPr>
          <w:lang w:val="bg-BG"/>
        </w:rPr>
        <w:t xml:space="preserve">, № 173/15 и 5 други, </w:t>
      </w:r>
      <w:r w:rsidR="00D05D9B">
        <w:rPr>
          <w:lang w:val="bg-BG"/>
        </w:rPr>
        <w:t>§</w:t>
      </w:r>
      <w:r w:rsidRPr="00290A54">
        <w:rPr>
          <w:lang w:val="bg-BG"/>
        </w:rPr>
        <w:t xml:space="preserve"> 110, 28 май 2019 г.; и </w:t>
      </w:r>
      <w:r w:rsidR="00D05D9B" w:rsidRPr="00D05D9B">
        <w:rPr>
          <w:i/>
          <w:iCs/>
        </w:rPr>
        <w:t>Algirdas</w:t>
      </w:r>
      <w:r w:rsidR="00D05D9B" w:rsidRPr="00290A54">
        <w:rPr>
          <w:i/>
          <w:iCs/>
          <w:lang w:val="bg-BG"/>
        </w:rPr>
        <w:t xml:space="preserve"> </w:t>
      </w:r>
      <w:r w:rsidR="00D05D9B" w:rsidRPr="00D05D9B">
        <w:rPr>
          <w:i/>
          <w:iCs/>
        </w:rPr>
        <w:t>Butkevi</w:t>
      </w:r>
      <w:r w:rsidR="00D05D9B" w:rsidRPr="00290A54">
        <w:rPr>
          <w:i/>
          <w:iCs/>
          <w:lang w:val="bg-BG"/>
        </w:rPr>
        <w:t>č</w:t>
      </w:r>
      <w:r w:rsidR="00D05D9B" w:rsidRPr="00D05D9B">
        <w:rPr>
          <w:i/>
          <w:iCs/>
        </w:rPr>
        <w:t>ius</w:t>
      </w:r>
      <w:r w:rsidR="00D05D9B" w:rsidRPr="00290A54">
        <w:rPr>
          <w:i/>
          <w:iCs/>
          <w:lang w:val="bg-BG"/>
        </w:rPr>
        <w:t xml:space="preserve"> </w:t>
      </w:r>
      <w:r w:rsidRPr="00290A54">
        <w:rPr>
          <w:i/>
          <w:iCs/>
          <w:lang w:val="bg-BG"/>
        </w:rPr>
        <w:t>с</w:t>
      </w:r>
      <w:r w:rsidR="00107E8D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Литва</w:t>
      </w:r>
      <w:bookmarkEnd w:id="257"/>
      <w:r w:rsidRPr="00290A54">
        <w:rPr>
          <w:lang w:val="bg-BG"/>
        </w:rPr>
        <w:t xml:space="preserve"> , № 70489/17, </w:t>
      </w:r>
      <w:r w:rsidR="00D05D9B">
        <w:rPr>
          <w:lang w:val="bg-BG"/>
        </w:rPr>
        <w:t>§</w:t>
      </w:r>
      <w:r w:rsidRPr="00290A54">
        <w:rPr>
          <w:lang w:val="bg-BG"/>
        </w:rPr>
        <w:t xml:space="preserve"> 63, 14 юни 2022 г.), както и служебни имейли (вж.</w:t>
      </w:r>
      <w:bookmarkStart w:id="261" w:name="_cl23793THELAW"/>
      <w:r w:rsidRPr="00290A54">
        <w:rPr>
          <w:i/>
          <w:iCs/>
          <w:lang w:val="bg-BG"/>
        </w:rPr>
        <w:t xml:space="preserve"> </w:t>
      </w:r>
      <w:r w:rsidR="00D05D9B" w:rsidRPr="00D05D9B">
        <w:rPr>
          <w:i/>
          <w:iCs/>
        </w:rPr>
        <w:t>Copland</w:t>
      </w:r>
      <w:r w:rsidR="00D05D9B" w:rsidRPr="00290A54">
        <w:rPr>
          <w:i/>
          <w:iCs/>
          <w:lang w:val="bg-BG"/>
        </w:rPr>
        <w:t xml:space="preserve"> </w:t>
      </w:r>
      <w:r w:rsidRPr="00290A54">
        <w:rPr>
          <w:i/>
          <w:iCs/>
          <w:lang w:val="bg-BG"/>
        </w:rPr>
        <w:t>с</w:t>
      </w:r>
      <w:r w:rsidR="00107E8D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>у Обединеното кралство</w:t>
      </w:r>
      <w:bookmarkEnd w:id="261"/>
      <w:r w:rsidRPr="00290A54">
        <w:rPr>
          <w:lang w:val="bg-BG"/>
        </w:rPr>
        <w:t xml:space="preserve">, № 62617/00, </w:t>
      </w:r>
      <w:r w:rsidR="00D05D9B">
        <w:rPr>
          <w:lang w:val="bg-BG"/>
        </w:rPr>
        <w:t>§</w:t>
      </w:r>
      <w:r w:rsidRPr="00290A54">
        <w:rPr>
          <w:lang w:val="bg-BG"/>
        </w:rPr>
        <w:t xml:space="preserve"> 41, </w:t>
      </w:r>
      <w:r w:rsidRPr="00A11A5F">
        <w:t>ECHR</w:t>
      </w:r>
      <w:r w:rsidRPr="00290A54">
        <w:rPr>
          <w:lang w:val="bg-BG"/>
        </w:rPr>
        <w:t xml:space="preserve"> 2007-</w:t>
      </w:r>
      <w:r w:rsidRPr="00A11A5F">
        <w:t>I</w:t>
      </w:r>
      <w:r w:rsidRPr="00290A54">
        <w:rPr>
          <w:lang w:val="bg-BG"/>
        </w:rPr>
        <w:t xml:space="preserve">). Терминът „кореспонденция“ обхваща също така комуникациите на юридическите лица (вж. </w:t>
      </w:r>
      <w:r w:rsidRPr="00537032">
        <w:rPr>
          <w:i/>
          <w:iCs/>
        </w:rPr>
        <w:t>Ships</w:t>
      </w:r>
      <w:r w:rsidRPr="00290A54">
        <w:rPr>
          <w:i/>
          <w:iCs/>
          <w:lang w:val="bg-BG"/>
        </w:rPr>
        <w:t xml:space="preserve"> </w:t>
      </w:r>
      <w:r w:rsidRPr="00537032">
        <w:rPr>
          <w:i/>
          <w:iCs/>
        </w:rPr>
        <w:t>Waste</w:t>
      </w:r>
      <w:r w:rsidRPr="00290A54">
        <w:rPr>
          <w:i/>
          <w:iCs/>
          <w:lang w:val="bg-BG"/>
        </w:rPr>
        <w:t xml:space="preserve"> </w:t>
      </w:r>
      <w:r w:rsidRPr="00537032">
        <w:rPr>
          <w:i/>
          <w:iCs/>
        </w:rPr>
        <w:t>Oil</w:t>
      </w:r>
      <w:r w:rsidRPr="00290A54">
        <w:rPr>
          <w:i/>
          <w:iCs/>
          <w:lang w:val="bg-BG"/>
        </w:rPr>
        <w:t xml:space="preserve"> </w:t>
      </w:r>
      <w:r w:rsidRPr="00537032">
        <w:rPr>
          <w:i/>
          <w:iCs/>
        </w:rPr>
        <w:t>Collector</w:t>
      </w:r>
      <w:r w:rsidRPr="00290A54">
        <w:rPr>
          <w:i/>
          <w:iCs/>
          <w:lang w:val="bg-BG"/>
        </w:rPr>
        <w:t xml:space="preserve"> </w:t>
      </w:r>
      <w:r w:rsidRPr="00537032">
        <w:rPr>
          <w:i/>
          <w:iCs/>
        </w:rPr>
        <w:t>B</w:t>
      </w:r>
      <w:r w:rsidRPr="00290A54">
        <w:rPr>
          <w:i/>
          <w:iCs/>
          <w:lang w:val="bg-BG"/>
        </w:rPr>
        <w:t>.</w:t>
      </w:r>
      <w:r w:rsidRPr="00537032">
        <w:rPr>
          <w:i/>
          <w:iCs/>
        </w:rPr>
        <w:t>V</w:t>
      </w:r>
      <w:r w:rsidRPr="00290A54">
        <w:rPr>
          <w:i/>
          <w:iCs/>
          <w:lang w:val="bg-BG"/>
        </w:rPr>
        <w:t>. и други с</w:t>
      </w:r>
      <w:r w:rsidR="00107E8D">
        <w:rPr>
          <w:i/>
          <w:iCs/>
          <w:lang w:val="bg-BG"/>
        </w:rPr>
        <w:t>/</w:t>
      </w:r>
      <w:r w:rsidRPr="00290A54">
        <w:rPr>
          <w:i/>
          <w:iCs/>
          <w:lang w:val="bg-BG"/>
        </w:rPr>
        <w:t xml:space="preserve">у Нидерландия </w:t>
      </w:r>
      <w:r w:rsidRPr="00290A54">
        <w:rPr>
          <w:lang w:val="bg-BG"/>
        </w:rPr>
        <w:t>[</w:t>
      </w:r>
      <w:r w:rsidR="00107E8D">
        <w:rPr>
          <w:lang w:val="bg-BG"/>
        </w:rPr>
        <w:t>ГК</w:t>
      </w:r>
      <w:r w:rsidRPr="00290A54">
        <w:rPr>
          <w:lang w:val="bg-BG"/>
        </w:rPr>
        <w:t xml:space="preserve">], № 2799/16 и 3 други, </w:t>
      </w:r>
      <w:r w:rsidR="007D4166">
        <w:rPr>
          <w:lang w:val="bg-BG"/>
        </w:rPr>
        <w:t>§</w:t>
      </w:r>
      <w:r w:rsidRPr="00290A54">
        <w:rPr>
          <w:lang w:val="bg-BG"/>
        </w:rPr>
        <w:t xml:space="preserve"> 146, 1 април 2025 г.).</w:t>
      </w:r>
    </w:p>
    <w:bookmarkStart w:id="262" w:name="L_C_A_8_m_int_C_possibility_2"/>
    <w:p w14:paraId="48E83FB3" w14:textId="49E7EBD0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114</w:t>
      </w:r>
      <w:r>
        <w:fldChar w:fldCharType="end"/>
      </w:r>
      <w:bookmarkEnd w:id="262"/>
      <w:r w:rsidRPr="00FE0C4F">
        <w:rPr>
          <w:lang w:val="bg-BG"/>
        </w:rPr>
        <w:t>.</w:t>
      </w:r>
      <w:r>
        <w:t> </w:t>
      </w:r>
      <w:r w:rsidRPr="00FE0C4F">
        <w:rPr>
          <w:lang w:val="bg-BG"/>
        </w:rPr>
        <w:t>В тази връзка следва да се отбележи, че, както се потвърждава от фактите по много дела, разгледани от Съда, „кореспонденцията“ може да бъде подложена на намеса не само в момента на изпращането или получаването ѝ, но и впоследствие чрез достъп до носителя – физически или електронен – на който е съхранена (вж.</w:t>
      </w:r>
      <w:bookmarkStart w:id="263" w:name="_cl32866THELAW"/>
      <w:r w:rsidRPr="00FE0C4F">
        <w:rPr>
          <w:i/>
          <w:iCs/>
          <w:lang w:val="bg-BG"/>
        </w:rPr>
        <w:t xml:space="preserve"> </w:t>
      </w:r>
      <w:r w:rsidR="000B4488" w:rsidRPr="000B4488">
        <w:rPr>
          <w:i/>
          <w:iCs/>
        </w:rPr>
        <w:t>Niemietz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Германия</w:t>
      </w:r>
      <w:bookmarkEnd w:id="263"/>
      <w:r w:rsidRPr="00FE0C4F">
        <w:rPr>
          <w:lang w:val="bg-BG"/>
        </w:rPr>
        <w:t xml:space="preserve"> , 16 декември 1992 г., </w:t>
      </w:r>
      <w:r w:rsidR="000B4488">
        <w:rPr>
          <w:lang w:val="bg-BG"/>
        </w:rPr>
        <w:t>§</w:t>
      </w:r>
      <w:r w:rsidRPr="00FE0C4F">
        <w:rPr>
          <w:lang w:val="bg-BG"/>
        </w:rPr>
        <w:t xml:space="preserve"> 32, Серия А № 251-</w:t>
      </w:r>
      <w:r w:rsidRPr="00A11A5F">
        <w:t>B</w:t>
      </w:r>
      <w:r w:rsidRPr="00FE0C4F">
        <w:rPr>
          <w:lang w:val="bg-BG"/>
        </w:rPr>
        <w:t>;</w:t>
      </w:r>
      <w:bookmarkStart w:id="264" w:name="_cl38924THELAW"/>
      <w:r w:rsidRPr="00FE0C4F">
        <w:rPr>
          <w:lang w:val="bg-BG"/>
        </w:rPr>
        <w:t xml:space="preserve"> </w:t>
      </w:r>
      <w:bookmarkStart w:id="265" w:name="_cl39254THELAW"/>
      <w:bookmarkEnd w:id="264"/>
      <w:r w:rsidRPr="00FE0C4F">
        <w:rPr>
          <w:i/>
          <w:iCs/>
          <w:lang w:val="bg-BG"/>
        </w:rPr>
        <w:t xml:space="preserve"> </w:t>
      </w:r>
      <w:r w:rsidRPr="00FF3B02">
        <w:rPr>
          <w:i/>
          <w:iCs/>
        </w:rPr>
        <w:t>Wieser</w:t>
      </w:r>
      <w:r w:rsidRPr="00FE0C4F">
        <w:rPr>
          <w:i/>
          <w:iCs/>
          <w:lang w:val="bg-BG"/>
        </w:rPr>
        <w:t xml:space="preserve"> </w:t>
      </w:r>
      <w:r w:rsidRPr="00FF3B02">
        <w:rPr>
          <w:i/>
          <w:iCs/>
        </w:rPr>
        <w:t>and</w:t>
      </w:r>
      <w:r w:rsidRPr="00FE0C4F">
        <w:rPr>
          <w:i/>
          <w:iCs/>
          <w:lang w:val="bg-BG"/>
        </w:rPr>
        <w:t xml:space="preserve"> </w:t>
      </w:r>
      <w:r w:rsidRPr="00FF3B02">
        <w:rPr>
          <w:i/>
          <w:iCs/>
        </w:rPr>
        <w:t>Bicos</w:t>
      </w:r>
      <w:r w:rsidRPr="00FE0C4F">
        <w:rPr>
          <w:i/>
          <w:iCs/>
          <w:lang w:val="bg-BG"/>
        </w:rPr>
        <w:t xml:space="preserve"> </w:t>
      </w:r>
      <w:r w:rsidRPr="00FF3B02">
        <w:rPr>
          <w:i/>
          <w:iCs/>
        </w:rPr>
        <w:t>Beteiligungen</w:t>
      </w:r>
      <w:r w:rsidRPr="00FE0C4F">
        <w:rPr>
          <w:i/>
          <w:iCs/>
          <w:lang w:val="bg-BG"/>
        </w:rPr>
        <w:t xml:space="preserve"> </w:t>
      </w:r>
      <w:r w:rsidRPr="00FF3B02">
        <w:rPr>
          <w:i/>
          <w:iCs/>
        </w:rPr>
        <w:t>GmbH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Австрия</w:t>
      </w:r>
      <w:bookmarkEnd w:id="265"/>
      <w:r w:rsidRPr="00FE0C4F">
        <w:rPr>
          <w:lang w:val="bg-BG"/>
        </w:rPr>
        <w:t xml:space="preserve">, № 74336/01, </w:t>
      </w:r>
      <w:r w:rsidR="000B4488">
        <w:rPr>
          <w:lang w:val="bg-BG"/>
        </w:rPr>
        <w:t>§</w:t>
      </w:r>
      <w:r w:rsidRPr="00FE0C4F">
        <w:rPr>
          <w:lang w:val="bg-BG"/>
        </w:rPr>
        <w:t xml:space="preserve"> 45, </w:t>
      </w:r>
      <w:r w:rsidRPr="00FF3B02">
        <w:t>ECHR</w:t>
      </w:r>
      <w:r w:rsidRPr="00FE0C4F">
        <w:rPr>
          <w:lang w:val="bg-BG"/>
        </w:rPr>
        <w:t xml:space="preserve"> 2007-</w:t>
      </w:r>
      <w:r w:rsidRPr="00FF3B02">
        <w:t>IV</w:t>
      </w:r>
      <w:r w:rsidRPr="00FE0C4F">
        <w:rPr>
          <w:lang w:val="bg-BG"/>
        </w:rPr>
        <w:t xml:space="preserve">; </w:t>
      </w:r>
      <w:r w:rsidRPr="005910F9">
        <w:rPr>
          <w:i/>
          <w:iCs/>
        </w:rPr>
        <w:t>Bernh</w:t>
      </w:r>
      <w:r w:rsidRPr="00FE0C4F">
        <w:rPr>
          <w:i/>
          <w:iCs/>
          <w:lang w:val="bg-BG"/>
        </w:rPr>
        <w:t xml:space="preserve"> </w:t>
      </w:r>
      <w:r w:rsidRPr="005910F9">
        <w:rPr>
          <w:i/>
          <w:iCs/>
        </w:rPr>
        <w:t>Larsen</w:t>
      </w:r>
      <w:r w:rsidRPr="00FE0C4F">
        <w:rPr>
          <w:i/>
          <w:iCs/>
          <w:lang w:val="bg-BG"/>
        </w:rPr>
        <w:t xml:space="preserve"> </w:t>
      </w:r>
      <w:r w:rsidRPr="005910F9">
        <w:rPr>
          <w:i/>
          <w:iCs/>
        </w:rPr>
        <w:t>Holding</w:t>
      </w:r>
      <w:r w:rsidRPr="00FE0C4F">
        <w:rPr>
          <w:i/>
          <w:iCs/>
          <w:lang w:val="bg-BG"/>
        </w:rPr>
        <w:t xml:space="preserve"> </w:t>
      </w:r>
      <w:r w:rsidRPr="005910F9">
        <w:rPr>
          <w:i/>
          <w:iCs/>
        </w:rPr>
        <w:t>AS</w:t>
      </w:r>
      <w:r w:rsidRPr="00FE0C4F">
        <w:rPr>
          <w:i/>
          <w:iCs/>
          <w:lang w:val="bg-BG"/>
        </w:rPr>
        <w:t xml:space="preserve"> и други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Норвегия</w:t>
      </w:r>
      <w:r w:rsidRPr="00FE0C4F">
        <w:rPr>
          <w:lang w:val="bg-BG"/>
        </w:rPr>
        <w:t xml:space="preserve">, № 24117/08, </w:t>
      </w:r>
      <w:r w:rsidR="000B4488">
        <w:rPr>
          <w:lang w:val="bg-BG"/>
        </w:rPr>
        <w:t>§</w:t>
      </w:r>
      <w:r w:rsidRPr="00FE0C4F">
        <w:rPr>
          <w:lang w:val="bg-BG"/>
        </w:rPr>
        <w:t xml:space="preserve"> 106, 14 март 2013 г.; </w:t>
      </w:r>
      <w:r w:rsidRPr="00E32E68">
        <w:rPr>
          <w:i/>
          <w:iCs/>
        </w:rPr>
        <w:t>Vinci</w:t>
      </w:r>
      <w:r w:rsidRPr="00FE0C4F">
        <w:rPr>
          <w:i/>
          <w:iCs/>
          <w:lang w:val="bg-BG"/>
        </w:rPr>
        <w:t xml:space="preserve"> </w:t>
      </w:r>
      <w:r w:rsidRPr="00E32E68">
        <w:rPr>
          <w:i/>
          <w:iCs/>
        </w:rPr>
        <w:t>Construction</w:t>
      </w:r>
      <w:r w:rsidRPr="00FE0C4F">
        <w:rPr>
          <w:i/>
          <w:iCs/>
          <w:lang w:val="bg-BG"/>
        </w:rPr>
        <w:t xml:space="preserve"> и </w:t>
      </w:r>
      <w:r w:rsidRPr="00E32E68">
        <w:rPr>
          <w:i/>
          <w:iCs/>
        </w:rPr>
        <w:t>GTM</w:t>
      </w:r>
      <w:r w:rsidRPr="00FE0C4F">
        <w:rPr>
          <w:i/>
          <w:iCs/>
          <w:lang w:val="bg-BG"/>
        </w:rPr>
        <w:t xml:space="preserve"> </w:t>
      </w:r>
      <w:r w:rsidRPr="00E32E68">
        <w:rPr>
          <w:i/>
          <w:iCs/>
        </w:rPr>
        <w:t>G</w:t>
      </w:r>
      <w:r w:rsidRPr="00FE0C4F">
        <w:rPr>
          <w:i/>
          <w:iCs/>
          <w:lang w:val="bg-BG"/>
        </w:rPr>
        <w:t>é</w:t>
      </w:r>
      <w:r w:rsidRPr="00E32E68">
        <w:rPr>
          <w:i/>
          <w:iCs/>
        </w:rPr>
        <w:t>nie</w:t>
      </w:r>
      <w:r w:rsidRPr="00FE0C4F">
        <w:rPr>
          <w:i/>
          <w:iCs/>
          <w:lang w:val="bg-BG"/>
        </w:rPr>
        <w:t xml:space="preserve"> </w:t>
      </w:r>
      <w:r w:rsidRPr="00E32E68">
        <w:rPr>
          <w:i/>
          <w:iCs/>
        </w:rPr>
        <w:t>Civil</w:t>
      </w:r>
      <w:r w:rsidRPr="00FE0C4F">
        <w:rPr>
          <w:i/>
          <w:iCs/>
          <w:lang w:val="bg-BG"/>
        </w:rPr>
        <w:t xml:space="preserve"> </w:t>
      </w:r>
      <w:r w:rsidRPr="00E32E68">
        <w:rPr>
          <w:i/>
          <w:iCs/>
        </w:rPr>
        <w:t>et</w:t>
      </w:r>
      <w:r w:rsidRPr="00FE0C4F">
        <w:rPr>
          <w:i/>
          <w:iCs/>
          <w:lang w:val="bg-BG"/>
        </w:rPr>
        <w:t xml:space="preserve"> </w:t>
      </w:r>
      <w:r w:rsidRPr="00E32E68">
        <w:rPr>
          <w:i/>
          <w:iCs/>
        </w:rPr>
        <w:t>Services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Франция</w:t>
      </w:r>
      <w:r w:rsidRPr="00FE0C4F">
        <w:rPr>
          <w:lang w:val="bg-BG"/>
        </w:rPr>
        <w:t xml:space="preserve">, № 63629/10 и 60567/10, </w:t>
      </w:r>
      <w:r w:rsidR="000B4488">
        <w:rPr>
          <w:lang w:val="bg-BG"/>
        </w:rPr>
        <w:t>§</w:t>
      </w:r>
      <w:r w:rsidRPr="00FE0C4F">
        <w:rPr>
          <w:lang w:val="bg-BG"/>
        </w:rPr>
        <w:t xml:space="preserve"> 63, 2 април 2015 г.;</w:t>
      </w:r>
      <w:bookmarkStart w:id="266" w:name="_cl36237THELAW"/>
      <w:r w:rsidRPr="00FE0C4F">
        <w:rPr>
          <w:lang w:val="bg-BG"/>
        </w:rPr>
        <w:t xml:space="preserve"> </w:t>
      </w:r>
      <w:bookmarkStart w:id="267" w:name="_Hlk179674809"/>
      <w:r w:rsidRPr="00FE0C4F">
        <w:rPr>
          <w:i/>
          <w:iCs/>
          <w:lang w:val="bg-BG"/>
        </w:rPr>
        <w:t xml:space="preserve"> </w:t>
      </w:r>
      <w:r w:rsidR="000B4488" w:rsidRPr="00A11A5F">
        <w:rPr>
          <w:i/>
          <w:iCs/>
        </w:rPr>
        <w:t>M</w:t>
      </w:r>
      <w:r w:rsidR="000B4488" w:rsidRPr="00FE0C4F">
        <w:rPr>
          <w:i/>
          <w:iCs/>
          <w:lang w:val="bg-BG"/>
        </w:rPr>
        <w:t>.</w:t>
      </w:r>
      <w:r w:rsidR="000B4488" w:rsidRPr="00A11A5F">
        <w:rPr>
          <w:i/>
          <w:iCs/>
        </w:rPr>
        <w:t>N</w:t>
      </w:r>
      <w:r w:rsidR="000B4488" w:rsidRPr="00FE0C4F">
        <w:rPr>
          <w:i/>
          <w:iCs/>
          <w:lang w:val="bg-BG"/>
        </w:rPr>
        <w:t xml:space="preserve">. </w:t>
      </w:r>
      <w:r w:rsidR="000B4488" w:rsidRPr="00A11A5F">
        <w:rPr>
          <w:i/>
          <w:iCs/>
        </w:rPr>
        <w:t>and</w:t>
      </w:r>
      <w:r w:rsidR="000B4488" w:rsidRPr="00FE0C4F">
        <w:rPr>
          <w:i/>
          <w:iCs/>
          <w:lang w:val="bg-BG"/>
        </w:rPr>
        <w:t xml:space="preserve"> </w:t>
      </w:r>
      <w:r w:rsidR="000B4488" w:rsidRPr="00A11A5F">
        <w:rPr>
          <w:i/>
          <w:iCs/>
        </w:rPr>
        <w:t>Others</w:t>
      </w:r>
      <w:r w:rsidR="000B4488" w:rsidRPr="00FE0C4F">
        <w:rPr>
          <w:i/>
          <w:iCs/>
          <w:lang w:val="bg-BG"/>
        </w:rPr>
        <w:t xml:space="preserve"> </w:t>
      </w:r>
      <w:r w:rsidRPr="00FE0C4F">
        <w:rPr>
          <w:i/>
          <w:iCs/>
          <w:lang w:val="bg-BG"/>
        </w:rPr>
        <w:t>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Сан Марино</w:t>
      </w:r>
      <w:r w:rsidRPr="00FE0C4F">
        <w:rPr>
          <w:lang w:val="bg-BG"/>
        </w:rPr>
        <w:t xml:space="preserve">, цитирано по-горе, </w:t>
      </w:r>
      <w:r w:rsidR="00FF23EF">
        <w:rPr>
          <w:rFonts w:cstheme="minorHAnsi"/>
          <w:lang w:val="bg-BG"/>
        </w:rPr>
        <w:t xml:space="preserve">§§ </w:t>
      </w:r>
      <w:r w:rsidRPr="00FE0C4F">
        <w:rPr>
          <w:lang w:val="bg-BG"/>
        </w:rPr>
        <w:t>54-55;</w:t>
      </w:r>
      <w:bookmarkEnd w:id="267"/>
      <w:r w:rsidRPr="00FE0C4F">
        <w:rPr>
          <w:lang w:val="bg-BG"/>
        </w:rPr>
        <w:t xml:space="preserve"> </w:t>
      </w:r>
      <w:r w:rsidRPr="00AB4883">
        <w:rPr>
          <w:i/>
          <w:iCs/>
        </w:rPr>
        <w:t>S</w:t>
      </w:r>
      <w:r w:rsidRPr="00FE0C4F">
        <w:rPr>
          <w:i/>
          <w:iCs/>
          <w:lang w:val="bg-BG"/>
        </w:rPr>
        <w:t>é</w:t>
      </w:r>
      <w:r w:rsidRPr="00AB4883">
        <w:rPr>
          <w:i/>
          <w:iCs/>
        </w:rPr>
        <w:t>rvulo</w:t>
      </w:r>
      <w:r w:rsidRPr="00FE0C4F">
        <w:rPr>
          <w:i/>
          <w:iCs/>
          <w:lang w:val="bg-BG"/>
        </w:rPr>
        <w:t xml:space="preserve"> &amp; </w:t>
      </w:r>
      <w:r w:rsidRPr="00AB4883">
        <w:rPr>
          <w:i/>
          <w:iCs/>
        </w:rPr>
        <w:t>Associados</w:t>
      </w:r>
      <w:r w:rsidRPr="00FE0C4F">
        <w:rPr>
          <w:i/>
          <w:iCs/>
          <w:lang w:val="bg-BG"/>
        </w:rPr>
        <w:t xml:space="preserve"> – </w:t>
      </w:r>
      <w:r w:rsidRPr="00AB4883">
        <w:rPr>
          <w:i/>
          <w:iCs/>
        </w:rPr>
        <w:t>Sociedade</w:t>
      </w:r>
      <w:r w:rsidRPr="00FE0C4F">
        <w:rPr>
          <w:i/>
          <w:iCs/>
          <w:lang w:val="bg-BG"/>
        </w:rPr>
        <w:t xml:space="preserve"> </w:t>
      </w:r>
      <w:r w:rsidRPr="00AB4883">
        <w:rPr>
          <w:i/>
          <w:iCs/>
        </w:rPr>
        <w:t>de</w:t>
      </w:r>
      <w:r w:rsidRPr="00FE0C4F">
        <w:rPr>
          <w:i/>
          <w:iCs/>
          <w:lang w:val="bg-BG"/>
        </w:rPr>
        <w:t xml:space="preserve"> </w:t>
      </w:r>
      <w:r w:rsidRPr="00AB4883">
        <w:rPr>
          <w:i/>
          <w:iCs/>
        </w:rPr>
        <w:t>Advogados</w:t>
      </w:r>
      <w:r w:rsidRPr="00FE0C4F">
        <w:rPr>
          <w:i/>
          <w:iCs/>
          <w:lang w:val="bg-BG"/>
        </w:rPr>
        <w:t xml:space="preserve">, </w:t>
      </w:r>
      <w:r w:rsidRPr="00AB4883">
        <w:rPr>
          <w:i/>
          <w:iCs/>
        </w:rPr>
        <w:t>RL</w:t>
      </w:r>
      <w:r w:rsidRPr="00FE0C4F">
        <w:rPr>
          <w:i/>
          <w:iCs/>
          <w:lang w:val="bg-BG"/>
        </w:rPr>
        <w:t xml:space="preserve"> и други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Португалия</w:t>
      </w:r>
      <w:bookmarkEnd w:id="266"/>
      <w:r w:rsidRPr="00FE0C4F">
        <w:rPr>
          <w:lang w:val="bg-BG"/>
        </w:rPr>
        <w:t xml:space="preserve">, № 27013/10, </w:t>
      </w:r>
      <w:r w:rsidR="00FF23EF">
        <w:rPr>
          <w:lang w:val="bg-BG"/>
        </w:rPr>
        <w:t>§</w:t>
      </w:r>
      <w:r w:rsidRPr="00FE0C4F">
        <w:rPr>
          <w:lang w:val="bg-BG"/>
        </w:rPr>
        <w:t xml:space="preserve"> 76, 3 септември 2015 г.;</w:t>
      </w:r>
      <w:bookmarkStart w:id="268" w:name="_cl40231THELAW"/>
      <w:r w:rsidRPr="00FE0C4F">
        <w:rPr>
          <w:lang w:val="bg-BG"/>
        </w:rPr>
        <w:t xml:space="preserve"> </w:t>
      </w:r>
      <w:r w:rsidR="00107E8D">
        <w:rPr>
          <w:i/>
          <w:iCs/>
          <w:lang w:val="bg-BG"/>
        </w:rPr>
        <w:t>Сабер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Норвегия</w:t>
      </w:r>
      <w:bookmarkEnd w:id="268"/>
      <w:r w:rsidRPr="00FE0C4F">
        <w:rPr>
          <w:lang w:val="bg-BG"/>
        </w:rPr>
        <w:t xml:space="preserve"> , № 459/18, </w:t>
      </w:r>
      <w:r w:rsidR="00FF23EF">
        <w:rPr>
          <w:lang w:val="bg-BG"/>
        </w:rPr>
        <w:t>§</w:t>
      </w:r>
      <w:r w:rsidRPr="00FE0C4F">
        <w:rPr>
          <w:lang w:val="bg-BG"/>
        </w:rPr>
        <w:t xml:space="preserve"> 48, 17 декември 2020 г.;</w:t>
      </w:r>
      <w:bookmarkStart w:id="269" w:name="_cl41133THELAW"/>
      <w:r w:rsidRPr="00FE0C4F">
        <w:rPr>
          <w:i/>
          <w:iCs/>
          <w:lang w:val="bg-BG"/>
        </w:rPr>
        <w:t xml:space="preserve"> </w:t>
      </w:r>
      <w:r w:rsidR="00FF23EF" w:rsidRPr="002930E1">
        <w:rPr>
          <w:i/>
          <w:iCs/>
        </w:rPr>
        <w:t>S</w:t>
      </w:r>
      <w:r w:rsidR="00FF23EF" w:rsidRPr="00FE0C4F">
        <w:rPr>
          <w:i/>
          <w:iCs/>
          <w:lang w:val="bg-BG"/>
        </w:rPr>
        <w:t>ä</w:t>
      </w:r>
      <w:r w:rsidR="00FF23EF" w:rsidRPr="002930E1">
        <w:rPr>
          <w:i/>
          <w:iCs/>
        </w:rPr>
        <w:t>rgava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Естония</w:t>
      </w:r>
      <w:bookmarkEnd w:id="269"/>
      <w:r w:rsidRPr="00FE0C4F">
        <w:rPr>
          <w:lang w:val="bg-BG"/>
        </w:rPr>
        <w:t xml:space="preserve">, № 698/19, § 85, 16 ноември 2021 г.; и </w:t>
      </w:r>
      <w:r w:rsidRPr="0053039C">
        <w:rPr>
          <w:i/>
          <w:iCs/>
        </w:rPr>
        <w:t>Naumenko</w:t>
      </w:r>
      <w:r w:rsidRPr="00FE0C4F">
        <w:rPr>
          <w:i/>
          <w:iCs/>
          <w:lang w:val="bg-BG"/>
        </w:rPr>
        <w:t xml:space="preserve"> и </w:t>
      </w:r>
      <w:r w:rsidRPr="0053039C">
        <w:rPr>
          <w:i/>
          <w:iCs/>
        </w:rPr>
        <w:t>SIA</w:t>
      </w:r>
      <w:r w:rsidRPr="00FE0C4F">
        <w:rPr>
          <w:i/>
          <w:iCs/>
          <w:lang w:val="bg-BG"/>
        </w:rPr>
        <w:t xml:space="preserve"> </w:t>
      </w:r>
      <w:r w:rsidRPr="0053039C">
        <w:rPr>
          <w:i/>
          <w:iCs/>
        </w:rPr>
        <w:t>Rix</w:t>
      </w:r>
      <w:r w:rsidRPr="00FE0C4F">
        <w:rPr>
          <w:i/>
          <w:iCs/>
          <w:lang w:val="bg-BG"/>
        </w:rPr>
        <w:t xml:space="preserve"> </w:t>
      </w:r>
      <w:r w:rsidRPr="0053039C">
        <w:rPr>
          <w:i/>
          <w:iCs/>
        </w:rPr>
        <w:t>Shipping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Латвия</w:t>
      </w:r>
      <w:r w:rsidRPr="00FE0C4F">
        <w:rPr>
          <w:lang w:val="bg-BG"/>
        </w:rPr>
        <w:t xml:space="preserve">, № 50805/14, </w:t>
      </w:r>
      <w:r w:rsidR="00FF23EF">
        <w:rPr>
          <w:lang w:val="bg-BG"/>
        </w:rPr>
        <w:t>§</w:t>
      </w:r>
      <w:r w:rsidRPr="00FE0C4F">
        <w:rPr>
          <w:lang w:val="bg-BG"/>
        </w:rPr>
        <w:t xml:space="preserve"> 45, 23 юни 2022 г.).</w:t>
      </w:r>
    </w:p>
    <w:bookmarkStart w:id="270" w:name="L_C_A_8_m_int_C_possibility_3"/>
    <w:p w14:paraId="10E09FD4" w14:textId="61127C84" w:rsidR="00304BC9" w:rsidRPr="00FE0C4F" w:rsidRDefault="000F3485" w:rsidP="00304BC9">
      <w:pPr>
        <w:pStyle w:val="JuPara"/>
        <w:rPr>
          <w:lang w:val="bg-BG"/>
        </w:rPr>
      </w:pPr>
      <w:r>
        <w:lastRenderedPageBreak/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115</w:t>
      </w:r>
      <w:r>
        <w:fldChar w:fldCharType="end"/>
      </w:r>
      <w:bookmarkEnd w:id="270"/>
      <w:r w:rsidR="00107E8D" w:rsidRPr="00FE0C4F">
        <w:rPr>
          <w:lang w:val="bg-BG"/>
        </w:rPr>
        <w:t xml:space="preserve">. </w:t>
      </w:r>
      <w:r w:rsidRPr="00FE0C4F">
        <w:rPr>
          <w:lang w:val="bg-BG"/>
        </w:rPr>
        <w:t>Не е преувеличено да се предположи, че (</w:t>
      </w:r>
      <w:r w:rsidR="00FE0C4F">
        <w:fldChar w:fldCharType="begin"/>
      </w:r>
      <w:r w:rsidR="00FE0C4F" w:rsidRPr="00FE0C4F">
        <w:rPr>
          <w:lang w:val="bg-BG"/>
        </w:rPr>
        <w:instrText xml:space="preserve"> </w:instrText>
      </w:r>
      <w:r w:rsidR="00FE0C4F">
        <w:instrText>SEQ</w:instrText>
      </w:r>
      <w:r w:rsidR="00FE0C4F" w:rsidRPr="00FE0C4F">
        <w:rPr>
          <w:lang w:val="bg-BG"/>
        </w:rPr>
        <w:instrText xml:space="preserve"> </w:instrText>
      </w:r>
      <w:r w:rsidR="00FE0C4F">
        <w:instrText>level</w:instrText>
      </w:r>
      <w:r w:rsidR="00FE0C4F" w:rsidRPr="00FE0C4F">
        <w:rPr>
          <w:lang w:val="bg-BG"/>
        </w:rPr>
        <w:instrText>1 \*</w:instrText>
      </w:r>
      <w:r w:rsidR="00FE0C4F">
        <w:instrText>alphabetic</w:instrText>
      </w:r>
      <w:r w:rsidR="00FE0C4F" w:rsidRPr="00FE0C4F">
        <w:rPr>
          <w:lang w:val="bg-BG"/>
        </w:rPr>
        <w:instrText xml:space="preserve"> \</w:instrText>
      </w:r>
      <w:r w:rsidR="00FE0C4F">
        <w:instrText>r</w:instrText>
      </w:r>
      <w:r w:rsidR="00FE0C4F" w:rsidRPr="00FE0C4F">
        <w:rPr>
          <w:lang w:val="bg-BG"/>
        </w:rPr>
        <w:instrText xml:space="preserve">1 \* </w:instrText>
      </w:r>
      <w:r w:rsidR="00FE0C4F">
        <w:instrText>MERGEFORMAT</w:instrText>
      </w:r>
      <w:r w:rsidR="00FE0C4F" w:rsidRPr="00FE0C4F">
        <w:rPr>
          <w:lang w:val="bg-BG"/>
        </w:rPr>
        <w:instrText xml:space="preserve"> </w:instrText>
      </w:r>
      <w:r w:rsidR="00FE0C4F">
        <w:fldChar w:fldCharType="separate"/>
      </w:r>
      <w:r w:rsidR="00F21D3F" w:rsidRPr="00FE0C4F">
        <w:rPr>
          <w:noProof/>
          <w:lang w:val="bg-BG"/>
        </w:rPr>
        <w:t>а</w:t>
      </w:r>
      <w:r w:rsidR="00FE0C4F">
        <w:rPr>
          <w:noProof/>
        </w:rPr>
        <w:fldChar w:fldCharType="end"/>
      </w:r>
      <w:r w:rsidRPr="00FE0C4F">
        <w:rPr>
          <w:lang w:val="bg-BG"/>
        </w:rPr>
        <w:t xml:space="preserve">) </w:t>
      </w:r>
      <w:r w:rsidR="00145B17">
        <w:rPr>
          <w:lang w:val="bg-BG"/>
        </w:rPr>
        <w:t xml:space="preserve">служител </w:t>
      </w:r>
      <w:r w:rsidR="001317BE">
        <w:rPr>
          <w:lang w:val="bg-BG"/>
        </w:rPr>
        <w:t xml:space="preserve">на </w:t>
      </w:r>
      <w:r w:rsidR="00145B17">
        <w:rPr>
          <w:lang w:val="bg-BG"/>
        </w:rPr>
        <w:t>прикритие</w:t>
      </w:r>
      <w:r w:rsidRPr="00FE0C4F">
        <w:rPr>
          <w:lang w:val="bg-BG"/>
        </w:rPr>
        <w:t>, проникнал в дадена организация, би могъл да използва своята позиция, за да получи такъв достъп по начин, който не би бил възможен за външно лице, и че (</w:t>
      </w:r>
      <w:r w:rsidR="00FE0C4F">
        <w:fldChar w:fldCharType="begin"/>
      </w:r>
      <w:r w:rsidR="00FE0C4F" w:rsidRPr="00FE0C4F">
        <w:rPr>
          <w:lang w:val="bg-BG"/>
        </w:rPr>
        <w:instrText xml:space="preserve"> </w:instrText>
      </w:r>
      <w:r w:rsidR="00FE0C4F">
        <w:instrText>SEQ</w:instrText>
      </w:r>
      <w:r w:rsidR="00FE0C4F" w:rsidRPr="00FE0C4F">
        <w:rPr>
          <w:lang w:val="bg-BG"/>
        </w:rPr>
        <w:instrText xml:space="preserve"> </w:instrText>
      </w:r>
      <w:r w:rsidR="00FE0C4F">
        <w:instrText>level</w:instrText>
      </w:r>
      <w:r w:rsidR="00FE0C4F" w:rsidRPr="00FE0C4F">
        <w:rPr>
          <w:lang w:val="bg-BG"/>
        </w:rPr>
        <w:instrText>1 \*</w:instrText>
      </w:r>
      <w:r w:rsidR="00FE0C4F">
        <w:instrText>alphabetic</w:instrText>
      </w:r>
      <w:r w:rsidR="00FE0C4F" w:rsidRPr="00FE0C4F">
        <w:rPr>
          <w:lang w:val="bg-BG"/>
        </w:rPr>
        <w:instrText xml:space="preserve"> \* </w:instrText>
      </w:r>
      <w:r w:rsidR="00FE0C4F">
        <w:instrText>MERGEFORMAT</w:instrText>
      </w:r>
      <w:r w:rsidR="00FE0C4F" w:rsidRPr="00FE0C4F">
        <w:rPr>
          <w:lang w:val="bg-BG"/>
        </w:rPr>
        <w:instrText xml:space="preserve"> </w:instrText>
      </w:r>
      <w:r w:rsidR="00FE0C4F">
        <w:fldChar w:fldCharType="separate"/>
      </w:r>
      <w:r w:rsidR="00F21D3F" w:rsidRPr="00FE0C4F">
        <w:rPr>
          <w:noProof/>
          <w:lang w:val="bg-BG"/>
        </w:rPr>
        <w:t>б</w:t>
      </w:r>
      <w:r w:rsidR="00FE0C4F">
        <w:rPr>
          <w:noProof/>
        </w:rPr>
        <w:fldChar w:fldCharType="end"/>
      </w:r>
      <w:r w:rsidRPr="00FE0C4F">
        <w:rPr>
          <w:lang w:val="bg-BG"/>
        </w:rPr>
        <w:t xml:space="preserve">) такъв оперативен работник, като служител на Агенцията, би докладвал своите констатации на Агенцията много по-лесно и по по-устойчив и систематичен начин, отколкото член на обществеността или </w:t>
      </w:r>
      <w:r w:rsidR="001317BE">
        <w:rPr>
          <w:lang w:val="bg-BG"/>
        </w:rPr>
        <w:t>лице, подаващо сигнал за нередности (</w:t>
      </w:r>
      <w:r w:rsidR="001317BE">
        <w:t>whistleblower</w:t>
      </w:r>
      <w:r w:rsidR="001317BE">
        <w:rPr>
          <w:lang w:val="bg-BG"/>
        </w:rPr>
        <w:t>)</w:t>
      </w:r>
      <w:r w:rsidRPr="00FE0C4F">
        <w:rPr>
          <w:lang w:val="bg-BG"/>
        </w:rPr>
        <w:t>, движен от чувство за граждански дълг или дори от законово задължение.</w:t>
      </w:r>
    </w:p>
    <w:bookmarkStart w:id="271" w:name="L_C_A_8_m_int_C_possibility_4"/>
    <w:p w14:paraId="14604DC7" w14:textId="3CCBA52A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116</w:t>
      </w:r>
      <w:r>
        <w:fldChar w:fldCharType="end"/>
      </w:r>
      <w:bookmarkEnd w:id="271"/>
      <w:r w:rsidR="00107E8D" w:rsidRPr="00FE0C4F">
        <w:rPr>
          <w:lang w:val="bg-BG"/>
        </w:rPr>
        <w:t xml:space="preserve">. </w:t>
      </w:r>
      <w:r w:rsidRPr="00FE0C4F">
        <w:rPr>
          <w:lang w:val="bg-BG"/>
        </w:rPr>
        <w:t>Проникването на „</w:t>
      </w:r>
      <w:r w:rsidR="00145B17">
        <w:rPr>
          <w:lang w:val="bg-BG"/>
        </w:rPr>
        <w:t xml:space="preserve">служител </w:t>
      </w:r>
      <w:r w:rsidR="00CE5E58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 w:rsidRPr="00FE0C4F">
        <w:rPr>
          <w:lang w:val="bg-BG"/>
        </w:rPr>
        <w:t xml:space="preserve">“ в </w:t>
      </w:r>
      <w:r w:rsidR="00CE5E58">
        <w:rPr>
          <w:lang w:val="bg-BG"/>
        </w:rPr>
        <w:t>сдружението</w:t>
      </w:r>
      <w:r w:rsidRPr="00FE0C4F">
        <w:rPr>
          <w:lang w:val="bg-BG"/>
        </w:rPr>
        <w:t xml:space="preserve"> би представлявало следователно намеса в правото му на зачитане на „кореспонденцията“ му по смисъла на член 8, </w:t>
      </w:r>
      <w:r w:rsidR="00CE5E58">
        <w:rPr>
          <w:rFonts w:cstheme="minorHAnsi"/>
          <w:lang w:val="bg-BG"/>
        </w:rPr>
        <w:t>§</w:t>
      </w:r>
      <w:r w:rsidRPr="00FE0C4F">
        <w:rPr>
          <w:lang w:val="bg-BG"/>
        </w:rPr>
        <w:t xml:space="preserve"> 1 от Конвенцията.</w:t>
      </w:r>
    </w:p>
    <w:bookmarkStart w:id="272" w:name="L_C_A_8_m_int_C_possibility_5"/>
    <w:p w14:paraId="4D9482E4" w14:textId="69CCE280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117</w:t>
      </w:r>
      <w:r>
        <w:fldChar w:fldCharType="end"/>
      </w:r>
      <w:bookmarkEnd w:id="272"/>
      <w:r w:rsidR="00107E8D" w:rsidRPr="00FE0C4F">
        <w:rPr>
          <w:lang w:val="bg-BG"/>
        </w:rPr>
        <w:t xml:space="preserve">. </w:t>
      </w:r>
      <w:r w:rsidRPr="00FE0C4F">
        <w:rPr>
          <w:lang w:val="bg-BG"/>
        </w:rPr>
        <w:t>„</w:t>
      </w:r>
      <w:r w:rsidR="00D75877">
        <w:rPr>
          <w:lang w:val="bg-BG"/>
        </w:rPr>
        <w:t>Служител</w:t>
      </w:r>
      <w:r w:rsidRPr="00FE0C4F">
        <w:rPr>
          <w:lang w:val="bg-BG"/>
        </w:rPr>
        <w:t xml:space="preserve"> </w:t>
      </w:r>
      <w:r w:rsidR="00D75877">
        <w:rPr>
          <w:lang w:val="bg-BG"/>
        </w:rPr>
        <w:t>на</w:t>
      </w:r>
      <w:r w:rsidRPr="00FE0C4F">
        <w:rPr>
          <w:lang w:val="bg-BG"/>
        </w:rPr>
        <w:t xml:space="preserve"> прикритие“, проникнал в </w:t>
      </w:r>
      <w:r w:rsidR="00D75877">
        <w:rPr>
          <w:lang w:val="bg-BG"/>
        </w:rPr>
        <w:t>сдружението</w:t>
      </w:r>
      <w:r w:rsidRPr="00FE0C4F">
        <w:rPr>
          <w:lang w:val="bg-BG"/>
        </w:rPr>
        <w:t>, вероятно би имал и дългосрочен достъп до офиса му или други помещения. Съгласно практика на Съда, седалището, клоновете и другите бизнес помещения на юридическо лице могат да се считат за „дом“ на това юридическо лице по смисъла на член 8</w:t>
      </w:r>
      <w:r w:rsidRPr="00FE0C4F">
        <w:rPr>
          <w:rFonts w:cstheme="minorHAnsi"/>
          <w:lang w:val="bg-BG"/>
        </w:rPr>
        <w:t>, §</w:t>
      </w:r>
      <w:r w:rsidRPr="00FE0C4F">
        <w:rPr>
          <w:lang w:val="bg-BG"/>
        </w:rPr>
        <w:t xml:space="preserve"> 1 от Конвенцията (вж. </w:t>
      </w:r>
      <w:r w:rsidRPr="0009647C">
        <w:rPr>
          <w:i/>
          <w:iCs/>
        </w:rPr>
        <w:t>Soci</w:t>
      </w:r>
      <w:r w:rsidRPr="00FE0C4F">
        <w:rPr>
          <w:i/>
          <w:iCs/>
          <w:lang w:val="bg-BG"/>
        </w:rPr>
        <w:t>é</w:t>
      </w:r>
      <w:r w:rsidRPr="0009647C">
        <w:rPr>
          <w:i/>
          <w:iCs/>
        </w:rPr>
        <w:t>t</w:t>
      </w:r>
      <w:r w:rsidRPr="00FE0C4F">
        <w:rPr>
          <w:i/>
          <w:iCs/>
          <w:lang w:val="bg-BG"/>
        </w:rPr>
        <w:t xml:space="preserve">é </w:t>
      </w:r>
      <w:r w:rsidRPr="0009647C">
        <w:rPr>
          <w:i/>
          <w:iCs/>
        </w:rPr>
        <w:t>Colas</w:t>
      </w:r>
      <w:r w:rsidRPr="00FE0C4F">
        <w:rPr>
          <w:i/>
          <w:iCs/>
          <w:lang w:val="bg-BG"/>
        </w:rPr>
        <w:t xml:space="preserve"> </w:t>
      </w:r>
      <w:r w:rsidRPr="0009647C">
        <w:rPr>
          <w:i/>
          <w:iCs/>
        </w:rPr>
        <w:t>Est</w:t>
      </w:r>
      <w:r w:rsidRPr="00FE0C4F">
        <w:rPr>
          <w:i/>
          <w:iCs/>
          <w:lang w:val="bg-BG"/>
        </w:rPr>
        <w:t xml:space="preserve"> и други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Франция</w:t>
      </w:r>
      <w:r w:rsidRPr="00FE0C4F">
        <w:rPr>
          <w:lang w:val="bg-BG"/>
        </w:rPr>
        <w:t xml:space="preserve">, № 37971/97, </w:t>
      </w:r>
      <w:r w:rsidR="00FF48F9">
        <w:rPr>
          <w:lang w:val="bg-BG"/>
        </w:rPr>
        <w:t>§</w:t>
      </w:r>
      <w:r w:rsidRPr="00FE0C4F">
        <w:rPr>
          <w:lang w:val="bg-BG"/>
        </w:rPr>
        <w:t xml:space="preserve"> 41, </w:t>
      </w:r>
      <w:r w:rsidRPr="0009647C">
        <w:t>ECHR</w:t>
      </w:r>
      <w:r w:rsidRPr="00FE0C4F">
        <w:rPr>
          <w:lang w:val="bg-BG"/>
        </w:rPr>
        <w:t xml:space="preserve"> 2002-</w:t>
      </w:r>
      <w:r w:rsidRPr="0009647C">
        <w:t>III</w:t>
      </w:r>
      <w:r w:rsidRPr="00FE0C4F">
        <w:rPr>
          <w:lang w:val="bg-BG"/>
        </w:rPr>
        <w:t xml:space="preserve">; </w:t>
      </w:r>
      <w:r w:rsidR="00FF48F9" w:rsidRPr="00FF48F9">
        <w:rPr>
          <w:i/>
          <w:iCs/>
        </w:rPr>
        <w:t>Buck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Германия</w:t>
      </w:r>
      <w:r w:rsidRPr="00FE0C4F">
        <w:rPr>
          <w:lang w:val="bg-BG"/>
        </w:rPr>
        <w:t xml:space="preserve">, № 41604/98, </w:t>
      </w:r>
      <w:r w:rsidR="00FF48F9">
        <w:rPr>
          <w:lang w:val="bg-BG"/>
        </w:rPr>
        <w:t>§</w:t>
      </w:r>
      <w:r w:rsidRPr="00FE0C4F">
        <w:rPr>
          <w:lang w:val="bg-BG"/>
        </w:rPr>
        <w:t xml:space="preserve"> 31, </w:t>
      </w:r>
      <w:r w:rsidRPr="0009647C">
        <w:t>ECHR</w:t>
      </w:r>
      <w:r w:rsidRPr="00FE0C4F">
        <w:rPr>
          <w:lang w:val="bg-BG"/>
        </w:rPr>
        <w:t xml:space="preserve"> 2005-</w:t>
      </w:r>
      <w:r w:rsidRPr="0009647C">
        <w:t>I</w:t>
      </w:r>
      <w:r w:rsidRPr="00FE0C4F">
        <w:rPr>
          <w:lang w:val="bg-BG"/>
        </w:rPr>
        <w:t>;</w:t>
      </w:r>
      <w:bookmarkStart w:id="273" w:name="_cl35636THELAW"/>
      <w:bookmarkStart w:id="274" w:name="_cl35572THELAW"/>
      <w:r w:rsidRPr="00FE0C4F">
        <w:rPr>
          <w:lang w:val="bg-BG"/>
        </w:rPr>
        <w:t xml:space="preserve"> </w:t>
      </w:r>
      <w:r w:rsidR="00FF48F9" w:rsidRPr="00FF48F9">
        <w:rPr>
          <w:i/>
          <w:iCs/>
        </w:rPr>
        <w:t>Sallinen</w:t>
      </w:r>
      <w:r w:rsidR="00FF48F9" w:rsidRPr="00FE0C4F">
        <w:rPr>
          <w:i/>
          <w:iCs/>
          <w:lang w:val="bg-BG"/>
        </w:rPr>
        <w:t xml:space="preserve"> </w:t>
      </w:r>
      <w:r w:rsidR="00FF48F9" w:rsidRPr="00FF48F9">
        <w:rPr>
          <w:i/>
          <w:iCs/>
        </w:rPr>
        <w:t>and</w:t>
      </w:r>
      <w:r w:rsidR="00FF48F9" w:rsidRPr="00FE0C4F">
        <w:rPr>
          <w:i/>
          <w:iCs/>
          <w:lang w:val="bg-BG"/>
        </w:rPr>
        <w:t xml:space="preserve"> </w:t>
      </w:r>
      <w:r w:rsidR="00FF48F9" w:rsidRPr="00FF48F9">
        <w:rPr>
          <w:i/>
          <w:iCs/>
        </w:rPr>
        <w:t>Others</w:t>
      </w:r>
      <w:r w:rsidR="00FF48F9" w:rsidRPr="00FE0C4F">
        <w:rPr>
          <w:i/>
          <w:iCs/>
          <w:lang w:val="bg-BG"/>
        </w:rPr>
        <w:t xml:space="preserve"> </w:t>
      </w:r>
      <w:r w:rsidRPr="00FE0C4F">
        <w:rPr>
          <w:i/>
          <w:iCs/>
          <w:lang w:val="bg-BG"/>
        </w:rPr>
        <w:t>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Финландия</w:t>
      </w:r>
      <w:bookmarkEnd w:id="273"/>
      <w:r w:rsidRPr="00FE0C4F">
        <w:rPr>
          <w:lang w:val="bg-BG"/>
        </w:rPr>
        <w:t xml:space="preserve">, № 50882/99, </w:t>
      </w:r>
      <w:r w:rsidR="00FF48F9">
        <w:rPr>
          <w:lang w:val="bg-BG"/>
        </w:rPr>
        <w:t>§</w:t>
      </w:r>
      <w:r w:rsidRPr="00FE0C4F">
        <w:rPr>
          <w:lang w:val="bg-BG"/>
        </w:rPr>
        <w:t xml:space="preserve"> 70, 27 септември 2005 г.;</w:t>
      </w:r>
      <w:bookmarkStart w:id="275" w:name="_cl27453THELAW"/>
      <w:r w:rsidRPr="00FE0C4F">
        <w:rPr>
          <w:lang w:val="bg-BG"/>
        </w:rPr>
        <w:t xml:space="preserve"> </w:t>
      </w:r>
      <w:r w:rsidR="00FF48F9" w:rsidRPr="006C09B8">
        <w:rPr>
          <w:i/>
          <w:iCs/>
        </w:rPr>
        <w:t>Heino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Финландия</w:t>
      </w:r>
      <w:bookmarkEnd w:id="275"/>
      <w:r w:rsidRPr="00FE0C4F">
        <w:rPr>
          <w:lang w:val="bg-BG"/>
        </w:rPr>
        <w:t xml:space="preserve">, № 56720/09, </w:t>
      </w:r>
      <w:r w:rsidR="00FF48F9">
        <w:rPr>
          <w:lang w:val="bg-BG"/>
        </w:rPr>
        <w:t>§</w:t>
      </w:r>
      <w:r w:rsidRPr="00FE0C4F">
        <w:rPr>
          <w:lang w:val="bg-BG"/>
        </w:rPr>
        <w:t xml:space="preserve"> 33, 15 февруари 2011 г.;</w:t>
      </w:r>
      <w:bookmarkStart w:id="276" w:name="_cl22100THELAW"/>
      <w:r w:rsidRPr="00FE0C4F">
        <w:rPr>
          <w:lang w:val="bg-BG"/>
        </w:rPr>
        <w:t xml:space="preserve"> </w:t>
      </w:r>
      <w:r w:rsidRPr="005910F9">
        <w:rPr>
          <w:i/>
          <w:iCs/>
        </w:rPr>
        <w:t>Bernh</w:t>
      </w:r>
      <w:r w:rsidRPr="00FE0C4F">
        <w:rPr>
          <w:i/>
          <w:iCs/>
          <w:lang w:val="bg-BG"/>
        </w:rPr>
        <w:t xml:space="preserve"> </w:t>
      </w:r>
      <w:r w:rsidRPr="005910F9">
        <w:rPr>
          <w:i/>
          <w:iCs/>
        </w:rPr>
        <w:t>Larsen</w:t>
      </w:r>
      <w:r w:rsidRPr="00FE0C4F">
        <w:rPr>
          <w:i/>
          <w:iCs/>
          <w:lang w:val="bg-BG"/>
        </w:rPr>
        <w:t xml:space="preserve"> </w:t>
      </w:r>
      <w:r w:rsidRPr="005910F9">
        <w:rPr>
          <w:i/>
          <w:iCs/>
        </w:rPr>
        <w:t>Holding</w:t>
      </w:r>
      <w:r w:rsidRPr="00FE0C4F">
        <w:rPr>
          <w:i/>
          <w:iCs/>
          <w:lang w:val="bg-BG"/>
        </w:rPr>
        <w:t xml:space="preserve"> </w:t>
      </w:r>
      <w:r w:rsidRPr="005910F9">
        <w:rPr>
          <w:i/>
          <w:iCs/>
        </w:rPr>
        <w:t>AS</w:t>
      </w:r>
      <w:r w:rsidRPr="00FE0C4F">
        <w:rPr>
          <w:i/>
          <w:iCs/>
          <w:lang w:val="bg-BG"/>
        </w:rPr>
        <w:t xml:space="preserve"> и други</w:t>
      </w:r>
      <w:bookmarkEnd w:id="276"/>
      <w:r w:rsidRPr="00FE0C4F">
        <w:rPr>
          <w:lang w:val="bg-BG"/>
        </w:rPr>
        <w:t xml:space="preserve">, цитирано по-горе, </w:t>
      </w:r>
      <w:r w:rsidR="00FF48F9">
        <w:rPr>
          <w:lang w:val="bg-BG"/>
        </w:rPr>
        <w:t>§</w:t>
      </w:r>
      <w:r w:rsidRPr="00FE0C4F">
        <w:rPr>
          <w:lang w:val="bg-BG"/>
        </w:rPr>
        <w:t xml:space="preserve"> 104; </w:t>
      </w:r>
      <w:r w:rsidRPr="00191A37">
        <w:rPr>
          <w:i/>
          <w:iCs/>
        </w:rPr>
        <w:t>Saint</w:t>
      </w:r>
      <w:r w:rsidRPr="00FE0C4F">
        <w:rPr>
          <w:i/>
          <w:iCs/>
          <w:lang w:val="bg-BG"/>
        </w:rPr>
        <w:t>-</w:t>
      </w:r>
      <w:r w:rsidRPr="00191A37">
        <w:rPr>
          <w:i/>
          <w:iCs/>
        </w:rPr>
        <w:t>Paul</w:t>
      </w:r>
      <w:r w:rsidRPr="00FE0C4F">
        <w:rPr>
          <w:i/>
          <w:iCs/>
          <w:lang w:val="bg-BG"/>
        </w:rPr>
        <w:t xml:space="preserve"> </w:t>
      </w:r>
      <w:r w:rsidRPr="00191A37">
        <w:rPr>
          <w:i/>
          <w:iCs/>
        </w:rPr>
        <w:t>Luxembourg</w:t>
      </w:r>
      <w:r w:rsidRPr="00FE0C4F">
        <w:rPr>
          <w:i/>
          <w:iCs/>
          <w:lang w:val="bg-BG"/>
        </w:rPr>
        <w:t xml:space="preserve"> </w:t>
      </w:r>
      <w:r w:rsidRPr="00191A37">
        <w:rPr>
          <w:i/>
          <w:iCs/>
        </w:rPr>
        <w:t>S</w:t>
      </w:r>
      <w:r w:rsidRPr="00FE0C4F">
        <w:rPr>
          <w:i/>
          <w:iCs/>
          <w:lang w:val="bg-BG"/>
        </w:rPr>
        <w:t>.</w:t>
      </w:r>
      <w:r w:rsidRPr="00191A37">
        <w:rPr>
          <w:i/>
          <w:iCs/>
        </w:rPr>
        <w:t>A</w:t>
      </w:r>
      <w:r w:rsidRPr="00FE0C4F">
        <w:rPr>
          <w:i/>
          <w:iCs/>
          <w:lang w:val="bg-BG"/>
        </w:rPr>
        <w:t>.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Люксембург</w:t>
      </w:r>
      <w:bookmarkEnd w:id="274"/>
      <w:r w:rsidRPr="00FE0C4F">
        <w:rPr>
          <w:lang w:val="bg-BG"/>
        </w:rPr>
        <w:t xml:space="preserve">, № 26419/10, </w:t>
      </w:r>
      <w:r w:rsidR="00FF48F9">
        <w:rPr>
          <w:lang w:val="bg-BG"/>
        </w:rPr>
        <w:t>§</w:t>
      </w:r>
      <w:r w:rsidRPr="00FE0C4F">
        <w:rPr>
          <w:lang w:val="bg-BG"/>
        </w:rPr>
        <w:t xml:space="preserve"> 37, 18 април 2013 г.;</w:t>
      </w:r>
      <w:bookmarkStart w:id="277" w:name="_cl24326THELAW"/>
      <w:bookmarkStart w:id="278" w:name="_cl30512THELAW"/>
      <w:r w:rsidRPr="00FE0C4F">
        <w:rPr>
          <w:lang w:val="bg-BG"/>
        </w:rPr>
        <w:t xml:space="preserve"> </w:t>
      </w:r>
      <w:r w:rsidRPr="00CC35A8">
        <w:rPr>
          <w:i/>
          <w:iCs/>
        </w:rPr>
        <w:t>DELTA</w:t>
      </w:r>
      <w:r w:rsidRPr="00FE0C4F">
        <w:rPr>
          <w:i/>
          <w:iCs/>
          <w:lang w:val="bg-BG"/>
        </w:rPr>
        <w:t xml:space="preserve"> </w:t>
      </w:r>
      <w:r w:rsidRPr="00CC35A8">
        <w:rPr>
          <w:i/>
          <w:iCs/>
        </w:rPr>
        <w:t>PEK</w:t>
      </w:r>
      <w:r w:rsidRPr="00FE0C4F">
        <w:rPr>
          <w:i/>
          <w:iCs/>
          <w:lang w:val="bg-BG"/>
        </w:rPr>
        <w:t>Á</w:t>
      </w:r>
      <w:r w:rsidRPr="00CC35A8">
        <w:rPr>
          <w:i/>
          <w:iCs/>
        </w:rPr>
        <w:t>RNY</w:t>
      </w:r>
      <w:r w:rsidRPr="00FE0C4F">
        <w:rPr>
          <w:i/>
          <w:iCs/>
          <w:lang w:val="bg-BG"/>
        </w:rPr>
        <w:t xml:space="preserve"> </w:t>
      </w:r>
      <w:r w:rsidRPr="00CC35A8">
        <w:rPr>
          <w:i/>
          <w:iCs/>
        </w:rPr>
        <w:t>a</w:t>
      </w:r>
      <w:r w:rsidRPr="00FE0C4F">
        <w:rPr>
          <w:i/>
          <w:iCs/>
          <w:lang w:val="bg-BG"/>
        </w:rPr>
        <w:t>.</w:t>
      </w:r>
      <w:r w:rsidRPr="00CC35A8">
        <w:rPr>
          <w:i/>
          <w:iCs/>
        </w:rPr>
        <w:t>s</w:t>
      </w:r>
      <w:r w:rsidRPr="00FE0C4F">
        <w:rPr>
          <w:i/>
          <w:iCs/>
          <w:lang w:val="bg-BG"/>
        </w:rPr>
        <w:t>.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Чешката република</w:t>
      </w:r>
      <w:bookmarkEnd w:id="277"/>
      <w:r w:rsidRPr="00FE0C4F">
        <w:rPr>
          <w:lang w:val="bg-BG"/>
        </w:rPr>
        <w:t xml:space="preserve">, № 97/11, </w:t>
      </w:r>
      <w:r w:rsidR="00547DD6">
        <w:rPr>
          <w:lang w:val="bg-BG"/>
        </w:rPr>
        <w:t>§</w:t>
      </w:r>
      <w:r w:rsidRPr="00FE0C4F">
        <w:rPr>
          <w:lang w:val="bg-BG"/>
        </w:rPr>
        <w:t xml:space="preserve"> 77, 2 октомври 2014 г.; </w:t>
      </w:r>
      <w:r w:rsidRPr="0009647C">
        <w:rPr>
          <w:i/>
          <w:iCs/>
        </w:rPr>
        <w:t>Lindstrand</w:t>
      </w:r>
      <w:r w:rsidRPr="00FE0C4F">
        <w:rPr>
          <w:i/>
          <w:iCs/>
          <w:lang w:val="bg-BG"/>
        </w:rPr>
        <w:t xml:space="preserve"> </w:t>
      </w:r>
      <w:r w:rsidRPr="0009647C">
        <w:rPr>
          <w:i/>
          <w:iCs/>
        </w:rPr>
        <w:t>Partners</w:t>
      </w:r>
      <w:r w:rsidRPr="00FE0C4F">
        <w:rPr>
          <w:i/>
          <w:iCs/>
          <w:lang w:val="bg-BG"/>
        </w:rPr>
        <w:t xml:space="preserve"> </w:t>
      </w:r>
      <w:r w:rsidRPr="0009647C">
        <w:rPr>
          <w:i/>
          <w:iCs/>
        </w:rPr>
        <w:t>Advokatbyr</w:t>
      </w:r>
      <w:r w:rsidRPr="00FE0C4F">
        <w:rPr>
          <w:i/>
          <w:iCs/>
          <w:lang w:val="bg-BG"/>
        </w:rPr>
        <w:t xml:space="preserve">å </w:t>
      </w:r>
      <w:r w:rsidRPr="0009647C">
        <w:rPr>
          <w:i/>
          <w:iCs/>
        </w:rPr>
        <w:t>AB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Швеция</w:t>
      </w:r>
      <w:bookmarkEnd w:id="278"/>
      <w:r w:rsidRPr="00FE0C4F">
        <w:rPr>
          <w:lang w:val="bg-BG"/>
        </w:rPr>
        <w:t xml:space="preserve">, № 18700/09, </w:t>
      </w:r>
      <w:r w:rsidR="00547DD6">
        <w:rPr>
          <w:lang w:val="bg-BG"/>
        </w:rPr>
        <w:t>§</w:t>
      </w:r>
      <w:r w:rsidRPr="00FE0C4F">
        <w:rPr>
          <w:lang w:val="bg-BG"/>
        </w:rPr>
        <w:t xml:space="preserve"> 83, 20 декември 2016 г.; и </w:t>
      </w:r>
      <w:r w:rsidRPr="00586EAE">
        <w:rPr>
          <w:i/>
          <w:iCs/>
        </w:rPr>
        <w:t>Ships</w:t>
      </w:r>
      <w:r w:rsidRPr="00FE0C4F">
        <w:rPr>
          <w:i/>
          <w:iCs/>
          <w:lang w:val="bg-BG"/>
        </w:rPr>
        <w:t xml:space="preserve"> </w:t>
      </w:r>
      <w:r w:rsidRPr="00586EAE">
        <w:rPr>
          <w:i/>
          <w:iCs/>
        </w:rPr>
        <w:t>Waste</w:t>
      </w:r>
      <w:r w:rsidRPr="00FE0C4F">
        <w:rPr>
          <w:i/>
          <w:iCs/>
          <w:lang w:val="bg-BG"/>
        </w:rPr>
        <w:t xml:space="preserve"> </w:t>
      </w:r>
      <w:r w:rsidRPr="00586EAE">
        <w:rPr>
          <w:i/>
          <w:iCs/>
        </w:rPr>
        <w:t>Oil</w:t>
      </w:r>
      <w:r w:rsidRPr="00FE0C4F">
        <w:rPr>
          <w:i/>
          <w:iCs/>
          <w:lang w:val="bg-BG"/>
        </w:rPr>
        <w:t xml:space="preserve"> </w:t>
      </w:r>
      <w:r w:rsidRPr="00586EAE">
        <w:rPr>
          <w:i/>
          <w:iCs/>
        </w:rPr>
        <w:t>Collector</w:t>
      </w:r>
      <w:r w:rsidRPr="00FE0C4F">
        <w:rPr>
          <w:i/>
          <w:iCs/>
          <w:lang w:val="bg-BG"/>
        </w:rPr>
        <w:t xml:space="preserve"> </w:t>
      </w:r>
      <w:r w:rsidRPr="00586EAE">
        <w:rPr>
          <w:i/>
          <w:iCs/>
        </w:rPr>
        <w:t>B</w:t>
      </w:r>
      <w:r w:rsidRPr="00FE0C4F">
        <w:rPr>
          <w:i/>
          <w:iCs/>
          <w:lang w:val="bg-BG"/>
        </w:rPr>
        <w:t>.</w:t>
      </w:r>
      <w:r w:rsidRPr="00586EAE">
        <w:rPr>
          <w:i/>
          <w:iCs/>
        </w:rPr>
        <w:t>V</w:t>
      </w:r>
      <w:r w:rsidRPr="00FE0C4F">
        <w:rPr>
          <w:i/>
          <w:iCs/>
          <w:lang w:val="bg-BG"/>
        </w:rPr>
        <w:t>. и други</w:t>
      </w:r>
      <w:r w:rsidRPr="00FE0C4F">
        <w:rPr>
          <w:lang w:val="bg-BG"/>
        </w:rPr>
        <w:t xml:space="preserve">, цитирано по-горе, </w:t>
      </w:r>
      <w:r w:rsidR="00547DD6">
        <w:rPr>
          <w:rFonts w:cstheme="minorHAnsi"/>
          <w:lang w:val="bg-BG"/>
        </w:rPr>
        <w:t>§</w:t>
      </w:r>
      <w:r w:rsidRPr="00FE0C4F">
        <w:rPr>
          <w:rFonts w:cstheme="minorHAnsi"/>
          <w:lang w:val="bg-BG"/>
        </w:rPr>
        <w:t xml:space="preserve"> 146</w:t>
      </w:r>
      <w:r w:rsidRPr="00FE0C4F">
        <w:rPr>
          <w:lang w:val="bg-BG"/>
        </w:rPr>
        <w:t>; вж. също</w:t>
      </w:r>
      <w:bookmarkStart w:id="279" w:name="_cl42401THELAW"/>
      <w:r w:rsidRPr="00FE0C4F">
        <w:rPr>
          <w:lang w:val="bg-BG"/>
        </w:rPr>
        <w:t xml:space="preserve"> </w:t>
      </w:r>
      <w:r w:rsidRPr="0053039C">
        <w:rPr>
          <w:i/>
          <w:iCs/>
        </w:rPr>
        <w:t>Naumenko</w:t>
      </w:r>
      <w:r w:rsidRPr="00FE0C4F">
        <w:rPr>
          <w:i/>
          <w:iCs/>
          <w:lang w:val="bg-BG"/>
        </w:rPr>
        <w:t xml:space="preserve"> и </w:t>
      </w:r>
      <w:r w:rsidRPr="0053039C">
        <w:rPr>
          <w:i/>
          <w:iCs/>
        </w:rPr>
        <w:t>SIA</w:t>
      </w:r>
      <w:r w:rsidRPr="00FE0C4F">
        <w:rPr>
          <w:i/>
          <w:iCs/>
          <w:lang w:val="bg-BG"/>
        </w:rPr>
        <w:t xml:space="preserve"> </w:t>
      </w:r>
      <w:r w:rsidRPr="0053039C">
        <w:rPr>
          <w:i/>
          <w:iCs/>
        </w:rPr>
        <w:t>Rix</w:t>
      </w:r>
      <w:r w:rsidRPr="00FE0C4F">
        <w:rPr>
          <w:i/>
          <w:iCs/>
          <w:lang w:val="bg-BG"/>
        </w:rPr>
        <w:t xml:space="preserve"> </w:t>
      </w:r>
      <w:r w:rsidRPr="0053039C">
        <w:rPr>
          <w:i/>
          <w:iCs/>
        </w:rPr>
        <w:t>Shipping</w:t>
      </w:r>
      <w:r w:rsidRPr="00FE0C4F">
        <w:rPr>
          <w:lang w:val="bg-BG"/>
        </w:rPr>
        <w:t xml:space="preserve">, цитирано по-горе, </w:t>
      </w:r>
      <w:r w:rsidR="00547DD6">
        <w:rPr>
          <w:lang w:val="bg-BG"/>
        </w:rPr>
        <w:t>§</w:t>
      </w:r>
      <w:r w:rsidRPr="00FE0C4F">
        <w:rPr>
          <w:lang w:val="bg-BG"/>
        </w:rPr>
        <w:t xml:space="preserve"> 46, и </w:t>
      </w:r>
      <w:r w:rsidRPr="00144FDD">
        <w:rPr>
          <w:i/>
          <w:iCs/>
        </w:rPr>
        <w:t>UAB</w:t>
      </w:r>
      <w:r w:rsidRPr="00FE0C4F">
        <w:rPr>
          <w:i/>
          <w:iCs/>
          <w:lang w:val="bg-BG"/>
        </w:rPr>
        <w:t xml:space="preserve"> </w:t>
      </w:r>
      <w:r w:rsidRPr="00144FDD">
        <w:rPr>
          <w:i/>
          <w:iCs/>
        </w:rPr>
        <w:t>Kesko</w:t>
      </w:r>
      <w:r w:rsidRPr="00FE0C4F">
        <w:rPr>
          <w:i/>
          <w:iCs/>
          <w:lang w:val="bg-BG"/>
        </w:rPr>
        <w:t xml:space="preserve"> </w:t>
      </w:r>
      <w:r w:rsidRPr="00144FDD">
        <w:rPr>
          <w:i/>
          <w:iCs/>
        </w:rPr>
        <w:t>Senukai</w:t>
      </w:r>
      <w:r w:rsidRPr="00FE0C4F">
        <w:rPr>
          <w:i/>
          <w:iCs/>
          <w:lang w:val="bg-BG"/>
        </w:rPr>
        <w:t xml:space="preserve"> </w:t>
      </w:r>
      <w:r w:rsidRPr="00144FDD">
        <w:rPr>
          <w:i/>
          <w:iCs/>
        </w:rPr>
        <w:t>Lithuania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Литва</w:t>
      </w:r>
      <w:bookmarkEnd w:id="279"/>
      <w:r w:rsidRPr="00FE0C4F">
        <w:rPr>
          <w:lang w:val="bg-BG"/>
        </w:rPr>
        <w:t xml:space="preserve">, № 19162/19, </w:t>
      </w:r>
      <w:r w:rsidR="00547DD6">
        <w:rPr>
          <w:lang w:val="bg-BG"/>
        </w:rPr>
        <w:t>§</w:t>
      </w:r>
      <w:r w:rsidRPr="00FE0C4F">
        <w:rPr>
          <w:lang w:val="bg-BG"/>
        </w:rPr>
        <w:t xml:space="preserve"> 109, 4 април 2023 г.).</w:t>
      </w:r>
    </w:p>
    <w:bookmarkStart w:id="280" w:name="L_C_A_8_m_int_C_possibility_6"/>
    <w:p w14:paraId="556E3620" w14:textId="38699B47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118</w:t>
      </w:r>
      <w:r>
        <w:fldChar w:fldCharType="end"/>
      </w:r>
      <w:bookmarkEnd w:id="280"/>
      <w:r w:rsidR="00107E8D" w:rsidRPr="00FE0C4F">
        <w:rPr>
          <w:lang w:val="bg-BG"/>
        </w:rPr>
        <w:t xml:space="preserve">. </w:t>
      </w:r>
      <w:r w:rsidRPr="00FE0C4F">
        <w:rPr>
          <w:lang w:val="bg-BG"/>
        </w:rPr>
        <w:t>Следователно проникването на „</w:t>
      </w:r>
      <w:r w:rsidR="00145B17" w:rsidRPr="00FE0C4F">
        <w:rPr>
          <w:lang w:val="bg-BG"/>
        </w:rPr>
        <w:t xml:space="preserve">служител </w:t>
      </w:r>
      <w:r w:rsidR="00547DD6">
        <w:rPr>
          <w:lang w:val="bg-BG"/>
        </w:rPr>
        <w:t>на</w:t>
      </w:r>
      <w:r w:rsidR="00145B17" w:rsidRPr="00FE0C4F">
        <w:rPr>
          <w:lang w:val="bg-BG"/>
        </w:rPr>
        <w:t xml:space="preserve"> прикритие</w:t>
      </w:r>
      <w:r w:rsidRPr="00FE0C4F">
        <w:rPr>
          <w:lang w:val="bg-BG"/>
        </w:rPr>
        <w:t xml:space="preserve">“ в </w:t>
      </w:r>
      <w:r w:rsidR="00547DD6">
        <w:rPr>
          <w:lang w:val="bg-BG"/>
        </w:rPr>
        <w:t>сдружението</w:t>
      </w:r>
      <w:r w:rsidRPr="00FE0C4F">
        <w:rPr>
          <w:lang w:val="bg-BG"/>
        </w:rPr>
        <w:t xml:space="preserve"> би представлявало и намеса в правото му на зачитане на „дома“ му по смисъла на член 8, </w:t>
      </w:r>
      <w:r w:rsidR="00967190">
        <w:rPr>
          <w:rFonts w:cstheme="minorHAnsi"/>
          <w:lang w:val="bg-BG"/>
        </w:rPr>
        <w:t xml:space="preserve">§ </w:t>
      </w:r>
      <w:r w:rsidRPr="00FE0C4F">
        <w:rPr>
          <w:lang w:val="bg-BG"/>
        </w:rPr>
        <w:t>1 от Конвенцията.</w:t>
      </w:r>
    </w:p>
    <w:bookmarkStart w:id="281" w:name="L_C_A_8_m_int_C_possibility_7"/>
    <w:p w14:paraId="001F468A" w14:textId="4EF0C9B6" w:rsidR="00304BC9" w:rsidRPr="00FF5C6C" w:rsidRDefault="000F3485" w:rsidP="00304BC9">
      <w:pPr>
        <w:pStyle w:val="JuPara"/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119</w:t>
      </w:r>
      <w:r>
        <w:fldChar w:fldCharType="end"/>
      </w:r>
      <w:bookmarkEnd w:id="281"/>
      <w:r w:rsidR="00107E8D" w:rsidRPr="00FE0C4F">
        <w:rPr>
          <w:lang w:val="bg-BG"/>
        </w:rPr>
        <w:t>.</w:t>
      </w:r>
      <w:r w:rsidR="00107E8D">
        <w:t> </w:t>
      </w:r>
      <w:r w:rsidRPr="00FE0C4F">
        <w:rPr>
          <w:lang w:val="bg-BG"/>
        </w:rPr>
        <w:t>Предвид заключенията, изложени в параграфи</w:t>
      </w:r>
      <w:r w:rsidR="00107E8D">
        <w:rPr>
          <w:lang w:val="bg-BG"/>
        </w:rPr>
        <w:t xml:space="preserve"> 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L</w:instrText>
      </w:r>
      <w:r w:rsidRPr="00FE0C4F">
        <w:rPr>
          <w:lang w:val="bg-BG"/>
        </w:rPr>
        <w:instrText>_</w:instrText>
      </w:r>
      <w:r>
        <w:instrText>C</w:instrText>
      </w:r>
      <w:r w:rsidRPr="00FE0C4F">
        <w:rPr>
          <w:lang w:val="bg-BG"/>
        </w:rPr>
        <w:instrText>_</w:instrText>
      </w:r>
      <w:r>
        <w:instrText>A</w:instrText>
      </w:r>
      <w:r w:rsidRPr="00FE0C4F">
        <w:rPr>
          <w:lang w:val="bg-BG"/>
        </w:rPr>
        <w:instrText>_8_</w:instrText>
      </w:r>
      <w:r>
        <w:instrText>m</w:instrText>
      </w:r>
      <w:r w:rsidRPr="00FE0C4F">
        <w:rPr>
          <w:lang w:val="bg-BG"/>
        </w:rPr>
        <w:instrText>_</w:instrText>
      </w:r>
      <w:r>
        <w:instrText>int</w:instrText>
      </w:r>
      <w:r w:rsidRPr="00FE0C4F">
        <w:rPr>
          <w:lang w:val="bg-BG"/>
        </w:rPr>
        <w:instrText>_</w:instrText>
      </w:r>
      <w:r>
        <w:instrText>C</w:instrText>
      </w:r>
      <w:r w:rsidRPr="00FE0C4F">
        <w:rPr>
          <w:lang w:val="bg-BG"/>
        </w:rPr>
        <w:instrText>_</w:instrText>
      </w:r>
      <w:r>
        <w:instrText>possibility</w:instrText>
      </w:r>
      <w:r w:rsidRPr="00FE0C4F">
        <w:rPr>
          <w:lang w:val="bg-BG"/>
        </w:rPr>
        <w:instrText>_4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116</w:t>
      </w:r>
      <w:r>
        <w:fldChar w:fldCharType="end"/>
      </w:r>
      <w:r w:rsidRPr="00FE0C4F">
        <w:rPr>
          <w:lang w:val="bg-BG"/>
        </w:rPr>
        <w:t xml:space="preserve"> и</w:t>
      </w:r>
      <w:r w:rsidR="00107E8D">
        <w:rPr>
          <w:lang w:val="bg-BG"/>
        </w:rPr>
        <w:t xml:space="preserve"> 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L</w:instrText>
      </w:r>
      <w:r w:rsidRPr="00FE0C4F">
        <w:rPr>
          <w:lang w:val="bg-BG"/>
        </w:rPr>
        <w:instrText>_</w:instrText>
      </w:r>
      <w:r>
        <w:instrText>C</w:instrText>
      </w:r>
      <w:r w:rsidRPr="00FE0C4F">
        <w:rPr>
          <w:lang w:val="bg-BG"/>
        </w:rPr>
        <w:instrText>_</w:instrText>
      </w:r>
      <w:r>
        <w:instrText>A</w:instrText>
      </w:r>
      <w:r w:rsidRPr="00FE0C4F">
        <w:rPr>
          <w:lang w:val="bg-BG"/>
        </w:rPr>
        <w:instrText>_8_</w:instrText>
      </w:r>
      <w:r>
        <w:instrText>m</w:instrText>
      </w:r>
      <w:r w:rsidRPr="00FE0C4F">
        <w:rPr>
          <w:lang w:val="bg-BG"/>
        </w:rPr>
        <w:instrText>_</w:instrText>
      </w:r>
      <w:r>
        <w:instrText>int</w:instrText>
      </w:r>
      <w:r w:rsidRPr="00FE0C4F">
        <w:rPr>
          <w:lang w:val="bg-BG"/>
        </w:rPr>
        <w:instrText>_</w:instrText>
      </w:r>
      <w:r>
        <w:instrText>C</w:instrText>
      </w:r>
      <w:r w:rsidRPr="00FE0C4F">
        <w:rPr>
          <w:lang w:val="bg-BG"/>
        </w:rPr>
        <w:instrText>_</w:instrText>
      </w:r>
      <w:r>
        <w:instrText>possibility</w:instrText>
      </w:r>
      <w:r w:rsidRPr="00FE0C4F">
        <w:rPr>
          <w:lang w:val="bg-BG"/>
        </w:rPr>
        <w:instrText>_6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118</w:t>
      </w:r>
      <w:r>
        <w:fldChar w:fldCharType="end"/>
      </w:r>
      <w:r w:rsidRPr="00FE0C4F">
        <w:rPr>
          <w:lang w:val="bg-BG"/>
        </w:rPr>
        <w:t xml:space="preserve"> по-горе, би било излишно да се установява дали използването на „</w:t>
      </w:r>
      <w:r w:rsidR="00145B17" w:rsidRPr="00FE0C4F">
        <w:rPr>
          <w:lang w:val="bg-BG"/>
        </w:rPr>
        <w:t xml:space="preserve">служител </w:t>
      </w:r>
      <w:r w:rsidR="006957BB">
        <w:rPr>
          <w:lang w:val="bg-BG"/>
        </w:rPr>
        <w:t>на</w:t>
      </w:r>
      <w:r w:rsidR="00145B17" w:rsidRPr="00FE0C4F">
        <w:rPr>
          <w:lang w:val="bg-BG"/>
        </w:rPr>
        <w:t xml:space="preserve"> прикритие</w:t>
      </w:r>
      <w:r w:rsidRPr="00FE0C4F">
        <w:rPr>
          <w:lang w:val="bg-BG"/>
        </w:rPr>
        <w:t xml:space="preserve">“ по отношение на </w:t>
      </w:r>
      <w:r w:rsidR="006957BB">
        <w:rPr>
          <w:lang w:val="bg-BG"/>
        </w:rPr>
        <w:t>сдружението</w:t>
      </w:r>
      <w:r w:rsidRPr="00FE0C4F">
        <w:rPr>
          <w:lang w:val="bg-BG"/>
        </w:rPr>
        <w:t xml:space="preserve"> би представлявало също така намеса в правото му на зачитане на „личния живот“, ако има такова (по отношение на физически лица, вж. от една страна </w:t>
      </w:r>
      <w:r w:rsidR="006957BB" w:rsidRPr="00E66E88">
        <w:rPr>
          <w:i/>
          <w:iCs/>
        </w:rPr>
        <w:t>L</w:t>
      </w:r>
      <w:r w:rsidR="006957BB" w:rsidRPr="00FE0C4F">
        <w:rPr>
          <w:i/>
          <w:iCs/>
          <w:lang w:val="bg-BG"/>
        </w:rPr>
        <w:t>ü</w:t>
      </w:r>
      <w:r w:rsidR="006957BB" w:rsidRPr="00E66E88">
        <w:rPr>
          <w:i/>
          <w:iCs/>
        </w:rPr>
        <w:t>di</w:t>
      </w:r>
      <w:r w:rsidRPr="00FE0C4F">
        <w:rPr>
          <w:lang w:val="bg-BG"/>
        </w:rPr>
        <w:t xml:space="preserve">, цитирано по-горе, </w:t>
      </w:r>
      <w:r w:rsidR="005A1843">
        <w:rPr>
          <w:lang w:val="bg-BG"/>
        </w:rPr>
        <w:t>§</w:t>
      </w:r>
      <w:r w:rsidRPr="00FE0C4F">
        <w:rPr>
          <w:lang w:val="bg-BG"/>
        </w:rPr>
        <w:t xml:space="preserve"> 40, и от друга страна </w:t>
      </w:r>
      <w:r w:rsidR="005A1843" w:rsidRPr="003972FF">
        <w:rPr>
          <w:i/>
          <w:iCs/>
        </w:rPr>
        <w:t>Verliere</w:t>
      </w:r>
      <w:r w:rsidRPr="00FE0C4F">
        <w:rPr>
          <w:i/>
          <w:iCs/>
          <w:lang w:val="bg-BG"/>
        </w:rPr>
        <w:t xml:space="preserve"> 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Швейцария</w:t>
      </w:r>
      <w:r w:rsidRPr="00FE0C4F">
        <w:rPr>
          <w:lang w:val="bg-BG"/>
        </w:rPr>
        <w:t xml:space="preserve"> (реш.), № 41953/98, </w:t>
      </w:r>
      <w:r w:rsidRPr="003972FF">
        <w:t>ECHR</w:t>
      </w:r>
      <w:r w:rsidRPr="00FE0C4F">
        <w:rPr>
          <w:lang w:val="bg-BG"/>
        </w:rPr>
        <w:t xml:space="preserve"> 2001-</w:t>
      </w:r>
      <w:r w:rsidRPr="003972FF">
        <w:t>VII</w:t>
      </w:r>
      <w:r w:rsidRPr="00FE0C4F">
        <w:rPr>
          <w:lang w:val="bg-BG"/>
        </w:rPr>
        <w:t xml:space="preserve">, и </w:t>
      </w:r>
      <w:r w:rsidR="00726C67" w:rsidRPr="001D6F3D">
        <w:rPr>
          <w:i/>
          <w:iCs/>
        </w:rPr>
        <w:t>Vukota</w:t>
      </w:r>
      <w:r w:rsidR="00726C67" w:rsidRPr="00FE0C4F">
        <w:rPr>
          <w:i/>
          <w:iCs/>
          <w:lang w:val="bg-BG"/>
        </w:rPr>
        <w:t>-</w:t>
      </w:r>
      <w:r w:rsidR="00726C67" w:rsidRPr="001D6F3D">
        <w:rPr>
          <w:i/>
          <w:iCs/>
        </w:rPr>
        <w:t>Boji</w:t>
      </w:r>
      <w:r w:rsidR="00726C67" w:rsidRPr="00FE0C4F">
        <w:rPr>
          <w:i/>
          <w:iCs/>
          <w:lang w:val="bg-BG"/>
        </w:rPr>
        <w:t xml:space="preserve">ć </w:t>
      </w:r>
      <w:r w:rsidRPr="00FE0C4F">
        <w:rPr>
          <w:i/>
          <w:iCs/>
          <w:lang w:val="bg-BG"/>
        </w:rPr>
        <w:t>с</w:t>
      </w:r>
      <w:r w:rsidR="00107E8D">
        <w:rPr>
          <w:i/>
          <w:iCs/>
          <w:lang w:val="bg-BG"/>
        </w:rPr>
        <w:t>/</w:t>
      </w:r>
      <w:r w:rsidRPr="00FE0C4F">
        <w:rPr>
          <w:i/>
          <w:iCs/>
          <w:lang w:val="bg-BG"/>
        </w:rPr>
        <w:t>у Швейцария</w:t>
      </w:r>
      <w:r w:rsidRPr="00FE0C4F">
        <w:rPr>
          <w:lang w:val="bg-BG"/>
        </w:rPr>
        <w:t xml:space="preserve">, № 61838/10, </w:t>
      </w:r>
      <w:r w:rsidR="00726C67">
        <w:rPr>
          <w:rFonts w:cstheme="minorHAnsi"/>
          <w:lang w:val="bg-BG"/>
        </w:rPr>
        <w:t>§</w:t>
      </w:r>
      <w:r w:rsidRPr="00FE0C4F">
        <w:rPr>
          <w:lang w:val="bg-BG"/>
        </w:rPr>
        <w:t xml:space="preserve"> 59, 18 октомври 2016 г.; по отношение на юридическите лица, вж. </w:t>
      </w:r>
      <w:r w:rsidRPr="005910F9">
        <w:rPr>
          <w:i/>
          <w:iCs/>
        </w:rPr>
        <w:t>Bernh Larsen Holding AS</w:t>
      </w:r>
      <w:r>
        <w:t xml:space="preserve">, цитирано по-горе, </w:t>
      </w:r>
      <w:r w:rsidR="00726C67">
        <w:rPr>
          <w:rFonts w:cstheme="minorHAnsi"/>
          <w:lang w:val="bg-BG"/>
        </w:rPr>
        <w:t>§</w:t>
      </w:r>
      <w:r>
        <w:t xml:space="preserve"> 107).</w:t>
      </w:r>
      <w:bookmarkStart w:id="282" w:name="_Hlk175232150"/>
    </w:p>
    <w:p w14:paraId="4AE1D899" w14:textId="4CEB0A8E" w:rsidR="00304BC9" w:rsidRDefault="000F3485" w:rsidP="00304BC9">
      <w:pPr>
        <w:pStyle w:val="JuHi"/>
        <w:spacing w:line="240" w:lineRule="auto"/>
      </w:pPr>
      <w:bookmarkStart w:id="283" w:name="_Toc175215001"/>
      <w:bookmarkStart w:id="284" w:name="_Toc232688306"/>
      <w:bookmarkEnd w:id="282"/>
      <w:r>
        <w:lastRenderedPageBreak/>
        <w:t xml:space="preserve">Може ли </w:t>
      </w:r>
      <w:r w:rsidR="002C3038">
        <w:rPr>
          <w:lang w:val="bg-BG"/>
        </w:rPr>
        <w:t>сдружението</w:t>
      </w:r>
      <w:r w:rsidR="00145B17">
        <w:rPr>
          <w:lang w:val="bg-BG"/>
        </w:rPr>
        <w:t>-жалбоподател</w:t>
      </w:r>
      <w:r>
        <w:t xml:space="preserve"> да</w:t>
      </w:r>
      <w:r w:rsidRPr="00AD2371">
        <w:t xml:space="preserve"> твърди</w:t>
      </w:r>
      <w:r>
        <w:t xml:space="preserve">, че е </w:t>
      </w:r>
      <w:r w:rsidRPr="00AD2371">
        <w:t xml:space="preserve">жертва на намеса в </w:t>
      </w:r>
      <w:r>
        <w:t xml:space="preserve">тези </w:t>
      </w:r>
      <w:r w:rsidRPr="00AD2371">
        <w:t xml:space="preserve">права само </w:t>
      </w:r>
      <w:r>
        <w:t xml:space="preserve">поради </w:t>
      </w:r>
      <w:r w:rsidRPr="00AD2371">
        <w:t xml:space="preserve">съществуването на </w:t>
      </w:r>
      <w:r>
        <w:t>разпоредбите относно „</w:t>
      </w:r>
      <w:r w:rsidR="00501FB6">
        <w:t>служител на</w:t>
      </w:r>
      <w:r>
        <w:t xml:space="preserve"> прикритие“?</w:t>
      </w:r>
      <w:bookmarkEnd w:id="283"/>
      <w:bookmarkEnd w:id="284"/>
    </w:p>
    <w:p w14:paraId="553F55D3" w14:textId="77777777" w:rsidR="00304BC9" w:rsidRPr="00B6751D" w:rsidRDefault="000F3485" w:rsidP="00304BC9">
      <w:pPr>
        <w:pStyle w:val="JuHalpha"/>
      </w:pPr>
      <w:bookmarkStart w:id="285" w:name="_Toc175215002"/>
      <w:bookmarkStart w:id="286" w:name="_Toc232688307"/>
      <w:r>
        <w:t>Общи принципи</w:t>
      </w:r>
      <w:bookmarkEnd w:id="285"/>
      <w:bookmarkEnd w:id="286"/>
    </w:p>
    <w:bookmarkStart w:id="287" w:name="L_C_A_8_m_int_C_victim_gen_pr"/>
    <w:p w14:paraId="79CC6B9F" w14:textId="608A4066" w:rsidR="00304BC9" w:rsidRDefault="000F3485" w:rsidP="00304BC9">
      <w:pPr>
        <w:pStyle w:val="JuPara"/>
        <w:rPr>
          <w:lang w:bidi="en-US"/>
        </w:rPr>
      </w:pPr>
      <w:r>
        <w:rPr>
          <w:lang w:bidi="en-US"/>
        </w:rPr>
        <w:fldChar w:fldCharType="begin"/>
      </w:r>
      <w:r>
        <w:rPr>
          <w:lang w:bidi="en-US"/>
        </w:rPr>
        <w:instrText xml:space="preserve"> SEQ level0 \*arabic \* MERGEFORMAT </w:instrText>
      </w:r>
      <w:r>
        <w:rPr>
          <w:lang w:bidi="en-US"/>
        </w:rPr>
        <w:fldChar w:fldCharType="separate"/>
      </w:r>
      <w:r w:rsidR="00F21D3F">
        <w:rPr>
          <w:noProof/>
          <w:lang w:bidi="en-US"/>
        </w:rPr>
        <w:t>120</w:t>
      </w:r>
      <w:r>
        <w:rPr>
          <w:lang w:bidi="en-US"/>
        </w:rPr>
        <w:fldChar w:fldCharType="end"/>
      </w:r>
      <w:bookmarkEnd w:id="287"/>
      <w:r w:rsidR="00107E8D">
        <w:rPr>
          <w:lang w:bidi="en-US"/>
        </w:rPr>
        <w:t>. </w:t>
      </w:r>
      <w:r>
        <w:rPr>
          <w:lang w:bidi="en-US"/>
        </w:rPr>
        <w:t xml:space="preserve">Различаващите се преди това </w:t>
      </w:r>
      <w:r w:rsidRPr="00025DDD">
        <w:rPr>
          <w:lang w:bidi="en-US"/>
        </w:rPr>
        <w:t xml:space="preserve">направления </w:t>
      </w:r>
      <w:r>
        <w:rPr>
          <w:lang w:bidi="en-US"/>
        </w:rPr>
        <w:t xml:space="preserve">в съдебната практика относно </w:t>
      </w:r>
      <w:r w:rsidRPr="0093285F">
        <w:rPr>
          <w:lang w:bidi="en-US"/>
        </w:rPr>
        <w:t xml:space="preserve">това кога жалбоподателите </w:t>
      </w:r>
      <w:r>
        <w:rPr>
          <w:lang w:bidi="en-US"/>
        </w:rPr>
        <w:t>могат да</w:t>
      </w:r>
      <w:r w:rsidRPr="0093285F">
        <w:rPr>
          <w:lang w:bidi="en-US"/>
        </w:rPr>
        <w:t xml:space="preserve"> твърдят</w:t>
      </w:r>
      <w:r>
        <w:rPr>
          <w:lang w:bidi="en-US"/>
        </w:rPr>
        <w:t xml:space="preserve">, че са </w:t>
      </w:r>
      <w:r w:rsidRPr="0093285F">
        <w:rPr>
          <w:lang w:bidi="en-US"/>
        </w:rPr>
        <w:t xml:space="preserve">жертви на намеса в правата им по член 8 от Конвенцията само </w:t>
      </w:r>
      <w:r>
        <w:rPr>
          <w:lang w:bidi="en-US"/>
        </w:rPr>
        <w:t xml:space="preserve">поради </w:t>
      </w:r>
      <w:r w:rsidRPr="0093285F">
        <w:rPr>
          <w:lang w:bidi="en-US"/>
        </w:rPr>
        <w:t xml:space="preserve">съществуването на вътрешни закони или практики, позволяващи </w:t>
      </w:r>
      <w:r>
        <w:rPr>
          <w:lang w:bidi="en-US"/>
        </w:rPr>
        <w:t xml:space="preserve">тайно </w:t>
      </w:r>
      <w:r w:rsidRPr="0093285F">
        <w:rPr>
          <w:lang w:bidi="en-US"/>
        </w:rPr>
        <w:t>наблюдение</w:t>
      </w:r>
      <w:r>
        <w:rPr>
          <w:lang w:bidi="en-US"/>
        </w:rPr>
        <w:t>,</w:t>
      </w:r>
      <w:r w:rsidRPr="0093285F">
        <w:rPr>
          <w:lang w:bidi="en-US"/>
        </w:rPr>
        <w:t xml:space="preserve"> бяха </w:t>
      </w:r>
      <w:r>
        <w:rPr>
          <w:lang w:bidi="en-US"/>
        </w:rPr>
        <w:t xml:space="preserve">хармонизирани, а общите принципи по този въпрос </w:t>
      </w:r>
      <w:r w:rsidRPr="0093285F">
        <w:rPr>
          <w:lang w:bidi="en-US"/>
        </w:rPr>
        <w:t>бя</w:t>
      </w:r>
      <w:r>
        <w:rPr>
          <w:lang w:bidi="en-US"/>
        </w:rPr>
        <w:t>ха</w:t>
      </w:r>
      <w:r w:rsidRPr="0093285F">
        <w:rPr>
          <w:lang w:bidi="en-US"/>
        </w:rPr>
        <w:t xml:space="preserve"> изяснени в </w:t>
      </w:r>
      <w:r w:rsidR="00126F71" w:rsidRPr="00126F71">
        <w:rPr>
          <w:i/>
          <w:iCs/>
          <w:lang w:bidi="en-US"/>
        </w:rPr>
        <w:t xml:space="preserve">Roman Zakharov </w:t>
      </w:r>
      <w:r w:rsidRPr="0093285F">
        <w:rPr>
          <w:lang w:bidi="en-US"/>
        </w:rPr>
        <w:t xml:space="preserve">(цитирано по-горе, </w:t>
      </w:r>
      <w:r w:rsidR="00126F71">
        <w:rPr>
          <w:lang w:val="bg-BG" w:bidi="en-US"/>
        </w:rPr>
        <w:t>§</w:t>
      </w:r>
      <w:r w:rsidRPr="0093285F">
        <w:rPr>
          <w:lang w:bidi="en-US"/>
        </w:rPr>
        <w:t xml:space="preserve"> 171)</w:t>
      </w:r>
      <w:r>
        <w:rPr>
          <w:lang w:bidi="en-US"/>
        </w:rPr>
        <w:t>. Те бяха потвърдени</w:t>
      </w:r>
      <w:r w:rsidRPr="0093285F">
        <w:rPr>
          <w:lang w:bidi="en-US"/>
        </w:rPr>
        <w:t xml:space="preserve"> наскоро в делото </w:t>
      </w:r>
      <w:r w:rsidR="00126F71" w:rsidRPr="00126F71">
        <w:rPr>
          <w:i/>
          <w:iCs/>
          <w:lang w:bidi="en-US"/>
        </w:rPr>
        <w:t>Centrum för rättvisa</w:t>
      </w:r>
      <w:r w:rsidR="00107E8D">
        <w:rPr>
          <w:i/>
          <w:iCs/>
          <w:lang w:val="bg-BG" w:bidi="en-US"/>
        </w:rPr>
        <w:t xml:space="preserve"> </w:t>
      </w:r>
      <w:r w:rsidRPr="0093285F">
        <w:rPr>
          <w:i/>
          <w:iCs/>
          <w:lang w:bidi="en-US"/>
        </w:rPr>
        <w:t xml:space="preserve"> </w:t>
      </w:r>
      <w:r>
        <w:rPr>
          <w:lang w:bidi="en-US"/>
        </w:rPr>
        <w:t>(цитирано по-горе,</w:t>
      </w:r>
      <w:r w:rsidR="00E461D9">
        <w:rPr>
          <w:lang w:val="bg-BG" w:bidi="en-US"/>
        </w:rPr>
        <w:t xml:space="preserve"> §</w:t>
      </w:r>
      <w:r w:rsidRPr="0093285F">
        <w:rPr>
          <w:lang w:bidi="en-US"/>
        </w:rPr>
        <w:t xml:space="preserve"> 167).</w:t>
      </w:r>
    </w:p>
    <w:bookmarkStart w:id="288" w:name="L_C_A_8_m_int_C_victim_gen_pr_bis"/>
    <w:p w14:paraId="3249A926" w14:textId="77777777" w:rsidR="00304BC9" w:rsidRDefault="000F3485" w:rsidP="00304BC9">
      <w:pPr>
        <w:pStyle w:val="JuPara"/>
        <w:rPr>
          <w:lang w:bidi="en-US"/>
        </w:rPr>
      </w:pPr>
      <w:r>
        <w:rPr>
          <w:lang w:bidi="en-US"/>
        </w:rPr>
        <w:fldChar w:fldCharType="begin"/>
      </w:r>
      <w:r>
        <w:rPr>
          <w:lang w:bidi="en-US"/>
        </w:rPr>
        <w:instrText xml:space="preserve"> SEQ level0 \*arabic \* MERGEFORMAT </w:instrText>
      </w:r>
      <w:r>
        <w:rPr>
          <w:lang w:bidi="en-US"/>
        </w:rPr>
        <w:fldChar w:fldCharType="separate"/>
      </w:r>
      <w:r w:rsidR="00F21D3F">
        <w:rPr>
          <w:noProof/>
          <w:lang w:bidi="en-US"/>
        </w:rPr>
        <w:t>121</w:t>
      </w:r>
      <w:r>
        <w:rPr>
          <w:lang w:bidi="en-US"/>
        </w:rPr>
        <w:fldChar w:fldCharType="end"/>
      </w:r>
      <w:bookmarkEnd w:id="288"/>
      <w:r w:rsidR="002812A4">
        <w:rPr>
          <w:lang w:bidi="en-US"/>
        </w:rPr>
        <w:t>.</w:t>
      </w:r>
      <w:r>
        <w:rPr>
          <w:lang w:bidi="en-US"/>
        </w:rPr>
        <w:t>Тези принципи са еднакво приложими към ситуации, като настоящата, в които тайната на въпросното наблюдение се постига не чрез пълно прикриване от целта на факта, че се извършва наблюдение – както става например при тайното подслушване на комуникации или използването на оборудване за тайно наблюдение като скрити камери или записващи устройства – а чрез систематични мерки, изчислени да скрият просто факта, че иначе явният събеседник на целта (познат, бизнес контакт, служител, колега, доставчик на услуги, клиент, колега по професия и т.н.) всъщност е оперативен служител, който систематично използва или манипулира своето положение или взаимоотношения, за да получи информация за използване от властите. В такива ситуации лицата, които са обект на или са засегнати от такова наблюдение, също остават в неведение за него.</w:t>
      </w:r>
    </w:p>
    <w:p w14:paraId="4EEAF058" w14:textId="77777777" w:rsidR="00304BC9" w:rsidRDefault="000F3485" w:rsidP="00304BC9">
      <w:pPr>
        <w:pStyle w:val="JuHalpha"/>
      </w:pPr>
      <w:bookmarkStart w:id="289" w:name="_Toc175215003"/>
      <w:bookmarkStart w:id="290" w:name="_Toc232688308"/>
      <w:r>
        <w:t>Прилагане на тези принципи</w:t>
      </w:r>
      <w:bookmarkEnd w:id="289"/>
      <w:bookmarkEnd w:id="290"/>
    </w:p>
    <w:p w14:paraId="26133C22" w14:textId="77777777" w:rsidR="00304BC9" w:rsidRDefault="000F3485" w:rsidP="00304BC9">
      <w:pPr>
        <w:pStyle w:val="JuH"/>
      </w:pPr>
      <w:bookmarkStart w:id="291" w:name="_Toc232688309"/>
      <w:r w:rsidRPr="0013735B">
        <w:t xml:space="preserve">Обхват на приложимото </w:t>
      </w:r>
      <w:r w:rsidR="00145B17">
        <w:rPr>
          <w:lang w:val="bg-BG"/>
        </w:rPr>
        <w:t>право</w:t>
      </w:r>
      <w:bookmarkEnd w:id="291"/>
    </w:p>
    <w:bookmarkStart w:id="292" w:name="L_C_A_8_m_int_C_victim_scope"/>
    <w:p w14:paraId="4AF6A7DD" w14:textId="14AAFC28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122</w:t>
      </w:r>
      <w:r>
        <w:fldChar w:fldCharType="end"/>
      </w:r>
      <w:bookmarkEnd w:id="292"/>
      <w:r w:rsidR="002812A4">
        <w:t>.</w:t>
      </w:r>
      <w:r>
        <w:t> </w:t>
      </w:r>
      <w:r w:rsidRPr="006513A2">
        <w:t xml:space="preserve">Съгласно разпоредбите на </w:t>
      </w:r>
      <w:r w:rsidR="009A0E45">
        <w:t>чл</w:t>
      </w:r>
      <w:r w:rsidR="009A0E45">
        <w:rPr>
          <w:lang w:val="bg-BG"/>
        </w:rPr>
        <w:t>.</w:t>
      </w:r>
      <w:r>
        <w:t xml:space="preserve"> 52, </w:t>
      </w:r>
      <w:r w:rsidR="009A0E45">
        <w:rPr>
          <w:lang w:val="bg-BG"/>
        </w:rPr>
        <w:t>ал.</w:t>
      </w:r>
      <w:r>
        <w:t xml:space="preserve"> 1 от Правилника от 2008 г., „</w:t>
      </w:r>
      <w:r w:rsidR="00636119">
        <w:t>служители</w:t>
      </w:r>
      <w:r>
        <w:t xml:space="preserve"> </w:t>
      </w:r>
      <w:r w:rsidR="009A0E45">
        <w:rPr>
          <w:lang w:val="bg-BG"/>
        </w:rPr>
        <w:t>на</w:t>
      </w:r>
      <w:r>
        <w:t xml:space="preserve"> прикритие“ могат да бъдат </w:t>
      </w:r>
      <w:r w:rsidR="009A0E45">
        <w:rPr>
          <w:lang w:val="bg-BG"/>
        </w:rPr>
        <w:t>използвани</w:t>
      </w:r>
      <w:r>
        <w:t xml:space="preserve"> ако има „доказана оперативн</w:t>
      </w:r>
      <w:r w:rsidR="009A0E45">
        <w:t>а необходимост“, а съгласно чл.</w:t>
      </w:r>
      <w:r>
        <w:t xml:space="preserve"> 53, </w:t>
      </w:r>
      <w:r w:rsidR="009A0E45">
        <w:rPr>
          <w:lang w:val="bg-BG"/>
        </w:rPr>
        <w:t>ал.</w:t>
      </w:r>
      <w:r>
        <w:t xml:space="preserve"> 1 и 2, те </w:t>
      </w:r>
      <w:r w:rsidRPr="00245F7C">
        <w:t xml:space="preserve">могат да извършват </w:t>
      </w:r>
      <w:r w:rsidR="00522122" w:rsidRPr="00522122">
        <w:rPr>
          <w:lang w:val="bg-BG"/>
        </w:rPr>
        <w:t>оперативно-</w:t>
      </w:r>
      <w:r w:rsidR="00522122" w:rsidRPr="00522122">
        <w:t>разузнавателна</w:t>
      </w:r>
      <w:r w:rsidRPr="00245F7C">
        <w:t xml:space="preserve"> и контраразузнавателна дейност</w:t>
      </w:r>
      <w:r>
        <w:t>,</w:t>
      </w:r>
      <w:r w:rsidRPr="00245F7C">
        <w:t xml:space="preserve"> </w:t>
      </w:r>
      <w:r>
        <w:t xml:space="preserve">насочена към </w:t>
      </w:r>
      <w:r w:rsidRPr="00245F7C">
        <w:t>защита на националната сигурност</w:t>
      </w:r>
      <w:r>
        <w:t xml:space="preserve">, като конкретните им </w:t>
      </w:r>
      <w:r w:rsidRPr="00245F7C">
        <w:t xml:space="preserve">задачи </w:t>
      </w:r>
      <w:r>
        <w:t xml:space="preserve">се определят </w:t>
      </w:r>
      <w:r w:rsidRPr="00245F7C">
        <w:t xml:space="preserve">от </w:t>
      </w:r>
      <w:r w:rsidR="00522122">
        <w:rPr>
          <w:lang w:val="bg-BG"/>
        </w:rPr>
        <w:t>председателя</w:t>
      </w:r>
      <w:r>
        <w:t xml:space="preserve"> на </w:t>
      </w:r>
      <w:r w:rsidRPr="00245F7C">
        <w:t xml:space="preserve">Агенцията във всеки отделен случай </w:t>
      </w:r>
      <w:r>
        <w:t>(вж.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F_Regs_r_52 \h  \* MERGEFORMAT </w:instrText>
      </w:r>
      <w:r>
        <w:fldChar w:fldCharType="separate"/>
      </w:r>
      <w:r w:rsidR="00F21D3F">
        <w:t>11</w:t>
      </w:r>
      <w:r>
        <w:fldChar w:fldCharType="end"/>
      </w:r>
      <w:r>
        <w:t>-</w:t>
      </w:r>
      <w:r>
        <w:fldChar w:fldCharType="begin"/>
      </w:r>
      <w:r>
        <w:instrText xml:space="preserve"> REF  F_Regs_r_53 \h  \* MERGEFORMAT </w:instrText>
      </w:r>
      <w:r>
        <w:fldChar w:fldCharType="separate"/>
      </w:r>
      <w:r w:rsidR="00F21D3F">
        <w:t>12</w:t>
      </w:r>
      <w:r>
        <w:fldChar w:fldCharType="end"/>
      </w:r>
      <w:r>
        <w:t xml:space="preserve"> по-горе). Съгласно </w:t>
      </w:r>
      <w:r w:rsidR="00106439">
        <w:rPr>
          <w:lang w:val="bg-BG"/>
        </w:rPr>
        <w:t>чл.</w:t>
      </w:r>
      <w:r>
        <w:t xml:space="preserve"> 50, изменена през септември 2018 г., „</w:t>
      </w:r>
      <w:r w:rsidR="00636119">
        <w:t>служители</w:t>
      </w:r>
      <w:r>
        <w:t xml:space="preserve"> </w:t>
      </w:r>
      <w:r w:rsidR="00106439">
        <w:rPr>
          <w:lang w:val="bg-BG"/>
        </w:rPr>
        <w:t>на</w:t>
      </w:r>
      <w:r>
        <w:t xml:space="preserve"> прикритие“ могат да бъдат внедрени във всяка частна организация (вж.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F_Regs_2018_amnd_r_50 \h  \* MERGEFORMAT </w:instrText>
      </w:r>
      <w:r>
        <w:fldChar w:fldCharType="separate"/>
      </w:r>
      <w:r w:rsidR="00F21D3F">
        <w:t>28</w:t>
      </w:r>
      <w:r>
        <w:fldChar w:fldCharType="end"/>
      </w:r>
      <w:r>
        <w:t>-</w:t>
      </w:r>
      <w:r>
        <w:fldChar w:fldCharType="begin"/>
      </w:r>
      <w:r>
        <w:instrText xml:space="preserve"> REF  F_Regs_2018_amnd_r_51 \h  \* MERGEFORMAT </w:instrText>
      </w:r>
      <w:r>
        <w:fldChar w:fldCharType="separate"/>
      </w:r>
      <w:r w:rsidR="00F21D3F">
        <w:t>29</w:t>
      </w:r>
      <w:r>
        <w:fldChar w:fldCharType="end"/>
      </w:r>
      <w:r>
        <w:t xml:space="preserve"> по-горе). От това следва, че </w:t>
      </w:r>
      <w:r w:rsidRPr="00553AD1">
        <w:t xml:space="preserve">теоретично </w:t>
      </w:r>
      <w:r>
        <w:t xml:space="preserve">всяка неправителствена организация в България може да стане обект на такива мерки и по този начин </w:t>
      </w:r>
      <w:r w:rsidRPr="00FB63D5">
        <w:t xml:space="preserve">е възможно да бъде засегната от </w:t>
      </w:r>
      <w:r>
        <w:t>въпросните разпоредби.</w:t>
      </w:r>
    </w:p>
    <w:p w14:paraId="73929602" w14:textId="77777777" w:rsidR="00304BC9" w:rsidRDefault="000F3485" w:rsidP="00304BC9">
      <w:pPr>
        <w:pStyle w:val="JuH"/>
      </w:pPr>
      <w:bookmarkStart w:id="293" w:name="_Toc232688310"/>
      <w:r w:rsidRPr="0013735B">
        <w:lastRenderedPageBreak/>
        <w:t>Наличие на ефективн</w:t>
      </w:r>
      <w:r w:rsidR="00145B17">
        <w:rPr>
          <w:lang w:val="bg-BG"/>
        </w:rPr>
        <w:t>и средства за</w:t>
      </w:r>
      <w:r w:rsidRPr="0013735B">
        <w:t xml:space="preserve"> правна защита</w:t>
      </w:r>
      <w:bookmarkEnd w:id="293"/>
    </w:p>
    <w:bookmarkStart w:id="294" w:name="L_C_A_8_m_int_C_victim_rem_1"/>
    <w:p w14:paraId="5991CAED" w14:textId="78D140AF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123</w:t>
      </w:r>
      <w:r>
        <w:fldChar w:fldCharType="end"/>
      </w:r>
      <w:bookmarkEnd w:id="294"/>
      <w:r w:rsidR="002812A4">
        <w:t>. </w:t>
      </w:r>
      <w:r w:rsidRPr="002654E3">
        <w:t xml:space="preserve">Следващият въпрос е дали в България съществува ефективна правна защита, </w:t>
      </w:r>
      <w:r>
        <w:t xml:space="preserve">която </w:t>
      </w:r>
      <w:r w:rsidRPr="002654E3">
        <w:t xml:space="preserve">да разсее </w:t>
      </w:r>
      <w:r>
        <w:t xml:space="preserve">подозренията </w:t>
      </w:r>
      <w:r w:rsidRPr="002654E3">
        <w:t xml:space="preserve">сред широката общественост, че </w:t>
      </w:r>
      <w:r w:rsidR="00865EC2">
        <w:rPr>
          <w:lang w:val="bg-BG"/>
        </w:rPr>
        <w:t xml:space="preserve">може да бъде злоупотребено със </w:t>
      </w:r>
      <w:r>
        <w:t>способността на Агенцията да разполага „</w:t>
      </w:r>
      <w:r w:rsidR="00636119">
        <w:t>служители</w:t>
      </w:r>
      <w:r>
        <w:t xml:space="preserve"> под прикритие“.</w:t>
      </w:r>
    </w:p>
    <w:bookmarkStart w:id="295" w:name="L_C_A_8_m_int_C_victim_rem_2"/>
    <w:p w14:paraId="4922DE35" w14:textId="3C2AA5C5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124</w:t>
      </w:r>
      <w:r>
        <w:fldChar w:fldCharType="end"/>
      </w:r>
      <w:bookmarkEnd w:id="295"/>
      <w:r w:rsidR="002812A4">
        <w:t xml:space="preserve">. </w:t>
      </w:r>
      <w:r>
        <w:t>Както многократно се подчертава на национално равнище и от пра</w:t>
      </w:r>
      <w:r w:rsidR="00865EC2">
        <w:t>вителството в неговото становище</w:t>
      </w:r>
      <w:r>
        <w:t xml:space="preserve"> пред Съда (вж.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F_Regs_2018_amnd_SANS_response_BHC_bis \h  \* MERGEFORMAT </w:instrText>
      </w:r>
      <w:r>
        <w:fldChar w:fldCharType="separate"/>
      </w:r>
      <w:r w:rsidR="00F21D3F">
        <w:t>24</w:t>
      </w:r>
      <w:r>
        <w:fldChar w:fldCharType="end"/>
      </w:r>
      <w:r>
        <w:t xml:space="preserve"> ,</w:t>
      </w:r>
      <w:r>
        <w:fldChar w:fldCharType="begin"/>
      </w:r>
      <w:r>
        <w:instrText xml:space="preserve"> REF  F_jud_rev_FI_response_SANS \h  \* MERGEFORMAT </w:instrText>
      </w:r>
      <w:r>
        <w:fldChar w:fldCharType="separate"/>
      </w:r>
      <w:r w:rsidR="00F21D3F">
        <w:t>32</w:t>
      </w:r>
      <w:r>
        <w:fldChar w:fldCharType="end"/>
      </w:r>
      <w:r w:rsidR="002812A4">
        <w:t xml:space="preserve"> -</w:t>
      </w:r>
      <w:r>
        <w:fldChar w:fldCharType="begin"/>
      </w:r>
      <w:r>
        <w:instrText xml:space="preserve"> REF  F_jud_rev_FI_response_GOV \h  \* MERGEFORMAT </w:instrText>
      </w:r>
      <w:r>
        <w:fldChar w:fldCharType="separate"/>
      </w:r>
      <w:r w:rsidR="00F21D3F">
        <w:t>33</w:t>
      </w:r>
      <w:r>
        <w:fldChar w:fldCharType="end"/>
      </w:r>
      <w:r>
        <w:t>,</w:t>
      </w:r>
      <w:r w:rsidR="00865EC2">
        <w:rPr>
          <w:lang w:val="bg-BG"/>
        </w:rPr>
        <w:t xml:space="preserve"> </w:t>
      </w:r>
      <w:r>
        <w:fldChar w:fldCharType="begin"/>
      </w:r>
      <w:r>
        <w:instrText xml:space="preserve"> REF  F_jud_rev_FI_hearing_SAC_09_06_2020 \h  \* MERGEFORMAT </w:instrText>
      </w:r>
      <w:r>
        <w:fldChar w:fldCharType="separate"/>
      </w:r>
      <w:r w:rsidR="00F21D3F">
        <w:t>36</w:t>
      </w:r>
      <w:r>
        <w:fldChar w:fldCharType="end"/>
      </w:r>
      <w:r>
        <w:t xml:space="preserve"> ,</w:t>
      </w:r>
      <w:r>
        <w:fldChar w:fldCharType="begin"/>
      </w:r>
      <w:r>
        <w:instrText xml:space="preserve"> REF  F_jud_rev_APP_responses_SANS_GOV \h  \* MERGEFORMAT </w:instrText>
      </w:r>
      <w:r>
        <w:fldChar w:fldCharType="separate"/>
      </w:r>
      <w:r w:rsidR="00F21D3F">
        <w:t>39</w:t>
      </w:r>
      <w:r>
        <w:fldChar w:fldCharType="end"/>
      </w:r>
      <w:r>
        <w:t>-</w:t>
      </w:r>
      <w:r>
        <w:fldChar w:fldCharType="begin"/>
      </w:r>
      <w:r>
        <w:instrText xml:space="preserve"> REF  F_jud_rev_APP_jud_SAC_19_07_2021 \h  \* MERGEFORMAT </w:instrText>
      </w:r>
      <w:r>
        <w:fldChar w:fldCharType="separate"/>
      </w:r>
      <w:r w:rsidR="00F21D3F">
        <w:t>40</w:t>
      </w:r>
      <w:r>
        <w:fldChar w:fldCharType="end"/>
      </w:r>
      <w:r>
        <w:t xml:space="preserve"> 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L_C_A_8_m_int_G_2 \h  \* MERGEFORMAT </w:instrText>
      </w:r>
      <w:r>
        <w:fldChar w:fldCharType="separate"/>
      </w:r>
      <w:r w:rsidR="00F21D3F">
        <w:t>111</w:t>
      </w:r>
      <w:r>
        <w:fldChar w:fldCharType="end"/>
      </w:r>
      <w:r>
        <w:t xml:space="preserve"> по-горе), „</w:t>
      </w:r>
      <w:r w:rsidR="00636119">
        <w:t>служители</w:t>
      </w:r>
      <w:r>
        <w:t xml:space="preserve">те </w:t>
      </w:r>
      <w:r w:rsidR="00865EC2">
        <w:rPr>
          <w:lang w:val="bg-BG"/>
        </w:rPr>
        <w:t>на</w:t>
      </w:r>
      <w:r>
        <w:t xml:space="preserve"> прикритие“ не представляват „специални </w:t>
      </w:r>
      <w:r w:rsidR="00B018A8">
        <w:rPr>
          <w:lang w:val="bg-BG"/>
        </w:rPr>
        <w:t xml:space="preserve">разузнавателни </w:t>
      </w:r>
      <w:r>
        <w:t>с</w:t>
      </w:r>
      <w:r w:rsidR="00B018A8">
        <w:t>редства</w:t>
      </w:r>
      <w:r>
        <w:t>“ по смисъла на Закона от 1997 г. и свързаното с него законодателство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RLF_SSMA_s_2 \h  \* MERGEFORMAT </w:instrText>
      </w:r>
      <w:r>
        <w:fldChar w:fldCharType="separate"/>
      </w:r>
      <w:r w:rsidR="00F21D3F">
        <w:t>74</w:t>
      </w:r>
      <w:r>
        <w:fldChar w:fldCharType="end"/>
      </w:r>
      <w:r>
        <w:t xml:space="preserve"> по-горе). Оттук следва, че органът, който контролира използването на „специални </w:t>
      </w:r>
      <w:r w:rsidR="00B404E4" w:rsidRPr="00B404E4">
        <w:rPr>
          <w:lang w:val="bg-BG"/>
        </w:rPr>
        <w:t xml:space="preserve">разузнавателни </w:t>
      </w:r>
      <w:r w:rsidR="00B404E4" w:rsidRPr="00B404E4">
        <w:t>средства</w:t>
      </w:r>
      <w:r>
        <w:t xml:space="preserve">“ в </w:t>
      </w:r>
      <w:r w:rsidRPr="00C462F6">
        <w:t xml:space="preserve">България – </w:t>
      </w:r>
      <w:r w:rsidRPr="00B24170">
        <w:t xml:space="preserve">Националното бюро за </w:t>
      </w:r>
      <w:r w:rsidR="00EB1360">
        <w:rPr>
          <w:lang w:val="bg-BG"/>
        </w:rPr>
        <w:t>контрол</w:t>
      </w:r>
      <w:r>
        <w:t xml:space="preserve"> </w:t>
      </w:r>
      <w:r w:rsidRPr="00B24170">
        <w:t xml:space="preserve">на специалните </w:t>
      </w:r>
      <w:r w:rsidR="00B404E4" w:rsidRPr="00B404E4">
        <w:rPr>
          <w:lang w:val="bg-BG"/>
        </w:rPr>
        <w:t xml:space="preserve">разузнавателни </w:t>
      </w:r>
      <w:r w:rsidR="00B404E4" w:rsidRPr="00B404E4">
        <w:t>средства</w:t>
      </w:r>
      <w:r w:rsidR="00B404E4">
        <w:rPr>
          <w:lang w:val="bg-BG"/>
        </w:rPr>
        <w:t xml:space="preserve"> </w:t>
      </w:r>
      <w:r w:rsidRPr="00C462F6">
        <w:t xml:space="preserve">– </w:t>
      </w:r>
      <w:r>
        <w:t xml:space="preserve">няма задължение да контролира използването на такива </w:t>
      </w:r>
      <w:r w:rsidR="00636119">
        <w:t>служители</w:t>
      </w:r>
      <w:r>
        <w:t xml:space="preserve"> или да информира засегнатите лица, че такива </w:t>
      </w:r>
      <w:r w:rsidR="00636119">
        <w:t>служители</w:t>
      </w:r>
      <w:r>
        <w:t xml:space="preserve"> са били използвани по отношение на тях (вж. </w:t>
      </w:r>
      <w:r w:rsidR="002812A4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EB1360">
        <w:rPr>
          <w:rFonts w:cstheme="minorHAnsi"/>
          <w:lang w:val="bg-BG"/>
        </w:rPr>
        <w:t>§§</w:t>
      </w:r>
      <w:r>
        <w:t xml:space="preserve"> 130-35). От това следва също, че специалната правна защита, въведена през 2009 г. по отношение на „специалните </w:t>
      </w:r>
      <w:r w:rsidR="00B007F0">
        <w:rPr>
          <w:lang w:val="bg-BG"/>
        </w:rPr>
        <w:t xml:space="preserve">разузнавателни </w:t>
      </w:r>
      <w:r>
        <w:t xml:space="preserve">средства “ – иск за обезщетение за вреди във връзка с тяхното незаконно използване (ibid., </w:t>
      </w:r>
      <w:r w:rsidR="00B007F0">
        <w:rPr>
          <w:rFonts w:cstheme="minorHAnsi"/>
          <w:lang w:val="bg-BG"/>
        </w:rPr>
        <w:t>§§</w:t>
      </w:r>
      <w:r>
        <w:t>136-44 и 265-72) – не се прилага за „</w:t>
      </w:r>
      <w:r w:rsidR="00636119">
        <w:t>служители</w:t>
      </w:r>
      <w:r>
        <w:t xml:space="preserve"> </w:t>
      </w:r>
      <w:r w:rsidR="00B007F0">
        <w:rPr>
          <w:lang w:val="bg-BG"/>
        </w:rPr>
        <w:t>на</w:t>
      </w:r>
      <w:r>
        <w:t xml:space="preserve"> прикритие“. Във всеки случай това средство за правна защита не е достъпно за юридически лица като </w:t>
      </w:r>
      <w:r w:rsidR="00775B16">
        <w:rPr>
          <w:lang w:val="bg-BG"/>
        </w:rPr>
        <w:t>сдружението</w:t>
      </w:r>
      <w:r w:rsidR="00775B16">
        <w:t>-</w:t>
      </w:r>
      <w:r w:rsidR="00775B16">
        <w:rPr>
          <w:lang w:val="bg-BG"/>
        </w:rPr>
        <w:t>жалбоподател</w:t>
      </w:r>
      <w:r>
        <w:t xml:space="preserve"> (ibid., </w:t>
      </w:r>
      <w:r w:rsidR="00775B16">
        <w:rPr>
          <w:rFonts w:cstheme="minorHAnsi"/>
          <w:lang w:val="bg-BG"/>
        </w:rPr>
        <w:t>§</w:t>
      </w:r>
      <w:r>
        <w:t xml:space="preserve"> 273). Всъщност правителството не се опит</w:t>
      </w:r>
      <w:r w:rsidR="00775B16">
        <w:rPr>
          <w:lang w:val="bg-BG"/>
        </w:rPr>
        <w:t>в</w:t>
      </w:r>
      <w:r w:rsidR="00775B16">
        <w:t>а да твърди, че тези правни средства</w:t>
      </w:r>
      <w:r>
        <w:t xml:space="preserve"> биха могли да осигурят някаква правна защита по отношение на използването на „</w:t>
      </w:r>
      <w:r w:rsidR="00636119">
        <w:t>служители</w:t>
      </w:r>
      <w:r>
        <w:t xml:space="preserve"> </w:t>
      </w:r>
      <w:r w:rsidR="00775B16">
        <w:rPr>
          <w:lang w:val="bg-BG"/>
        </w:rPr>
        <w:t>на</w:t>
      </w:r>
      <w:r>
        <w:t xml:space="preserve"> прикритие“.</w:t>
      </w:r>
    </w:p>
    <w:bookmarkStart w:id="296" w:name="L_C_A_8_m_int_C_victim_rem_3"/>
    <w:p w14:paraId="59B3779C" w14:textId="088E4E7E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125</w:t>
      </w:r>
      <w:r>
        <w:fldChar w:fldCharType="end"/>
      </w:r>
      <w:bookmarkEnd w:id="296"/>
      <w:r w:rsidR="002812A4">
        <w:t xml:space="preserve">. </w:t>
      </w:r>
      <w:r>
        <w:t>Правителството посоч</w:t>
      </w:r>
      <w:r w:rsidR="009111C2">
        <w:rPr>
          <w:lang w:val="bg-BG"/>
        </w:rPr>
        <w:t>ва</w:t>
      </w:r>
      <w:r>
        <w:t xml:space="preserve">, че членовете на </w:t>
      </w:r>
      <w:r w:rsidR="009111C2">
        <w:rPr>
          <w:lang w:val="bg-BG"/>
        </w:rPr>
        <w:t>сдружението</w:t>
      </w:r>
      <w:r>
        <w:t xml:space="preserve">-заявител са могли да поискат достъп до своите лични данни, обработвани в </w:t>
      </w:r>
      <w:r w:rsidR="009111C2">
        <w:rPr>
          <w:lang w:val="bg-BG"/>
        </w:rPr>
        <w:t>информационните фондове</w:t>
      </w:r>
      <w:r>
        <w:t xml:space="preserve"> </w:t>
      </w:r>
      <w:r w:rsidR="009111C2">
        <w:t>на Агенцията, чрез подаване на искане</w:t>
      </w:r>
      <w:r>
        <w:t xml:space="preserve"> съгласно член 36, </w:t>
      </w:r>
      <w:r w:rsidR="009111C2">
        <w:rPr>
          <w:lang w:val="bg-BG"/>
        </w:rPr>
        <w:t xml:space="preserve">ал. </w:t>
      </w:r>
      <w:r>
        <w:t>4 от Закона от 2007 г.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RLF_SANSA_s_36_4_5_6 \h  \* MERGEFORMAT </w:instrText>
      </w:r>
      <w:r>
        <w:fldChar w:fldCharType="separate"/>
      </w:r>
      <w:r w:rsidR="00F21D3F">
        <w:t>60</w:t>
      </w:r>
      <w:r>
        <w:fldChar w:fldCharType="end"/>
      </w:r>
      <w:r>
        <w:t xml:space="preserve"> по-горе), а след това да оспорят пред административните съдилища съглас</w:t>
      </w:r>
      <w:r w:rsidR="009111C2">
        <w:t>но член 36, ал.</w:t>
      </w:r>
      <w:r>
        <w:t xml:space="preserve"> 9 всеки отказ на Агенцията да предостави достъп до такива данни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L_C_A_8_adm_exh_G \h  \* MERGEFORMAT </w:instrText>
      </w:r>
      <w:r>
        <w:fldChar w:fldCharType="separate"/>
      </w:r>
      <w:r w:rsidR="00F21D3F">
        <w:t>105</w:t>
      </w:r>
      <w:r>
        <w:fldChar w:fldCharType="end"/>
      </w:r>
      <w:r>
        <w:t xml:space="preserve"> по-горе) – и по този начин да получат информация за евентуални „</w:t>
      </w:r>
      <w:r w:rsidR="00636119">
        <w:t>служители</w:t>
      </w:r>
      <w:r w:rsidR="005422F1">
        <w:rPr>
          <w:lang w:val="bg-BG"/>
        </w:rPr>
        <w:t xml:space="preserve"> на прикритие</w:t>
      </w:r>
      <w:r>
        <w:t xml:space="preserve">“, използвани по отношение на </w:t>
      </w:r>
      <w:r w:rsidR="005422F1">
        <w:rPr>
          <w:lang w:val="bg-BG"/>
        </w:rPr>
        <w:t>сдружението</w:t>
      </w:r>
      <w:r>
        <w:t>.</w:t>
      </w:r>
    </w:p>
    <w:bookmarkStart w:id="297" w:name="L_C_A_8_m_int_C_victim_rem_4"/>
    <w:p w14:paraId="55008C23" w14:textId="42DBBFC2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126</w:t>
      </w:r>
      <w:r>
        <w:fldChar w:fldCharType="end"/>
      </w:r>
      <w:bookmarkEnd w:id="297"/>
      <w:r w:rsidR="002812A4">
        <w:t xml:space="preserve">. </w:t>
      </w:r>
      <w:r>
        <w:t>Освен факта, че този път не е бил отворен за сам</w:t>
      </w:r>
      <w:r w:rsidR="00A35A17">
        <w:rPr>
          <w:lang w:val="bg-BG"/>
        </w:rPr>
        <w:t xml:space="preserve">ото сдружение </w:t>
      </w:r>
      <w:r>
        <w:t xml:space="preserve">(тъй като </w:t>
      </w:r>
      <w:r w:rsidR="00A35A17">
        <w:rPr>
          <w:lang w:val="bg-BG"/>
        </w:rPr>
        <w:t>то</w:t>
      </w:r>
      <w:r>
        <w:t xml:space="preserve"> е юридическо лице), не изглежда, че този начин на действие е бил на практика способен да предостави информация за използването на „</w:t>
      </w:r>
      <w:r w:rsidR="00636119">
        <w:t>служители</w:t>
      </w:r>
      <w:r>
        <w:t xml:space="preserve"> </w:t>
      </w:r>
      <w:r w:rsidR="001628DB">
        <w:rPr>
          <w:lang w:val="bg-BG"/>
        </w:rPr>
        <w:t>на</w:t>
      </w:r>
      <w:r>
        <w:t xml:space="preserve"> прикритие“ от Агенцията. Съгласно член 36, </w:t>
      </w:r>
      <w:r w:rsidR="00A35A17">
        <w:rPr>
          <w:lang w:val="bg-BG"/>
        </w:rPr>
        <w:t xml:space="preserve">ал. </w:t>
      </w:r>
      <w:r>
        <w:t xml:space="preserve">7 от Закона от 2007 г. </w:t>
      </w:r>
      <w:r w:rsidRPr="00347B2F">
        <w:t xml:space="preserve">Агенцията може да откаже, изцяло или частично, да разкрие данни, </w:t>
      </w:r>
      <w:r>
        <w:t xml:space="preserve">поискани съгласно член 36, </w:t>
      </w:r>
      <w:r w:rsidR="008D4B83">
        <w:rPr>
          <w:lang w:val="bg-BG"/>
        </w:rPr>
        <w:t xml:space="preserve">ал. </w:t>
      </w:r>
      <w:r>
        <w:t xml:space="preserve">4, </w:t>
      </w:r>
      <w:r w:rsidRPr="00347B2F">
        <w:t xml:space="preserve">ако това би застрашило националната сигурност, </w:t>
      </w:r>
      <w:r w:rsidR="00073868">
        <w:rPr>
          <w:lang w:val="bg-BG"/>
        </w:rPr>
        <w:t xml:space="preserve">опазването </w:t>
      </w:r>
      <w:r w:rsidRPr="00347B2F">
        <w:t xml:space="preserve">на информация, класифицирана </w:t>
      </w:r>
      <w:r>
        <w:t>като</w:t>
      </w:r>
      <w:r w:rsidRPr="00347B2F">
        <w:t xml:space="preserve"> </w:t>
      </w:r>
      <w:r>
        <w:t>„</w:t>
      </w:r>
      <w:r w:rsidRPr="00347B2F">
        <w:t xml:space="preserve">държавна </w:t>
      </w:r>
      <w:r>
        <w:t xml:space="preserve">тайна“ </w:t>
      </w:r>
      <w:r w:rsidRPr="00347B2F">
        <w:t xml:space="preserve">или „служебна </w:t>
      </w:r>
      <w:r>
        <w:t>тайна“</w:t>
      </w:r>
      <w:r w:rsidRPr="00347B2F">
        <w:t xml:space="preserve">, или </w:t>
      </w:r>
      <w:r w:rsidR="00073868">
        <w:rPr>
          <w:lang w:val="bg-BG"/>
        </w:rPr>
        <w:t>разкриването</w:t>
      </w:r>
      <w:r w:rsidRPr="00347B2F">
        <w:t xml:space="preserve"> на източниците ѝ на информация или </w:t>
      </w:r>
      <w:r>
        <w:t xml:space="preserve">на </w:t>
      </w:r>
      <w:r w:rsidR="00073868">
        <w:rPr>
          <w:lang w:val="bg-BG"/>
        </w:rPr>
        <w:t>негласните</w:t>
      </w:r>
      <w:r w:rsidRPr="00347B2F">
        <w:t xml:space="preserve"> методи и </w:t>
      </w:r>
      <w:r w:rsidR="00073868">
        <w:rPr>
          <w:lang w:val="bg-BG"/>
        </w:rPr>
        <w:t>средства</w:t>
      </w:r>
      <w:r w:rsidRPr="00347B2F">
        <w:t xml:space="preserve">, </w:t>
      </w:r>
      <w:r>
        <w:t xml:space="preserve">които тя използва при </w:t>
      </w:r>
      <w:r w:rsidRPr="00347B2F">
        <w:t xml:space="preserve">събирането на тази информация, или ако </w:t>
      </w:r>
      <w:r>
        <w:t xml:space="preserve">такова </w:t>
      </w:r>
      <w:r w:rsidRPr="00347B2F">
        <w:lastRenderedPageBreak/>
        <w:t xml:space="preserve">разкриване по друг начин би </w:t>
      </w:r>
      <w:r w:rsidR="00073868">
        <w:rPr>
          <w:lang w:val="bg-BG"/>
        </w:rPr>
        <w:t>накърнило</w:t>
      </w:r>
      <w:r w:rsidRPr="00347B2F">
        <w:t xml:space="preserve"> изпълнението на законо</w:t>
      </w:r>
      <w:r w:rsidR="00595533">
        <w:rPr>
          <w:lang w:val="bg-BG"/>
        </w:rPr>
        <w:t>во определените</w:t>
      </w:r>
      <w:r w:rsidRPr="00347B2F">
        <w:t xml:space="preserve"> задачи на Агенцията </w:t>
      </w:r>
      <w:r>
        <w:t>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RLF_SANSA_s_36_7 \h  \* MERGEFORMAT </w:instrText>
      </w:r>
      <w:r>
        <w:fldChar w:fldCharType="separate"/>
      </w:r>
      <w:r w:rsidR="00F21D3F">
        <w:rPr>
          <w:lang w:val="bg-BG"/>
        </w:rPr>
        <w:t>63</w:t>
      </w:r>
      <w:r>
        <w:fldChar w:fldCharType="end"/>
      </w:r>
      <w:r>
        <w:t xml:space="preserve"> по-</w:t>
      </w:r>
      <w:r w:rsidR="00D32746">
        <w:t>горе). Освен това, съгласно чл</w:t>
      </w:r>
      <w:r w:rsidR="00D32746">
        <w:rPr>
          <w:lang w:val="bg-BG"/>
        </w:rPr>
        <w:t>.</w:t>
      </w:r>
      <w:r>
        <w:t xml:space="preserve"> 35а от Закона от 2007 г., Агенцията може да откаже да разкрие информация за „</w:t>
      </w:r>
      <w:r w:rsidR="00636119">
        <w:t>служители</w:t>
      </w:r>
      <w:r>
        <w:t xml:space="preserve"> </w:t>
      </w:r>
      <w:r w:rsidR="00595533">
        <w:rPr>
          <w:lang w:val="bg-BG"/>
        </w:rPr>
        <w:t xml:space="preserve">на </w:t>
      </w:r>
      <w:r>
        <w:t xml:space="preserve">прикритие“, за да защити </w:t>
      </w:r>
      <w:r w:rsidR="009803D7">
        <w:rPr>
          <w:lang w:val="bg-BG"/>
        </w:rPr>
        <w:t>способите и средствата</w:t>
      </w:r>
      <w:r>
        <w:t>, които използва за събиране на разузнавателна информация (вж. параграф</w:t>
      </w:r>
      <w:r>
        <w:fldChar w:fldCharType="begin"/>
      </w:r>
      <w:r>
        <w:instrText xml:space="preserve"> REF  RLF_SANSA_agents_in_cover \h  \* MERGEFORMAT </w:instrText>
      </w:r>
      <w:r>
        <w:fldChar w:fldCharType="separate"/>
      </w:r>
      <w:r w:rsidR="00F21D3F">
        <w:t>4</w:t>
      </w:r>
      <w:r w:rsidR="002812A4">
        <w:rPr>
          <w:lang w:val="bg-BG"/>
        </w:rPr>
        <w:t xml:space="preserve"> </w:t>
      </w:r>
      <w:r w:rsidR="00F21D3F">
        <w:t>8</w:t>
      </w:r>
      <w:r>
        <w:fldChar w:fldCharType="end"/>
      </w:r>
      <w:r>
        <w:t xml:space="preserve"> (</w:t>
      </w:r>
      <w:r>
        <w:fldChar w:fldCharType="begin"/>
      </w:r>
      <w:r>
        <w:instrText xml:space="preserve"> REF RLF_SANSA_agents_in_cover_s_35a \h  \* MERGEFORMAT </w:instrText>
      </w:r>
      <w:r>
        <w:fldChar w:fldCharType="separate"/>
      </w:r>
      <w:r w:rsidR="00F21D3F">
        <w:t>a</w:t>
      </w:r>
      <w:r>
        <w:fldChar w:fldCharType="end"/>
      </w:r>
      <w:r>
        <w:t>) по-горе). Всички примери за</w:t>
      </w:r>
      <w:r w:rsidR="00D32746">
        <w:t xml:space="preserve"> искания, подадени съгласно чл.</w:t>
      </w:r>
      <w:r>
        <w:t xml:space="preserve"> 36, </w:t>
      </w:r>
      <w:r w:rsidR="009803D7">
        <w:rPr>
          <w:lang w:val="bg-BG"/>
        </w:rPr>
        <w:t>ал.</w:t>
      </w:r>
      <w:r>
        <w:t xml:space="preserve"> 4, и последващите съдебн</w:t>
      </w:r>
      <w:r w:rsidR="00D32746">
        <w:t>и обжалвания съгласно чл.</w:t>
      </w:r>
      <w:r w:rsidR="009803D7">
        <w:t xml:space="preserve"> 36, </w:t>
      </w:r>
      <w:r w:rsidR="009803D7">
        <w:rPr>
          <w:lang w:val="bg-BG"/>
        </w:rPr>
        <w:t>ал.</w:t>
      </w:r>
      <w:r>
        <w:t xml:space="preserve"> 9, за които Съдът има информация и които обхващат периода 2012–2024 г., показват, че Агенцията систематично се възползва от възможността да откаже разкриване на информация за всеки аспект на своите операции и че българските административни съдилища последователно потвърждават тези откази (вж.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RLF_SANSA_s_36_7_case_law_NGOs \h  \* MERGEFORMAT </w:instrText>
      </w:r>
      <w:r>
        <w:fldChar w:fldCharType="separate"/>
      </w:r>
      <w:r w:rsidR="00F21D3F">
        <w:rPr>
          <w:lang w:val="bg-BG"/>
        </w:rPr>
        <w:t>66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RLF_SANSA_s_36_7_case_law_inteligence_2 \h  \* MERGEFORMAT </w:instrText>
      </w:r>
      <w:r>
        <w:fldChar w:fldCharType="separate"/>
      </w:r>
      <w:r w:rsidR="00F21D3F">
        <w:t>71</w:t>
      </w:r>
      <w:r>
        <w:fldChar w:fldCharType="end"/>
      </w:r>
      <w:r>
        <w:t xml:space="preserve"> по-горе; сравнете също, </w:t>
      </w:r>
      <w:r w:rsidRPr="004825FF">
        <w:rPr>
          <w:i/>
          <w:iCs/>
        </w:rPr>
        <w:t>mutatis mutandis</w:t>
      </w:r>
      <w:r>
        <w:t xml:space="preserve">, </w:t>
      </w:r>
      <w:r w:rsidR="00212196" w:rsidRPr="00212196">
        <w:rPr>
          <w:i/>
          <w:iCs/>
        </w:rPr>
        <w:t>Pietrzak and Bychawska-Siniarska and Others,</w:t>
      </w:r>
      <w:r>
        <w:t xml:space="preserve">, цитирани по-горе, </w:t>
      </w:r>
      <w:r w:rsidR="002812A4">
        <w:rPr>
          <w:rFonts w:cstheme="minorHAnsi"/>
          <w:lang w:val="bg-BG"/>
        </w:rPr>
        <w:t>чл.</w:t>
      </w:r>
      <w:r>
        <w:t xml:space="preserve"> 241). Правителството не е посочило никакви противоположни примери.</w:t>
      </w:r>
    </w:p>
    <w:bookmarkStart w:id="298" w:name="L_C_A_8_m_int_C_victim_rem_5"/>
    <w:p w14:paraId="110D0D35" w14:textId="680D236C" w:rsidR="00304BC9" w:rsidRPr="009D5A94" w:rsidRDefault="000F3485" w:rsidP="00304BC9">
      <w:pPr>
        <w:pStyle w:val="JuPara"/>
        <w:rPr>
          <w:lang w:val="en-US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127</w:t>
      </w:r>
      <w:r>
        <w:fldChar w:fldCharType="end"/>
      </w:r>
      <w:bookmarkEnd w:id="298"/>
      <w:r w:rsidR="002812A4">
        <w:t xml:space="preserve">. </w:t>
      </w:r>
      <w:r>
        <w:t xml:space="preserve">От това следва, че </w:t>
      </w:r>
      <w:r w:rsidRPr="00D734B3">
        <w:t xml:space="preserve">правната защита </w:t>
      </w:r>
      <w:r>
        <w:t xml:space="preserve">по </w:t>
      </w:r>
      <w:r w:rsidR="00631C8D">
        <w:t>чл.</w:t>
      </w:r>
      <w:r>
        <w:t xml:space="preserve"> 36, </w:t>
      </w:r>
      <w:r w:rsidR="00212196">
        <w:rPr>
          <w:lang w:val="bg-BG"/>
        </w:rPr>
        <w:t>ал.</w:t>
      </w:r>
      <w:r>
        <w:t xml:space="preserve"> 4 и 9 от </w:t>
      </w:r>
      <w:r w:rsidRPr="00D734B3">
        <w:t>Закона от</w:t>
      </w:r>
      <w:r>
        <w:t xml:space="preserve"> 2007 </w:t>
      </w:r>
      <w:r w:rsidRPr="00D734B3">
        <w:t xml:space="preserve">г. не може в достатъчна степен да разсее опасенията на обществеността относно заплахата, </w:t>
      </w:r>
      <w:r>
        <w:t>която представлява злоупотребата с</w:t>
      </w:r>
      <w:r w:rsidR="00631C8D">
        <w:rPr>
          <w:lang w:val="bg-BG"/>
        </w:rPr>
        <w:t>ъс</w:t>
      </w:r>
      <w:r>
        <w:t xml:space="preserve"> „</w:t>
      </w:r>
      <w:r w:rsidR="00BD3FB2">
        <w:rPr>
          <w:lang w:val="bg-BG"/>
        </w:rPr>
        <w:t>служители на прикритие</w:t>
      </w:r>
      <w:r>
        <w:t>“ от страна на Агенцията. От това следва също, че възражението на правителството за неизчерпване на вътрешните средства за защита, основано на тези разпоредби (което беше обединено с разглеждането по същество – 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L_C_A_8_adm_exh_G \h  \* MERGEFORMAT </w:instrText>
      </w:r>
      <w:r>
        <w:fldChar w:fldCharType="separate"/>
      </w:r>
      <w:r w:rsidR="00F21D3F">
        <w:t>105</w:t>
      </w:r>
      <w:r>
        <w:fldChar w:fldCharType="end"/>
      </w:r>
      <w:r>
        <w:t xml:space="preserve"> 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L_C_A_8_adm_exh_C \h  \* MERGEFORMAT </w:instrText>
      </w:r>
      <w:r>
        <w:fldChar w:fldCharType="separate"/>
      </w:r>
      <w:r w:rsidR="00F21D3F">
        <w:t>107</w:t>
      </w:r>
      <w:r>
        <w:fldChar w:fldCharType="end"/>
      </w:r>
      <w:r>
        <w:t xml:space="preserve"> по-горе), трябва да бъде отхвърлено.</w:t>
      </w:r>
    </w:p>
    <w:bookmarkStart w:id="299" w:name="L_C_A_8_m_int_C_victim_rem_6"/>
    <w:p w14:paraId="3CC072B6" w14:textId="7777777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128</w:t>
      </w:r>
      <w:r>
        <w:fldChar w:fldCharType="end"/>
      </w:r>
      <w:bookmarkEnd w:id="299"/>
      <w:r w:rsidR="002812A4">
        <w:t>. </w:t>
      </w:r>
      <w:r w:rsidRPr="003C2ED2">
        <w:t>Тези опасения не могат да бъдат разсеяни и чрез други възможни средства за правна защита.</w:t>
      </w:r>
    </w:p>
    <w:bookmarkStart w:id="300" w:name="L_C_A_8_m_int_C_victim_rem_7"/>
    <w:p w14:paraId="3DFD7C65" w14:textId="7286DF42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129</w:t>
      </w:r>
      <w:r>
        <w:fldChar w:fldCharType="end"/>
      </w:r>
      <w:bookmarkEnd w:id="300"/>
      <w:r w:rsidR="002812A4">
        <w:t>. </w:t>
      </w:r>
      <w:r w:rsidRPr="003C2ED2">
        <w:t xml:space="preserve">Правителството не твърди </w:t>
      </w:r>
      <w:r>
        <w:t xml:space="preserve">– </w:t>
      </w:r>
      <w:r w:rsidRPr="003C2ED2">
        <w:t xml:space="preserve">и няма никакви признаци </w:t>
      </w:r>
      <w:r>
        <w:t xml:space="preserve">– </w:t>
      </w:r>
      <w:r w:rsidRPr="003C2ED2">
        <w:t>че досега е имало случаи</w:t>
      </w:r>
      <w:r>
        <w:t xml:space="preserve">, в които </w:t>
      </w:r>
      <w:r w:rsidRPr="003C2ED2">
        <w:t xml:space="preserve">някой </w:t>
      </w:r>
      <w:r>
        <w:t xml:space="preserve">е </w:t>
      </w:r>
      <w:r w:rsidRPr="003C2ED2">
        <w:t xml:space="preserve">успял да получи </w:t>
      </w:r>
      <w:r>
        <w:t>информация или да потърси правна защита във връзка с използването на „</w:t>
      </w:r>
      <w:r w:rsidR="00145B17">
        <w:t xml:space="preserve">служител </w:t>
      </w:r>
      <w:r w:rsidR="006559AD">
        <w:rPr>
          <w:lang w:val="bg-BG"/>
        </w:rPr>
        <w:t xml:space="preserve">на </w:t>
      </w:r>
      <w:r w:rsidR="00145B17">
        <w:t>прикритие</w:t>
      </w:r>
      <w:r>
        <w:t xml:space="preserve">“ чрез подаване на жалба до </w:t>
      </w:r>
      <w:r w:rsidRPr="003C2ED2">
        <w:t>Комисията за защита на личните данни</w:t>
      </w:r>
      <w:r>
        <w:t>.</w:t>
      </w:r>
      <w:r w:rsidRPr="009C41EF">
        <w:t xml:space="preserve"> </w:t>
      </w:r>
      <w:r>
        <w:t>Вярно е, че член 37 от Закона от 2007 г. оправомощава Комисията да упражнява надзор върху обработването на лични данни от Агенцията по реда, предвиден в Закона от 2002 г.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RLF_SANSA_s_37 \h  \* MERGEFORMAT </w:instrText>
      </w:r>
      <w:r>
        <w:fldChar w:fldCharType="separate"/>
      </w:r>
      <w:r w:rsidR="00F21D3F">
        <w:t>72</w:t>
      </w:r>
      <w:r>
        <w:fldChar w:fldCharType="end"/>
      </w:r>
      <w:r w:rsidR="006559AD">
        <w:t xml:space="preserve"> по-горе). В същото време чл. </w:t>
      </w:r>
      <w:r>
        <w:t xml:space="preserve">1, </w:t>
      </w:r>
      <w:r w:rsidR="009D5A94">
        <w:rPr>
          <w:lang w:val="bg-BG"/>
        </w:rPr>
        <w:t>ал.</w:t>
      </w:r>
      <w:r>
        <w:t xml:space="preserve"> 5 от самия Закон от 2002 г. (в редакцията му от март 2019 г.) постановява, че Законът от 2002 г. не </w:t>
      </w:r>
      <w:r w:rsidRPr="00186680">
        <w:t xml:space="preserve">се прилага към обработката на </w:t>
      </w:r>
      <w:r>
        <w:t xml:space="preserve">лични </w:t>
      </w:r>
      <w:r w:rsidRPr="00186680">
        <w:t>данни за целите на националната сигурност</w:t>
      </w:r>
      <w:r>
        <w:t>,</w:t>
      </w:r>
      <w:r w:rsidRPr="00186680">
        <w:t xml:space="preserve"> освен ако </w:t>
      </w:r>
      <w:r>
        <w:t xml:space="preserve">такава обработка не е </w:t>
      </w:r>
      <w:r w:rsidRPr="00186680">
        <w:t xml:space="preserve">изрично </w:t>
      </w:r>
      <w:r>
        <w:t xml:space="preserve">предвидена </w:t>
      </w:r>
      <w:r w:rsidRPr="00186680">
        <w:t>другаде</w:t>
      </w:r>
      <w:r>
        <w:t xml:space="preserve"> – като изложената обосновка е, че подробният режим за защита на данните, въведен от правото на ЕС, особено след приемането на </w:t>
      </w:r>
      <w:r w:rsidR="00A215D2">
        <w:rPr>
          <w:lang w:val="bg-BG"/>
        </w:rPr>
        <w:t xml:space="preserve"> </w:t>
      </w:r>
      <w:r w:rsidR="00A215D2">
        <w:rPr>
          <w:lang w:val="en-US"/>
        </w:rPr>
        <w:t>GDPR</w:t>
      </w:r>
      <w:r>
        <w:t xml:space="preserve"> и Директивата за </w:t>
      </w:r>
      <w:r w:rsidR="00A215D2">
        <w:rPr>
          <w:lang w:val="bg-BG"/>
        </w:rPr>
        <w:t>правоприлагането</w:t>
      </w:r>
      <w:r>
        <w:t>, и отразен в Закона от 2002 г. – не обхваща обработката на лични данни за дейности, свързани със защитата на националната сигурност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RLF_PPDA_scope_ratione_materiae_history \h  \* MERGEFORMAT </w:instrText>
      </w:r>
      <w:r>
        <w:fldChar w:fldCharType="separate"/>
      </w:r>
      <w:r w:rsidR="00F21D3F">
        <w:t>82</w:t>
      </w:r>
      <w:r>
        <w:fldChar w:fldCharType="end"/>
      </w:r>
      <w:r>
        <w:t xml:space="preserve"> по-горе).</w:t>
      </w:r>
      <w:bookmarkStart w:id="301" w:name="_Hlk176442308"/>
      <w:r>
        <w:t xml:space="preserve"> Следователно не е ясно дали </w:t>
      </w:r>
      <w:r w:rsidR="00A215D2">
        <w:rPr>
          <w:lang w:val="bg-BG"/>
        </w:rPr>
        <w:t>чл.</w:t>
      </w:r>
      <w:r>
        <w:t xml:space="preserve"> 37 от Закона от 2007 г. може да се тълкува в смисъл, че ограниченията на Закона от 2002 г. се прилагат към обработката на такива данни от Агенцията за оперативни цели (или само </w:t>
      </w:r>
      <w:r>
        <w:lastRenderedPageBreak/>
        <w:t>за други цели – като например управление на персонала и обществени поръчки), и че Комисията може да упражнява правомощията си за разследване и налагане на коригиращи мерки, с които разполага съгласно Закона от 2002 г.</w:t>
      </w:r>
      <w:bookmarkEnd w:id="301"/>
      <w:r>
        <w:t xml:space="preserve"> по отношение на данни, получени от Агенцията в хода на нейните разузнавателни операции.</w:t>
      </w:r>
    </w:p>
    <w:bookmarkStart w:id="302" w:name="L_C_A_8_m_int_C_victim_rem_8"/>
    <w:p w14:paraId="409A0516" w14:textId="6B65697B" w:rsidR="00304BC9" w:rsidRPr="002E2A2A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130</w:t>
      </w:r>
      <w:r>
        <w:fldChar w:fldCharType="end"/>
      </w:r>
      <w:bookmarkEnd w:id="302"/>
      <w:r w:rsidR="002812A4">
        <w:t>.</w:t>
      </w:r>
      <w:r>
        <w:t xml:space="preserve"> Няма и никакви индикации, че – с изключение може би на одит на Агенцията от 2009 г. във връзка с подготовката за бъдещото въвеждане на Шенгенската информационна система – Комисията някога е проверявала как Агенцията обработва оперативни данни – и по-специално дали тя надлежно спазва законовите разпоредби и регламентите, които уреждат този въпрос (вж. параграф</w:t>
      </w:r>
      <w:r w:rsidR="002812A4">
        <w:rPr>
          <w:lang w:val="bg-BG"/>
        </w:rPr>
        <w:t xml:space="preserve"> </w:t>
      </w:r>
      <w:r>
        <w:t>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RLF_SANSA_s_34_1_2_9_36_2 \h  \* MERGEFORMAT </w:instrText>
      </w:r>
      <w:r>
        <w:fldChar w:fldCharType="separate"/>
      </w:r>
      <w:r w:rsidR="00F21D3F">
        <w:t>52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RLF_SANSA_personal_data_regs_1 \h  \* MERGEFORMAT </w:instrText>
      </w:r>
      <w:r>
        <w:fldChar w:fldCharType="separate"/>
      </w:r>
      <w:r w:rsidR="00F21D3F">
        <w:t>54</w:t>
      </w:r>
      <w:r>
        <w:fldChar w:fldCharType="end"/>
      </w:r>
      <w:r>
        <w:t xml:space="preserve"> и</w:t>
      </w:r>
      <w:r w:rsidR="002812A4">
        <w:rPr>
          <w:lang w:val="bg-BG"/>
        </w:rPr>
        <w:t xml:space="preserve"> </w:t>
      </w:r>
      <w:r w:rsidRPr="005822CF">
        <w:fldChar w:fldCharType="begin"/>
      </w:r>
      <w:r w:rsidRPr="005822CF">
        <w:instrText xml:space="preserve"> REF  RLF_PPDA_CPPD_sexies_annual_reports \h  \* MERGEFORMAT </w:instrText>
      </w:r>
      <w:r w:rsidRPr="005822CF">
        <w:fldChar w:fldCharType="separate"/>
      </w:r>
      <w:r w:rsidR="00F21D3F">
        <w:t>96</w:t>
      </w:r>
      <w:r w:rsidRPr="005822CF">
        <w:fldChar w:fldCharType="end"/>
      </w:r>
      <w:r>
        <w:t xml:space="preserve"> по-горе; сравни също </w:t>
      </w:r>
      <w:r w:rsidR="002812A4">
        <w:rPr>
          <w:i/>
          <w:iCs/>
          <w:lang w:val="bg-BG"/>
        </w:rPr>
        <w:t>Екимджиев</w:t>
      </w:r>
      <w:r w:rsidRPr="00F65782">
        <w:rPr>
          <w:i/>
          <w:iCs/>
        </w:rPr>
        <w:t xml:space="preserve"> и други</w:t>
      </w:r>
      <w:r w:rsidRPr="00EE1000">
        <w:t xml:space="preserve">, цитирано по-горе, </w:t>
      </w:r>
      <w:r w:rsidR="002812A4">
        <w:rPr>
          <w:rFonts w:cstheme="minorHAnsi"/>
          <w:lang w:val="bg-BG"/>
        </w:rPr>
        <w:t>членове</w:t>
      </w:r>
      <w:r>
        <w:t xml:space="preserve"> 346 и 412; съпостави също, </w:t>
      </w:r>
      <w:r w:rsidRPr="00E07E41">
        <w:rPr>
          <w:i/>
          <w:iCs/>
        </w:rPr>
        <w:t>mutatis mutandis</w:t>
      </w:r>
      <w:r>
        <w:t xml:space="preserve">, </w:t>
      </w:r>
      <w:r w:rsidR="007849E9" w:rsidRPr="007849E9">
        <w:rPr>
          <w:i/>
          <w:iCs/>
        </w:rPr>
        <w:t>Centrum för rättvisa</w:t>
      </w:r>
      <w:r w:rsidRPr="0073429B">
        <w:t xml:space="preserve">, </w:t>
      </w:r>
      <w:r>
        <w:t xml:space="preserve">цитирано по-горе, </w:t>
      </w:r>
      <w:r w:rsidR="002812A4">
        <w:rPr>
          <w:rFonts w:cstheme="minorHAnsi"/>
          <w:lang w:val="bg-BG"/>
        </w:rPr>
        <w:t>чл.</w:t>
      </w:r>
      <w:r>
        <w:t xml:space="preserve"> 351, и </w:t>
      </w:r>
      <w:r w:rsidRPr="00A646F3">
        <w:rPr>
          <w:i/>
          <w:iCs/>
        </w:rPr>
        <w:t>Big Brother Watch и други с</w:t>
      </w:r>
      <w:r w:rsidR="002812A4">
        <w:rPr>
          <w:i/>
          <w:iCs/>
          <w:lang w:val="bg-BG"/>
        </w:rPr>
        <w:t>/</w:t>
      </w:r>
      <w:r w:rsidRPr="00A646F3">
        <w:rPr>
          <w:i/>
          <w:iCs/>
        </w:rPr>
        <w:t xml:space="preserve">у Обединеното кралство </w:t>
      </w:r>
      <w:r>
        <w:t>([</w:t>
      </w:r>
      <w:r w:rsidR="002812A4">
        <w:rPr>
          <w:lang w:val="bg-BG"/>
        </w:rPr>
        <w:t>ГК</w:t>
      </w:r>
      <w:r>
        <w:t xml:space="preserve">], № 58170/13 и 2 други, </w:t>
      </w:r>
      <w:r w:rsidR="002812A4">
        <w:rPr>
          <w:rFonts w:cstheme="minorHAnsi"/>
          <w:lang w:val="bg-BG"/>
        </w:rPr>
        <w:t>членове</w:t>
      </w:r>
      <w:r>
        <w:t xml:space="preserve"> 409-10, 25 май 2021 г.). Напротив, (очевидно) единственият случай, в който Комисията </w:t>
      </w:r>
      <w:r w:rsidR="007849E9">
        <w:rPr>
          <w:lang w:val="bg-BG"/>
        </w:rPr>
        <w:t>е сезирана</w:t>
      </w:r>
      <w:r>
        <w:t xml:space="preserve"> да разгледа въпроса, показва, че тя е била на мнение, че данните, получени в резултат на наблюдението, извършвано от Агенцията, не представляват лични данни, и че подобни операции на Агенцията не са предмет на нейния надзор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RLF_PPDA_scope_ratione_materiae_history2 \h  \* MERGEFORMAT </w:instrText>
      </w:r>
      <w:r>
        <w:fldChar w:fldCharType="separate"/>
      </w:r>
      <w:r w:rsidR="00F21D3F">
        <w:t>84</w:t>
      </w:r>
      <w:r>
        <w:fldChar w:fldCharType="end"/>
      </w:r>
      <w:r>
        <w:t xml:space="preserve"> по-горе).</w:t>
      </w:r>
    </w:p>
    <w:bookmarkStart w:id="303" w:name="L_C_A_8_m_int_C_victim_rem_9"/>
    <w:p w14:paraId="6FC1E106" w14:textId="21BFE822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131</w:t>
      </w:r>
      <w:r>
        <w:fldChar w:fldCharType="end"/>
      </w:r>
      <w:bookmarkEnd w:id="303"/>
      <w:r w:rsidR="002812A4">
        <w:t xml:space="preserve">. </w:t>
      </w:r>
      <w:r>
        <w:t xml:space="preserve">Следователно възможността за подаване на жалба до тази </w:t>
      </w:r>
      <w:r w:rsidR="008529EC">
        <w:rPr>
          <w:lang w:val="bg-BG"/>
        </w:rPr>
        <w:t>К</w:t>
      </w:r>
      <w:r w:rsidRPr="003C2ED2">
        <w:t xml:space="preserve">омисия </w:t>
      </w:r>
      <w:r>
        <w:t>не може да се разглежда като ефективно средство за защита по отношение на използването на „</w:t>
      </w:r>
      <w:r w:rsidR="00145B17">
        <w:t xml:space="preserve">служител </w:t>
      </w:r>
      <w:r w:rsidR="008529EC">
        <w:rPr>
          <w:lang w:val="bg-BG"/>
        </w:rPr>
        <w:t>на</w:t>
      </w:r>
      <w:r w:rsidR="00145B17">
        <w:t xml:space="preserve"> прикритие</w:t>
      </w:r>
      <w:r>
        <w:t xml:space="preserve">“ (сравни, </w:t>
      </w:r>
      <w:r w:rsidRPr="004E6B73">
        <w:rPr>
          <w:i/>
          <w:iCs/>
        </w:rPr>
        <w:t>mutatis mutandis</w:t>
      </w:r>
      <w:r>
        <w:t xml:space="preserve">, </w:t>
      </w:r>
      <w:r w:rsidR="002812A4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</w:t>
      </w:r>
      <w:r>
        <w:t xml:space="preserve">., цитирано по-горе, </w:t>
      </w:r>
      <w:r w:rsidR="008529EC">
        <w:rPr>
          <w:rFonts w:cstheme="minorHAnsi"/>
          <w:lang w:val="bg-BG"/>
        </w:rPr>
        <w:t>§</w:t>
      </w:r>
      <w:r>
        <w:rPr>
          <w:rFonts w:cstheme="minorHAnsi"/>
        </w:rPr>
        <w:t xml:space="preserve"> 346, и </w:t>
      </w:r>
      <w:r w:rsidR="008529EC" w:rsidRPr="008529EC">
        <w:rPr>
          <w:i/>
          <w:iCs/>
        </w:rPr>
        <w:t>Hüttl</w:t>
      </w:r>
      <w:r w:rsidRPr="00B4073A">
        <w:rPr>
          <w:i/>
          <w:iCs/>
        </w:rPr>
        <w:t xml:space="preserve"> с</w:t>
      </w:r>
      <w:r w:rsidR="002812A4">
        <w:rPr>
          <w:i/>
          <w:iCs/>
          <w:lang w:val="bg-BG"/>
        </w:rPr>
        <w:t>/</w:t>
      </w:r>
      <w:r w:rsidRPr="00B4073A">
        <w:rPr>
          <w:i/>
          <w:iCs/>
        </w:rPr>
        <w:t xml:space="preserve">у Унгария </w:t>
      </w:r>
      <w:r>
        <w:t xml:space="preserve">[Комитет], № </w:t>
      </w:r>
      <w:r w:rsidRPr="00CD5BC6">
        <w:t>58032/16</w:t>
      </w:r>
      <w:r>
        <w:t xml:space="preserve">, </w:t>
      </w:r>
      <w:r w:rsidR="00810F57">
        <w:rPr>
          <w:rFonts w:cstheme="minorHAnsi"/>
          <w:lang w:val="bg-BG"/>
        </w:rPr>
        <w:t xml:space="preserve">§§ </w:t>
      </w:r>
      <w:r>
        <w:t>15-18, 29 септември 2022 г.; виж също</w:t>
      </w:r>
      <w:bookmarkStart w:id="304" w:name="_cl22616THELAW"/>
      <w:r w:rsidRPr="00F16339">
        <w:rPr>
          <w:i/>
          <w:iCs/>
        </w:rPr>
        <w:t xml:space="preserve"> </w:t>
      </w:r>
      <w:r w:rsidR="00810F57" w:rsidRPr="00810F57">
        <w:rPr>
          <w:i/>
          <w:iCs/>
        </w:rPr>
        <w:t>Breyer</w:t>
      </w:r>
      <w:r w:rsidRPr="00F16339">
        <w:rPr>
          <w:i/>
          <w:iCs/>
        </w:rPr>
        <w:t xml:space="preserve"> с</w:t>
      </w:r>
      <w:r w:rsidR="002812A4">
        <w:rPr>
          <w:i/>
          <w:iCs/>
          <w:lang w:val="bg-BG"/>
        </w:rPr>
        <w:t>/</w:t>
      </w:r>
      <w:r w:rsidRPr="00F16339">
        <w:rPr>
          <w:i/>
          <w:iCs/>
        </w:rPr>
        <w:t>у Германия</w:t>
      </w:r>
      <w:bookmarkEnd w:id="304"/>
      <w:r w:rsidRPr="00F16339">
        <w:t xml:space="preserve"> , № 50001/12, </w:t>
      </w:r>
      <w:r w:rsidR="00810F57">
        <w:rPr>
          <w:rFonts w:cstheme="minorHAnsi"/>
          <w:lang w:val="bg-BG"/>
        </w:rPr>
        <w:t>§§</w:t>
      </w:r>
      <w:r>
        <w:t xml:space="preserve"> 105 и 107</w:t>
      </w:r>
      <w:r w:rsidRPr="00F16339">
        <w:t>, 30 януари 2020 г.</w:t>
      </w:r>
      <w:r>
        <w:t xml:space="preserve">, и </w:t>
      </w:r>
      <w:r w:rsidR="00810F57" w:rsidRPr="00810F57">
        <w:rPr>
          <w:i/>
          <w:iCs/>
        </w:rPr>
        <w:t>Ringler</w:t>
      </w:r>
      <w:r w:rsidRPr="00C118E6">
        <w:rPr>
          <w:i/>
          <w:iCs/>
        </w:rPr>
        <w:t xml:space="preserve"> с</w:t>
      </w:r>
      <w:r w:rsidR="002812A4">
        <w:rPr>
          <w:i/>
          <w:iCs/>
          <w:lang w:val="bg-BG"/>
        </w:rPr>
        <w:t>/</w:t>
      </w:r>
      <w:r w:rsidRPr="00C118E6">
        <w:rPr>
          <w:i/>
          <w:iCs/>
        </w:rPr>
        <w:t xml:space="preserve">у Австрия </w:t>
      </w:r>
      <w:r w:rsidRPr="00C118E6">
        <w:t xml:space="preserve">(реш.) [Комитет], № 2309/10, </w:t>
      </w:r>
      <w:r w:rsidR="00810F57">
        <w:rPr>
          <w:lang w:val="bg-BG"/>
        </w:rPr>
        <w:t xml:space="preserve">§§ </w:t>
      </w:r>
      <w:r>
        <w:t>72-79</w:t>
      </w:r>
      <w:r w:rsidRPr="00C118E6">
        <w:t>, 15 май 2020 г.</w:t>
      </w:r>
      <w:r>
        <w:rPr>
          <w:rFonts w:cstheme="minorHAnsi"/>
        </w:rPr>
        <w:t>)</w:t>
      </w:r>
      <w:r>
        <w:t>.</w:t>
      </w:r>
    </w:p>
    <w:bookmarkStart w:id="305" w:name="L_C_A_8_m_int_C_victim_rem_10"/>
    <w:p w14:paraId="7BE2A0AE" w14:textId="77777777" w:rsidR="00304BC9" w:rsidRDefault="000F3485" w:rsidP="00304BC9">
      <w:pPr>
        <w:pStyle w:val="JuPara"/>
      </w:pPr>
      <w:r w:rsidRPr="009B728A">
        <w:fldChar w:fldCharType="begin"/>
      </w:r>
      <w:r w:rsidRPr="009B728A">
        <w:instrText xml:space="preserve"> SEQ level0 \*arabic \* MERGEFORMAT </w:instrText>
      </w:r>
      <w:r w:rsidRPr="009B728A">
        <w:fldChar w:fldCharType="separate"/>
      </w:r>
      <w:r w:rsidR="00F21D3F">
        <w:rPr>
          <w:noProof/>
        </w:rPr>
        <w:t>132</w:t>
      </w:r>
      <w:r w:rsidRPr="009B728A">
        <w:fldChar w:fldCharType="end"/>
      </w:r>
      <w:bookmarkEnd w:id="305"/>
      <w:r w:rsidR="002812A4">
        <w:t xml:space="preserve">. </w:t>
      </w:r>
      <w:r w:rsidRPr="009B728A">
        <w:t>Същите съображения важат и за другите общи средства за защита на данните съгласно Закона от 2002 г. (вж. параграфи</w:t>
      </w:r>
      <w:r w:rsidR="002812A4">
        <w:rPr>
          <w:lang w:val="bg-BG"/>
        </w:rPr>
        <w:t xml:space="preserve"> </w:t>
      </w:r>
      <w:r w:rsidRPr="009B728A">
        <w:fldChar w:fldCharType="begin"/>
      </w:r>
      <w:r w:rsidRPr="009B728A">
        <w:instrText xml:space="preserve"> REF  RLF_PPDA_remedies_GDPR_1 \h  \* MERGEFORMAT </w:instrText>
      </w:r>
      <w:r w:rsidRPr="009B728A">
        <w:fldChar w:fldCharType="separate"/>
      </w:r>
      <w:r w:rsidR="00F21D3F">
        <w:t>97</w:t>
      </w:r>
      <w:r w:rsidRPr="009B728A">
        <w:fldChar w:fldCharType="end"/>
      </w:r>
      <w:r w:rsidRPr="009B728A">
        <w:t>-</w:t>
      </w:r>
      <w:r w:rsidRPr="009B728A">
        <w:fldChar w:fldCharType="begin"/>
      </w:r>
      <w:r w:rsidRPr="009B728A">
        <w:instrText xml:space="preserve"> REF  RLF_PPDA_remedies_LED \h  \* MERGEFORMAT </w:instrText>
      </w:r>
      <w:r w:rsidRPr="009B728A">
        <w:fldChar w:fldCharType="separate"/>
      </w:r>
      <w:r w:rsidR="00F21D3F">
        <w:t>99</w:t>
      </w:r>
      <w:r w:rsidRPr="009B728A">
        <w:fldChar w:fldCharType="end"/>
      </w:r>
      <w:r w:rsidRPr="009B728A">
        <w:t xml:space="preserve"> по-горе).</w:t>
      </w:r>
    </w:p>
    <w:bookmarkStart w:id="306" w:name="L_C_A_8_m_int_C_victim_rem_11"/>
    <w:p w14:paraId="403B3D01" w14:textId="22381A1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133</w:t>
      </w:r>
      <w:r>
        <w:fldChar w:fldCharType="end"/>
      </w:r>
      <w:bookmarkEnd w:id="306"/>
      <w:r w:rsidR="002812A4">
        <w:t xml:space="preserve">. </w:t>
      </w:r>
      <w:r>
        <w:t xml:space="preserve">Общата възможност за обжалване пред съда на решенията на </w:t>
      </w:r>
      <w:r w:rsidR="005A476C">
        <w:rPr>
          <w:lang w:val="bg-BG"/>
        </w:rPr>
        <w:t>председателя</w:t>
      </w:r>
      <w:r>
        <w:t xml:space="preserve"> на Агенцията – на която правителството се позовава в сво</w:t>
      </w:r>
      <w:r w:rsidR="005A476C">
        <w:rPr>
          <w:lang w:val="bg-BG"/>
        </w:rPr>
        <w:t xml:space="preserve">ето становище </w:t>
      </w:r>
      <w:r>
        <w:t>по същество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L_C_A_8_m_just_G_1 \h  \* MERGEFORMAT </w:instrText>
      </w:r>
      <w:r>
        <w:fldChar w:fldCharType="separate"/>
      </w:r>
      <w:r w:rsidR="00F21D3F">
        <w:t>137</w:t>
      </w:r>
      <w:r>
        <w:fldChar w:fldCharType="end"/>
      </w:r>
      <w:r>
        <w:t xml:space="preserve"> (</w:t>
      </w:r>
      <w:r>
        <w:fldChar w:fldCharType="begin"/>
      </w:r>
      <w:r>
        <w:instrText xml:space="preserve"> REF  L_C_A_8_m_just_G_1_suprvsn_jud_rev \h  \* MERGEFORMAT </w:instrText>
      </w:r>
      <w:r>
        <w:fldChar w:fldCharType="separate"/>
      </w:r>
      <w:r w:rsidR="00F21D3F">
        <w:t xml:space="preserve"> b</w:t>
      </w:r>
      <w:r>
        <w:fldChar w:fldCharType="end"/>
      </w:r>
      <w:r>
        <w:t xml:space="preserve"> ) по-долу) – също не може да се разглежда като ефективно средство за правна защита по отношение на използването на „</w:t>
      </w:r>
      <w:r w:rsidR="00636119">
        <w:t>служители</w:t>
      </w:r>
      <w:r w:rsidR="005A476C">
        <w:rPr>
          <w:lang w:val="bg-BG"/>
        </w:rPr>
        <w:t xml:space="preserve"> на прикритие</w:t>
      </w:r>
      <w:r>
        <w:t xml:space="preserve">“. Лицата, които са обект или са засегнати (независимо дали пряко или косвено) от </w:t>
      </w:r>
      <w:r w:rsidR="002F04CE">
        <w:rPr>
          <w:lang w:val="bg-BG"/>
        </w:rPr>
        <w:t>внедряването</w:t>
      </w:r>
      <w:r>
        <w:t xml:space="preserve"> на такива </w:t>
      </w:r>
      <w:r w:rsidR="00636119">
        <w:t>служители</w:t>
      </w:r>
      <w:r>
        <w:t xml:space="preserve">, по дефиниция не са наясно, че </w:t>
      </w:r>
      <w:r w:rsidR="002F04CE">
        <w:rPr>
          <w:lang w:val="bg-BG"/>
        </w:rPr>
        <w:t>това се е случило</w:t>
      </w:r>
      <w:r>
        <w:t xml:space="preserve">. Както Съдът последователно е подчертавал, </w:t>
      </w:r>
      <w:r w:rsidRPr="009B3C8C">
        <w:t>възможностите за обжалване пред съда са ограничени</w:t>
      </w:r>
      <w:r w:rsidRPr="002E2A2A">
        <w:t>,</w:t>
      </w:r>
      <w:r w:rsidRPr="009B3C8C">
        <w:t xml:space="preserve"> освен ако </w:t>
      </w:r>
      <w:r>
        <w:t xml:space="preserve">засегнатите лица </w:t>
      </w:r>
      <w:r w:rsidRPr="009B3C8C">
        <w:t>не</w:t>
      </w:r>
      <w:r>
        <w:t xml:space="preserve"> бъдат </w:t>
      </w:r>
      <w:r w:rsidRPr="009B3C8C">
        <w:t xml:space="preserve">уведомени за мярка, предприета без </w:t>
      </w:r>
      <w:r>
        <w:t xml:space="preserve">тяхно </w:t>
      </w:r>
      <w:r w:rsidRPr="009B3C8C">
        <w:t xml:space="preserve">знание, и по този начин да могат да </w:t>
      </w:r>
      <w:r>
        <w:t xml:space="preserve">я </w:t>
      </w:r>
      <w:r w:rsidRPr="009B3C8C">
        <w:t xml:space="preserve">оспорят </w:t>
      </w:r>
      <w:r w:rsidRPr="002E2A2A">
        <w:t>(вж.</w:t>
      </w:r>
      <w:bookmarkStart w:id="307" w:name="_cl29288THELAW"/>
      <w:r w:rsidRPr="002E2A2A">
        <w:rPr>
          <w:i/>
          <w:iCs/>
        </w:rPr>
        <w:t xml:space="preserve"> </w:t>
      </w:r>
      <w:r w:rsidR="002F04CE" w:rsidRPr="002F04CE">
        <w:rPr>
          <w:i/>
          <w:iCs/>
        </w:rPr>
        <w:t xml:space="preserve">Klass and Others </w:t>
      </w:r>
      <w:r w:rsidRPr="002E2A2A">
        <w:rPr>
          <w:i/>
          <w:iCs/>
        </w:rPr>
        <w:t>срещу Германия</w:t>
      </w:r>
      <w:bookmarkEnd w:id="307"/>
      <w:r w:rsidRPr="002E2A2A">
        <w:t xml:space="preserve">, 6 септември 1978 г., </w:t>
      </w:r>
      <w:r w:rsidR="00AA5A93">
        <w:rPr>
          <w:lang w:val="bg-BG"/>
        </w:rPr>
        <w:t>§</w:t>
      </w:r>
      <w:r>
        <w:t xml:space="preserve"> 57</w:t>
      </w:r>
      <w:r w:rsidRPr="002E2A2A">
        <w:t>, серия А № 28</w:t>
      </w:r>
      <w:r>
        <w:t>;</w:t>
      </w:r>
      <w:bookmarkStart w:id="308" w:name="_cl39200THELAW"/>
      <w:r>
        <w:t xml:space="preserve"> </w:t>
      </w:r>
      <w:r w:rsidR="002F04CE" w:rsidRPr="002F04CE">
        <w:rPr>
          <w:i/>
          <w:iCs/>
        </w:rPr>
        <w:t xml:space="preserve">Weber and Saravia </w:t>
      </w:r>
      <w:r w:rsidRPr="00401722">
        <w:rPr>
          <w:i/>
          <w:iCs/>
        </w:rPr>
        <w:t>с</w:t>
      </w:r>
      <w:r w:rsidR="002812A4">
        <w:rPr>
          <w:i/>
          <w:iCs/>
          <w:lang w:val="bg-BG"/>
        </w:rPr>
        <w:t>/</w:t>
      </w:r>
      <w:r w:rsidRPr="00401722">
        <w:rPr>
          <w:i/>
          <w:iCs/>
        </w:rPr>
        <w:t>у Германия</w:t>
      </w:r>
      <w:bookmarkEnd w:id="308"/>
      <w:r w:rsidRPr="00401722">
        <w:t xml:space="preserve"> (реш.), № 54934/00, </w:t>
      </w:r>
      <w:r w:rsidR="00AA5A93">
        <w:rPr>
          <w:lang w:val="bg-BG"/>
        </w:rPr>
        <w:t>§</w:t>
      </w:r>
      <w:r>
        <w:t xml:space="preserve"> 135</w:t>
      </w:r>
      <w:r w:rsidRPr="00401722">
        <w:t>, ECHR 2006-XI</w:t>
      </w:r>
      <w:r>
        <w:t xml:space="preserve">; </w:t>
      </w:r>
      <w:r w:rsidR="002F04CE" w:rsidRPr="002F04CE">
        <w:rPr>
          <w:i/>
          <w:iCs/>
        </w:rPr>
        <w:lastRenderedPageBreak/>
        <w:t>Roman Zakharov</w:t>
      </w:r>
      <w:r w:rsidRPr="00C8120B">
        <w:t xml:space="preserve">, цитиран по-горе, </w:t>
      </w:r>
      <w:r w:rsidR="00AA5A93">
        <w:rPr>
          <w:lang w:val="bg-BG"/>
        </w:rPr>
        <w:t>§</w:t>
      </w:r>
      <w:r w:rsidRPr="00C8120B">
        <w:t xml:space="preserve"> 234</w:t>
      </w:r>
      <w:r>
        <w:t>;</w:t>
      </w:r>
      <w:bookmarkStart w:id="309" w:name="_cl36849THELAW"/>
      <w:r>
        <w:t xml:space="preserve"> </w:t>
      </w:r>
      <w:r w:rsidR="003F489E" w:rsidRPr="003F489E">
        <w:rPr>
          <w:i/>
          <w:iCs/>
        </w:rPr>
        <w:t>Sommer</w:t>
      </w:r>
      <w:r w:rsidRPr="00356C7E">
        <w:rPr>
          <w:i/>
          <w:iCs/>
        </w:rPr>
        <w:t xml:space="preserve"> с</w:t>
      </w:r>
      <w:r w:rsidR="002812A4">
        <w:rPr>
          <w:i/>
          <w:iCs/>
          <w:lang w:val="bg-BG"/>
        </w:rPr>
        <w:t>/</w:t>
      </w:r>
      <w:r w:rsidRPr="00356C7E">
        <w:rPr>
          <w:i/>
          <w:iCs/>
        </w:rPr>
        <w:t>у Германия</w:t>
      </w:r>
      <w:bookmarkEnd w:id="309"/>
      <w:r w:rsidRPr="00356C7E">
        <w:t xml:space="preserve"> , № 73607/13, </w:t>
      </w:r>
      <w:r w:rsidR="00AA5A93">
        <w:rPr>
          <w:lang w:val="bg-BG"/>
        </w:rPr>
        <w:t>§</w:t>
      </w:r>
      <w:r>
        <w:t xml:space="preserve"> 62</w:t>
      </w:r>
      <w:r w:rsidRPr="00356C7E">
        <w:t>, 27 април 2017 г.</w:t>
      </w:r>
      <w:r>
        <w:t xml:space="preserve">; </w:t>
      </w:r>
      <w:r w:rsidR="003F489E" w:rsidRPr="003F489E">
        <w:rPr>
          <w:i/>
          <w:iCs/>
        </w:rPr>
        <w:t>Centrum för rättvisa</w:t>
      </w:r>
      <w:r>
        <w:t xml:space="preserve">, цитирано по-горе, </w:t>
      </w:r>
      <w:r w:rsidR="00AA5A93">
        <w:rPr>
          <w:lang w:val="bg-BG"/>
        </w:rPr>
        <w:t>§</w:t>
      </w:r>
      <w:r>
        <w:t xml:space="preserve"> 251; и </w:t>
      </w:r>
      <w:r w:rsidRPr="00A646F3">
        <w:rPr>
          <w:i/>
          <w:iCs/>
        </w:rPr>
        <w:t>Big Brother Watch и други</w:t>
      </w:r>
      <w:r>
        <w:t xml:space="preserve">, цитирано по-горе, </w:t>
      </w:r>
      <w:r w:rsidR="003F489E">
        <w:rPr>
          <w:lang w:val="bg-BG"/>
        </w:rPr>
        <w:t>§</w:t>
      </w:r>
      <w:r>
        <w:t xml:space="preserve"> 337). Правителството не </w:t>
      </w:r>
      <w:r w:rsidR="003F489E">
        <w:rPr>
          <w:lang w:val="bg-BG"/>
        </w:rPr>
        <w:t>твръди</w:t>
      </w:r>
      <w:r>
        <w:t xml:space="preserve">, че такова искане за съдебен контрол може да бъде предявено „на сляпо“, без да се посочи конкретното решение на </w:t>
      </w:r>
      <w:r w:rsidR="00877C2C">
        <w:rPr>
          <w:lang w:val="bg-BG"/>
        </w:rPr>
        <w:t>председателя</w:t>
      </w:r>
      <w:r>
        <w:t xml:space="preserve"> на Агенцията, което се оспорва – което е общо изискване </w:t>
      </w:r>
      <w:r w:rsidR="00877C2C">
        <w:rPr>
          <w:lang w:val="bg-BG"/>
        </w:rPr>
        <w:t xml:space="preserve">към съдържанието на жалба </w:t>
      </w:r>
      <w:r>
        <w:t>в България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RLF_CAP_A_150_1_5 \h  \* MERGEFORMAT </w:instrText>
      </w:r>
      <w:r>
        <w:fldChar w:fldCharType="separate"/>
      </w:r>
      <w:r w:rsidR="00F21D3F">
        <w:t>100</w:t>
      </w:r>
      <w:r>
        <w:fldChar w:fldCharType="end"/>
      </w:r>
      <w:r>
        <w:t xml:space="preserve"> по-горе; вж. също, </w:t>
      </w:r>
      <w:r w:rsidRPr="00541C44">
        <w:rPr>
          <w:i/>
          <w:iCs/>
        </w:rPr>
        <w:t>mutatis mutandis</w:t>
      </w:r>
      <w:r>
        <w:t xml:space="preserve">, </w:t>
      </w:r>
      <w:r w:rsidR="00AA7835" w:rsidRPr="00AA7835">
        <w:rPr>
          <w:i/>
          <w:iCs/>
        </w:rPr>
        <w:t>Big Brother Watch and Others</w:t>
      </w:r>
      <w:r>
        <w:t xml:space="preserve">, цитирано по-горе, </w:t>
      </w:r>
      <w:r w:rsidR="00AA7835">
        <w:rPr>
          <w:rFonts w:cstheme="minorHAnsi"/>
          <w:lang w:val="bg-BG"/>
        </w:rPr>
        <w:t>§</w:t>
      </w:r>
      <w:r>
        <w:t xml:space="preserve"> 413).</w:t>
      </w:r>
    </w:p>
    <w:bookmarkStart w:id="310" w:name="L_C_A_8_m_int_C_victim_rem_12"/>
    <w:p w14:paraId="3BA02AB4" w14:textId="51E299BC" w:rsidR="00304BC9" w:rsidRPr="007830ED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134</w:t>
      </w:r>
      <w:r>
        <w:fldChar w:fldCharType="end"/>
      </w:r>
      <w:bookmarkEnd w:id="310"/>
      <w:r w:rsidR="002812A4">
        <w:t xml:space="preserve">. </w:t>
      </w:r>
      <w:r>
        <w:t>Опитът да се привлече личната отговорност на „</w:t>
      </w:r>
      <w:r w:rsidR="00636119">
        <w:t>служители</w:t>
      </w:r>
      <w:r>
        <w:t xml:space="preserve"> </w:t>
      </w:r>
      <w:r w:rsidR="007D6731">
        <w:rPr>
          <w:lang w:val="bg-BG"/>
        </w:rPr>
        <w:t xml:space="preserve">на </w:t>
      </w:r>
      <w:r>
        <w:t xml:space="preserve">прикритие“ за действия, извършени в рамките на тяхната работа – възможна </w:t>
      </w:r>
      <w:r w:rsidR="007D6731">
        <w:rPr>
          <w:lang w:val="bg-BG"/>
        </w:rPr>
        <w:t>средство за защита</w:t>
      </w:r>
      <w:r>
        <w:t>, на ко</w:t>
      </w:r>
      <w:r w:rsidR="007D6731">
        <w:rPr>
          <w:lang w:val="bg-BG"/>
        </w:rPr>
        <w:t>е</w:t>
      </w:r>
      <w:r>
        <w:t>то правителството също се позовава в сво</w:t>
      </w:r>
      <w:r w:rsidR="007D6731">
        <w:rPr>
          <w:lang w:val="bg-BG"/>
        </w:rPr>
        <w:t xml:space="preserve">ето становище </w:t>
      </w:r>
      <w:r>
        <w:t>по същество (вж. параграф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L_C_A_8_m_just_G_1 \h  \* MERGEFORMAT </w:instrText>
      </w:r>
      <w:r>
        <w:fldChar w:fldCharType="separate"/>
      </w:r>
      <w:r w:rsidR="00F21D3F">
        <w:t>137</w:t>
      </w:r>
      <w:r>
        <w:fldChar w:fldCharType="end"/>
      </w:r>
      <w:r>
        <w:t xml:space="preserve"> (</w:t>
      </w:r>
      <w:r>
        <w:fldChar w:fldCharType="begin"/>
      </w:r>
      <w:r>
        <w:instrText xml:space="preserve"> REF  L_C_A_8_m_just_G_1_suprvsn_liability \h  \* MERGEFORMAT </w:instrText>
      </w:r>
      <w:r>
        <w:fldChar w:fldCharType="separate"/>
      </w:r>
      <w:r w:rsidR="00F21D3F">
        <w:t>c</w:t>
      </w:r>
      <w:r>
        <w:fldChar w:fldCharType="end"/>
      </w:r>
      <w:r>
        <w:t xml:space="preserve">) по-долу) – </w:t>
      </w:r>
      <w:r w:rsidR="00BA40FE">
        <w:rPr>
          <w:lang w:val="bg-BG"/>
        </w:rPr>
        <w:t xml:space="preserve">също </w:t>
      </w:r>
      <w:r>
        <w:t>не може да се разглежда</w:t>
      </w:r>
      <w:r w:rsidR="00BA40FE">
        <w:t xml:space="preserve"> като ефективна правна защита </w:t>
      </w:r>
      <w:r>
        <w:t xml:space="preserve">по отношение на използването на такива </w:t>
      </w:r>
      <w:r w:rsidR="00636119">
        <w:t>служители</w:t>
      </w:r>
      <w:r>
        <w:t xml:space="preserve">. </w:t>
      </w:r>
      <w:r w:rsidR="00F55DA1">
        <w:rPr>
          <w:lang w:val="bg-BG"/>
        </w:rPr>
        <w:t>Изглежда нереалистично</w:t>
      </w:r>
      <w:r>
        <w:t xml:space="preserve"> предположението, че е възможно да се потърси лична отговорност от такива </w:t>
      </w:r>
      <w:r w:rsidR="00636119">
        <w:t>служители</w:t>
      </w:r>
      <w:r>
        <w:t xml:space="preserve"> за незаконни посегателства върху права, защитени по член 8 от Конвенцията, в хода на тяхната работа, при липса на каквато и да е законна възможност за лицата, засегнати от тяхното разполагане, да научат за това. Освен това, </w:t>
      </w:r>
      <w:r w:rsidRPr="00C56300">
        <w:t>съгласно съдебната практика на Съда</w:t>
      </w:r>
      <w:r>
        <w:t xml:space="preserve">, </w:t>
      </w:r>
      <w:r w:rsidRPr="00C56300">
        <w:t xml:space="preserve">завеждането на иск срещу частно </w:t>
      </w:r>
      <w:r>
        <w:t xml:space="preserve">лице не представлява </w:t>
      </w:r>
      <w:r w:rsidRPr="00C56300">
        <w:t xml:space="preserve">средство за защита по отношение на </w:t>
      </w:r>
      <w:r>
        <w:t xml:space="preserve">действия </w:t>
      </w:r>
      <w:r w:rsidRPr="00C56300">
        <w:t xml:space="preserve">на държавата (вж. </w:t>
      </w:r>
      <w:r w:rsidRPr="00C56300">
        <w:rPr>
          <w:i/>
          <w:iCs/>
        </w:rPr>
        <w:t xml:space="preserve">Pine Valley Developments Ltd </w:t>
      </w:r>
      <w:r w:rsidR="00500CDD" w:rsidRPr="00500CDD">
        <w:rPr>
          <w:i/>
          <w:iCs/>
        </w:rPr>
        <w:t xml:space="preserve">and Others </w:t>
      </w:r>
      <w:r w:rsidRPr="00C56300">
        <w:rPr>
          <w:i/>
          <w:iCs/>
        </w:rPr>
        <w:t>с</w:t>
      </w:r>
      <w:r w:rsidR="002812A4">
        <w:rPr>
          <w:i/>
          <w:iCs/>
          <w:lang w:val="bg-BG"/>
        </w:rPr>
        <w:t>/</w:t>
      </w:r>
      <w:r w:rsidRPr="00C56300">
        <w:rPr>
          <w:i/>
          <w:iCs/>
        </w:rPr>
        <w:t>у Ирландия</w:t>
      </w:r>
      <w:r w:rsidRPr="00C56300">
        <w:t xml:space="preserve">, 29 ноември 1991 г., </w:t>
      </w:r>
      <w:r w:rsidR="00500CDD">
        <w:rPr>
          <w:lang w:val="bg-BG"/>
        </w:rPr>
        <w:t>§</w:t>
      </w:r>
      <w:r w:rsidRPr="00C56300">
        <w:t xml:space="preserve"> 48</w:t>
      </w:r>
      <w:r>
        <w:t xml:space="preserve">, </w:t>
      </w:r>
      <w:r w:rsidRPr="00C56300">
        <w:t xml:space="preserve">серия А № 222; </w:t>
      </w:r>
      <w:r w:rsidR="00500CDD" w:rsidRPr="00500CDD">
        <w:rPr>
          <w:i/>
          <w:iCs/>
        </w:rPr>
        <w:t>Iatridis</w:t>
      </w:r>
      <w:r w:rsidRPr="00C56300">
        <w:rPr>
          <w:i/>
          <w:iCs/>
        </w:rPr>
        <w:t xml:space="preserve"> с</w:t>
      </w:r>
      <w:r w:rsidR="002812A4">
        <w:rPr>
          <w:i/>
          <w:iCs/>
          <w:lang w:val="bg-BG"/>
        </w:rPr>
        <w:t>/</w:t>
      </w:r>
      <w:r w:rsidRPr="00C56300">
        <w:rPr>
          <w:i/>
          <w:iCs/>
        </w:rPr>
        <w:t xml:space="preserve">у Гърция </w:t>
      </w:r>
      <w:r w:rsidRPr="00C56300">
        <w:t>[</w:t>
      </w:r>
      <w:r w:rsidR="002812A4">
        <w:rPr>
          <w:lang w:val="bg-BG"/>
        </w:rPr>
        <w:t>ГК</w:t>
      </w:r>
      <w:r w:rsidRPr="00C56300">
        <w:t xml:space="preserve">], № 31107/96, </w:t>
      </w:r>
      <w:r w:rsidR="00500CDD">
        <w:rPr>
          <w:lang w:val="bg-BG"/>
        </w:rPr>
        <w:t>§</w:t>
      </w:r>
      <w:r w:rsidRPr="00C56300">
        <w:t xml:space="preserve"> 47 </w:t>
      </w:r>
      <w:r w:rsidRPr="00C56300">
        <w:rPr>
          <w:i/>
          <w:iCs/>
        </w:rPr>
        <w:t>in fine</w:t>
      </w:r>
      <w:r w:rsidRPr="00C56300">
        <w:t>, ECHR 1999-II</w:t>
      </w:r>
      <w:r>
        <w:t>;</w:t>
      </w:r>
      <w:bookmarkStart w:id="311" w:name="_cl39964THELAW"/>
      <w:r>
        <w:t xml:space="preserve"> , и </w:t>
      </w:r>
      <w:r w:rsidRPr="007830ED">
        <w:rPr>
          <w:i/>
          <w:iCs/>
        </w:rPr>
        <w:t>Zlínsat, spol. s r.o., с</w:t>
      </w:r>
      <w:r w:rsidR="002812A4">
        <w:rPr>
          <w:i/>
          <w:iCs/>
          <w:lang w:val="bg-BG"/>
        </w:rPr>
        <w:t>/</w:t>
      </w:r>
      <w:r w:rsidRPr="007830ED">
        <w:rPr>
          <w:i/>
          <w:iCs/>
        </w:rPr>
        <w:t>у България</w:t>
      </w:r>
      <w:bookmarkEnd w:id="311"/>
      <w:r w:rsidRPr="007830ED">
        <w:t xml:space="preserve">, № 57785/00, </w:t>
      </w:r>
      <w:r w:rsidR="00E27098">
        <w:rPr>
          <w:lang w:val="bg-BG"/>
        </w:rPr>
        <w:t>§</w:t>
      </w:r>
      <w:r w:rsidRPr="007830ED">
        <w:t xml:space="preserve"> 55 </w:t>
      </w:r>
      <w:r w:rsidRPr="007830ED">
        <w:rPr>
          <w:i/>
          <w:iCs/>
        </w:rPr>
        <w:t>in fine</w:t>
      </w:r>
      <w:r w:rsidRPr="007830ED">
        <w:t>, 15 юни 2006 г.</w:t>
      </w:r>
      <w:r>
        <w:t>).</w:t>
      </w:r>
    </w:p>
    <w:p w14:paraId="0A92FEFB" w14:textId="77777777" w:rsidR="00304BC9" w:rsidRDefault="000F3485" w:rsidP="00304BC9">
      <w:pPr>
        <w:pStyle w:val="JuH"/>
      </w:pPr>
      <w:bookmarkStart w:id="312" w:name="_Toc232688311"/>
      <w:r w:rsidRPr="0013735B">
        <w:t>Заключение</w:t>
      </w:r>
      <w:bookmarkEnd w:id="312"/>
    </w:p>
    <w:bookmarkStart w:id="313" w:name="L_C_A_8_m_int_C_victim_conc"/>
    <w:p w14:paraId="444C9084" w14:textId="77EB1310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135</w:t>
      </w:r>
      <w:r>
        <w:fldChar w:fldCharType="end"/>
      </w:r>
      <w:bookmarkEnd w:id="313"/>
      <w:r w:rsidR="002812A4">
        <w:t xml:space="preserve">. </w:t>
      </w:r>
      <w:r>
        <w:t xml:space="preserve">Поради изложените по-горе причини самото съществуване на спорните разпоредби – които от </w:t>
      </w:r>
      <w:r w:rsidR="00DE4219">
        <w:rPr>
          <w:lang w:val="bg-BG"/>
        </w:rPr>
        <w:t xml:space="preserve">м. </w:t>
      </w:r>
      <w:r>
        <w:t>септември 2018 г. позволяват внедряването на „</w:t>
      </w:r>
      <w:r w:rsidR="00636119">
        <w:t>служители</w:t>
      </w:r>
      <w:r>
        <w:t xml:space="preserve"> </w:t>
      </w:r>
      <w:r w:rsidR="00DE4219">
        <w:rPr>
          <w:lang w:val="bg-BG"/>
        </w:rPr>
        <w:t>на</w:t>
      </w:r>
      <w:r>
        <w:t xml:space="preserve"> прикритие“ в частни организации – може да се разглежда като намеса в правата на </w:t>
      </w:r>
      <w:r w:rsidR="00DE4219">
        <w:t>сдружение</w:t>
      </w:r>
      <w:r w:rsidR="00DE4219">
        <w:rPr>
          <w:lang w:val="bg-BG"/>
        </w:rPr>
        <w:t>то-жалбоподател</w:t>
      </w:r>
      <w:r w:rsidR="00DE4219">
        <w:t xml:space="preserve"> </w:t>
      </w:r>
      <w:r>
        <w:t xml:space="preserve">по член 8 от Конвенцията, без да е необходимо да се установява дали </w:t>
      </w:r>
      <w:r w:rsidR="00DE4219">
        <w:rPr>
          <w:lang w:val="bg-BG"/>
        </w:rPr>
        <w:t>сдружението</w:t>
      </w:r>
      <w:r>
        <w:t xml:space="preserve"> е изложено на риск от внедряване на такива </w:t>
      </w:r>
      <w:r w:rsidR="00636119">
        <w:t>служители</w:t>
      </w:r>
      <w:r>
        <w:t xml:space="preserve"> в него поради конкретната му ситуация. Следователно е оправдано тези разпоредби (заедно с всички свързани с тях закони и практики) да бъдат разгледани в абстрактен план (вж., </w:t>
      </w:r>
      <w:r w:rsidRPr="00A85647">
        <w:rPr>
          <w:i/>
          <w:iCs/>
        </w:rPr>
        <w:t>mutatis mutandis</w:t>
      </w:r>
      <w:r>
        <w:t xml:space="preserve">, </w:t>
      </w:r>
      <w:r w:rsidR="00660876" w:rsidRPr="00660876">
        <w:rPr>
          <w:i/>
          <w:iCs/>
        </w:rPr>
        <w:t>Centrum för rättvisa</w:t>
      </w:r>
      <w:r>
        <w:t xml:space="preserve">, цитирано по-горе, </w:t>
      </w:r>
      <w:r w:rsidR="00660876">
        <w:rPr>
          <w:lang w:val="bg-BG"/>
        </w:rPr>
        <w:t>§§</w:t>
      </w:r>
      <w:r>
        <w:t xml:space="preserve"> 175-76). Всъщност, </w:t>
      </w:r>
      <w:r w:rsidR="00660876">
        <w:rPr>
          <w:lang w:val="bg-BG"/>
        </w:rPr>
        <w:t>довеждайки до край съдебното прооизводство по обжалване на тези разпоредби</w:t>
      </w:r>
      <w:r>
        <w:t xml:space="preserve"> (вж.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F_jud_rev_FI_claim \h  \* MERGEFORMAT </w:instrText>
      </w:r>
      <w:r>
        <w:fldChar w:fldCharType="separate"/>
      </w:r>
      <w:r w:rsidR="00F21D3F">
        <w:t>31</w:t>
      </w:r>
      <w:r>
        <w:fldChar w:fldCharType="end"/>
      </w:r>
      <w:r>
        <w:t>-</w:t>
      </w:r>
      <w:r>
        <w:fldChar w:fldCharType="begin"/>
      </w:r>
      <w:r>
        <w:instrText xml:space="preserve"> REF  F_jud_rev_APP_jud_SAC_19_07_2021 \h  \* MERGEFORMAT </w:instrText>
      </w:r>
      <w:r>
        <w:fldChar w:fldCharType="separate"/>
      </w:r>
      <w:r w:rsidR="00F21D3F">
        <w:t>40</w:t>
      </w:r>
      <w:r>
        <w:fldChar w:fldCharType="end"/>
      </w:r>
      <w:r>
        <w:t xml:space="preserve"> по-горе), </w:t>
      </w:r>
      <w:r w:rsidR="00660876">
        <w:rPr>
          <w:lang w:val="bg-BG"/>
        </w:rPr>
        <w:t>сдружението</w:t>
      </w:r>
      <w:r>
        <w:t xml:space="preserve"> е изчерпало наличните вътрешни средства за защита по отношение на </w:t>
      </w:r>
      <w:r w:rsidR="00660876">
        <w:rPr>
          <w:lang w:val="bg-BG"/>
        </w:rPr>
        <w:t>оплакването</w:t>
      </w:r>
      <w:r>
        <w:t xml:space="preserve"> си по този въпрос. Оттук следва, че възражението на правителството, че </w:t>
      </w:r>
      <w:r w:rsidR="00A83399">
        <w:rPr>
          <w:lang w:val="bg-BG"/>
        </w:rPr>
        <w:t>сдружението</w:t>
      </w:r>
      <w:r w:rsidRPr="00A77667">
        <w:t xml:space="preserve"> не може да твърди, че е жертва </w:t>
      </w:r>
      <w:r>
        <w:t xml:space="preserve">на намеса в правата му по член 8, което – подобно на възражението за </w:t>
      </w:r>
      <w:r>
        <w:lastRenderedPageBreak/>
        <w:t xml:space="preserve">неизчерпване на средствата за защита – беше приобщено към </w:t>
      </w:r>
      <w:r w:rsidR="00A83399">
        <w:rPr>
          <w:lang w:val="bg-BG"/>
        </w:rPr>
        <w:t xml:space="preserve">разглеждането на делото по </w:t>
      </w:r>
      <w:r w:rsidR="00A83399">
        <w:t>същество</w:t>
      </w:r>
      <w:r>
        <w:t xml:space="preserve"> (вж. параграфи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L_C_A_8_adm_rm_G \h </w:instrText>
      </w:r>
      <w:r>
        <w:fldChar w:fldCharType="separate"/>
      </w:r>
      <w:r w:rsidR="00F21D3F">
        <w:rPr>
          <w:noProof/>
        </w:rPr>
        <w:t>103</w:t>
      </w:r>
      <w:r>
        <w:fldChar w:fldCharType="end"/>
      </w:r>
      <w:r>
        <w:t xml:space="preserve"> и</w:t>
      </w:r>
      <w:r w:rsidR="002812A4">
        <w:rPr>
          <w:lang w:val="bg-BG"/>
        </w:rPr>
        <w:t xml:space="preserve"> </w:t>
      </w:r>
      <w:r>
        <w:fldChar w:fldCharType="begin"/>
      </w:r>
      <w:r>
        <w:instrText xml:space="preserve"> REF  L_C_A_8_adm_exh_C \h  \* MERGEFORMAT </w:instrText>
      </w:r>
      <w:r>
        <w:fldChar w:fldCharType="separate"/>
      </w:r>
      <w:r w:rsidR="00F21D3F">
        <w:t>107</w:t>
      </w:r>
      <w:r>
        <w:fldChar w:fldCharType="end"/>
      </w:r>
      <w:r>
        <w:t xml:space="preserve"> по-горе), трябва да бъде отхвърлено.</w:t>
      </w:r>
    </w:p>
    <w:p w14:paraId="4850EDAC" w14:textId="77777777" w:rsidR="00304BC9" w:rsidRDefault="000F3485" w:rsidP="00304BC9">
      <w:pPr>
        <w:pStyle w:val="JuH1"/>
      </w:pPr>
      <w:bookmarkStart w:id="314" w:name="_Toc175215004"/>
      <w:bookmarkStart w:id="315" w:name="_Toc232688312"/>
      <w:r w:rsidRPr="0013735B">
        <w:t>Обосновка на намесата</w:t>
      </w:r>
      <w:bookmarkEnd w:id="314"/>
      <w:bookmarkEnd w:id="315"/>
    </w:p>
    <w:p w14:paraId="63BAB187" w14:textId="77777777" w:rsidR="00304BC9" w:rsidRDefault="00145B17" w:rsidP="00304BC9">
      <w:pPr>
        <w:pStyle w:val="JuHa0"/>
      </w:pPr>
      <w:bookmarkStart w:id="316" w:name="_Toc175215005"/>
      <w:bookmarkStart w:id="317" w:name="_Toc232688313"/>
      <w:r>
        <w:rPr>
          <w:lang w:val="bg-BG"/>
        </w:rPr>
        <w:t>Становищата</w:t>
      </w:r>
      <w:r w:rsidR="000F3485">
        <w:t xml:space="preserve"> </w:t>
      </w:r>
      <w:r w:rsidR="00A060A3">
        <w:t>на</w:t>
      </w:r>
      <w:r w:rsidR="000F3485">
        <w:t xml:space="preserve"> страните</w:t>
      </w:r>
      <w:bookmarkEnd w:id="316"/>
      <w:bookmarkEnd w:id="317"/>
    </w:p>
    <w:p w14:paraId="0C398447" w14:textId="3B2F2E6A" w:rsidR="00304BC9" w:rsidRPr="00EB6B07" w:rsidRDefault="00A83399" w:rsidP="00304BC9">
      <w:pPr>
        <w:pStyle w:val="JuHi"/>
        <w:spacing w:line="240" w:lineRule="auto"/>
      </w:pPr>
      <w:bookmarkStart w:id="318" w:name="_Toc232688314"/>
      <w:r>
        <w:rPr>
          <w:lang w:val="bg-BG"/>
        </w:rPr>
        <w:t>Сдружението</w:t>
      </w:r>
      <w:r w:rsidR="00145B17">
        <w:rPr>
          <w:lang w:val="bg-BG"/>
        </w:rPr>
        <w:t>-жалбоподател</w:t>
      </w:r>
      <w:bookmarkEnd w:id="318"/>
    </w:p>
    <w:bookmarkStart w:id="319" w:name="L_C_A_8_m_just_A_1"/>
    <w:p w14:paraId="1594516A" w14:textId="6AF3BC30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136</w:t>
      </w:r>
      <w:r>
        <w:fldChar w:fldCharType="end"/>
      </w:r>
      <w:bookmarkEnd w:id="319"/>
      <w:r w:rsidR="002812A4">
        <w:t>. </w:t>
      </w:r>
      <w:r w:rsidR="00636119">
        <w:t>Жалбоподателят</w:t>
      </w:r>
      <w:r w:rsidR="00A93D05">
        <w:t xml:space="preserve"> твърди</w:t>
      </w:r>
      <w:r>
        <w:t xml:space="preserve">, че намесата не е била нито „в съответствие със закона“, нито „необходима в едно демократично общество“, тъй като </w:t>
      </w:r>
      <w:r w:rsidR="00201241">
        <w:rPr>
          <w:lang w:val="bg-BG"/>
        </w:rPr>
        <w:t>разпоредбите</w:t>
      </w:r>
      <w:r>
        <w:t xml:space="preserve">, които </w:t>
      </w:r>
      <w:r w:rsidR="00201241">
        <w:rPr>
          <w:lang w:val="bg-BG"/>
        </w:rPr>
        <w:t>не са детайлни и ясни</w:t>
      </w:r>
      <w:r w:rsidR="00201241">
        <w:t>, не предвиждат</w:t>
      </w:r>
      <w:r>
        <w:t xml:space="preserve"> никакв</w:t>
      </w:r>
      <w:r w:rsidR="00953DB3">
        <w:t xml:space="preserve">и гаранции срещу злоупотребата със </w:t>
      </w:r>
      <w:r>
        <w:t xml:space="preserve"> </w:t>
      </w:r>
      <w:r w:rsidR="00953DB3">
        <w:rPr>
          <w:lang w:val="bg-BG"/>
        </w:rPr>
        <w:t>„</w:t>
      </w:r>
      <w:r w:rsidR="00636119">
        <w:t>служители</w:t>
      </w:r>
      <w:r w:rsidR="00953DB3">
        <w:rPr>
          <w:lang w:val="bg-BG"/>
        </w:rPr>
        <w:t xml:space="preserve"> на прикритие</w:t>
      </w:r>
      <w:r w:rsidR="00953DB3">
        <w:t>“. Няма</w:t>
      </w:r>
      <w:r>
        <w:t xml:space="preserve"> условия, които да ограничават и</w:t>
      </w:r>
      <w:r w:rsidR="006962B8">
        <w:t>зползването им, и към тях може</w:t>
      </w:r>
      <w:r>
        <w:t xml:space="preserve"> да се прибегне винаги, когато Агенцията прецени, че има оперативна необходимост от това. Използването им не </w:t>
      </w:r>
      <w:r w:rsidR="00953DB3">
        <w:rPr>
          <w:lang w:val="bg-BG"/>
        </w:rPr>
        <w:t>е</w:t>
      </w:r>
      <w:r>
        <w:t xml:space="preserve"> подчинено нито на предварително разрешение, нито на последващ съдебен контрол. </w:t>
      </w:r>
      <w:r w:rsidR="00183761">
        <w:t>Това отваря</w:t>
      </w:r>
      <w:r>
        <w:t xml:space="preserve"> пътя към произволното </w:t>
      </w:r>
      <w:r w:rsidR="00183761">
        <w:t>им използване. Освен това няма</w:t>
      </w:r>
      <w:r>
        <w:t xml:space="preserve"> правила, които да определят работата им, нито срокове или процедури, които да огранич</w:t>
      </w:r>
      <w:r w:rsidR="00961FEE">
        <w:t>ават използването им. Изглежда</w:t>
      </w:r>
      <w:r>
        <w:t>, че самата концепция за „</w:t>
      </w:r>
      <w:r w:rsidR="00636119">
        <w:t>служители</w:t>
      </w:r>
      <w:r>
        <w:t xml:space="preserve"> </w:t>
      </w:r>
      <w:r w:rsidR="00961FEE">
        <w:rPr>
          <w:lang w:val="bg-BG"/>
        </w:rPr>
        <w:t>на</w:t>
      </w:r>
      <w:r>
        <w:t xml:space="preserve"> прикритие“ е измислена, за да се заобиколят законовите ограничения за използването на „</w:t>
      </w:r>
      <w:r w:rsidR="00636119">
        <w:t>служители</w:t>
      </w:r>
      <w:r w:rsidR="00961FEE">
        <w:t xml:space="preserve"> под прикритие“. На практика е</w:t>
      </w:r>
      <w:r>
        <w:t xml:space="preserve"> невъзможно да се потърси отговорност от такива „</w:t>
      </w:r>
      <w:r w:rsidR="00636119">
        <w:t>служители</w:t>
      </w:r>
      <w:r>
        <w:t xml:space="preserve"> </w:t>
      </w:r>
      <w:r w:rsidR="00961FEE">
        <w:rPr>
          <w:lang w:val="bg-BG"/>
        </w:rPr>
        <w:t>на</w:t>
      </w:r>
      <w:r>
        <w:t xml:space="preserve"> прикритие“ за каквито и да било незаконни действия, тъ</w:t>
      </w:r>
      <w:r w:rsidR="00183761">
        <w:t>й като самоличността им остава</w:t>
      </w:r>
      <w:r>
        <w:t xml:space="preserve"> поверителна.</w:t>
      </w:r>
    </w:p>
    <w:p w14:paraId="76041D21" w14:textId="77777777" w:rsidR="00304BC9" w:rsidRDefault="000F3485" w:rsidP="00304BC9">
      <w:pPr>
        <w:pStyle w:val="JuHi"/>
        <w:spacing w:line="240" w:lineRule="auto"/>
      </w:pPr>
      <w:bookmarkStart w:id="320" w:name="_Toc175215007"/>
      <w:bookmarkStart w:id="321" w:name="_Toc232688315"/>
      <w:r>
        <w:t>Правителството</w:t>
      </w:r>
      <w:bookmarkEnd w:id="320"/>
      <w:bookmarkEnd w:id="321"/>
    </w:p>
    <w:bookmarkStart w:id="322" w:name="L_C_A_8_m_just_G_1"/>
    <w:p w14:paraId="16DE8216" w14:textId="11FC0D86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137</w:t>
      </w:r>
      <w:r>
        <w:fldChar w:fldCharType="end"/>
      </w:r>
      <w:bookmarkEnd w:id="322"/>
      <w:r w:rsidR="002812A4">
        <w:t>. </w:t>
      </w:r>
      <w:r w:rsidRPr="007C6978">
        <w:t xml:space="preserve">Правителството </w:t>
      </w:r>
      <w:r w:rsidR="005074A4">
        <w:t>изтъкв</w:t>
      </w:r>
      <w:r>
        <w:t>а, че предварителните условия за използването на „</w:t>
      </w:r>
      <w:r w:rsidR="00636119">
        <w:t>служители</w:t>
      </w:r>
      <w:r>
        <w:t xml:space="preserve"> </w:t>
      </w:r>
      <w:r w:rsidR="000063AB">
        <w:rPr>
          <w:lang w:val="bg-BG"/>
        </w:rPr>
        <w:t>на</w:t>
      </w:r>
      <w:r>
        <w:t xml:space="preserve"> прикритие“ съгласно въпросните разпоредби сочат, че такива </w:t>
      </w:r>
      <w:r w:rsidR="00636119">
        <w:t>служители</w:t>
      </w:r>
      <w:r>
        <w:t xml:space="preserve"> трябва да се използват </w:t>
      </w:r>
      <w:r w:rsidR="000063AB">
        <w:rPr>
          <w:lang w:val="bg-BG"/>
        </w:rPr>
        <w:t>по изключение</w:t>
      </w:r>
      <w:r>
        <w:t xml:space="preserve"> и като крайна мярка, и в тази връзка подчерта</w:t>
      </w:r>
      <w:r w:rsidR="000063AB">
        <w:rPr>
          <w:lang w:val="bg-BG"/>
        </w:rPr>
        <w:t>ва</w:t>
      </w:r>
      <w:r>
        <w:t xml:space="preserve"> необходимостта държавите да защитават националната си </w:t>
      </w:r>
      <w:r w:rsidR="000063AB">
        <w:t>сигурност. Те също така посочват</w:t>
      </w:r>
      <w:r>
        <w:t xml:space="preserve">, че задачите на </w:t>
      </w:r>
      <w:r w:rsidRPr="00C462F6">
        <w:t>„</w:t>
      </w:r>
      <w:r w:rsidR="00636119">
        <w:t>служители</w:t>
      </w:r>
      <w:r w:rsidRPr="00C462F6">
        <w:t xml:space="preserve">те </w:t>
      </w:r>
      <w:r w:rsidR="000063AB">
        <w:rPr>
          <w:lang w:val="bg-BG"/>
        </w:rPr>
        <w:t>на</w:t>
      </w:r>
      <w:r w:rsidRPr="00C462F6">
        <w:t xml:space="preserve"> прикритие“ се определят конкретно във в</w:t>
      </w:r>
      <w:r w:rsidR="000063AB">
        <w:t>секи отделен случай, и изтъкват</w:t>
      </w:r>
      <w:r w:rsidRPr="00C462F6">
        <w:t>, че тяхното използване не е без надзор, тъй като (</w:t>
      </w:r>
      <w:bookmarkStart w:id="323" w:name="L_C_A_8_m_just_G_1_suprvsn_Parl_Prsd_Gvt"/>
      <w:r w:rsidRPr="00C462F6">
        <w:fldChar w:fldCharType="begin"/>
      </w:r>
      <w:r w:rsidRPr="00C462F6">
        <w:instrText xml:space="preserve"> SEQ level1 \*alphabetic \r1 \* MERGEFORMAT </w:instrText>
      </w:r>
      <w:r w:rsidRPr="00C462F6">
        <w:fldChar w:fldCharType="separate"/>
      </w:r>
      <w:r w:rsidR="00F21D3F">
        <w:rPr>
          <w:noProof/>
        </w:rPr>
        <w:t>a</w:t>
      </w:r>
      <w:r w:rsidRPr="00C462F6">
        <w:fldChar w:fldCharType="end"/>
      </w:r>
      <w:bookmarkEnd w:id="323"/>
      <w:r w:rsidRPr="00C462F6">
        <w:t xml:space="preserve">) работата на Агенцията се контролира </w:t>
      </w:r>
      <w:r>
        <w:t>от Парламента, президента на републиката и правителството, (</w:t>
      </w:r>
      <w:bookmarkStart w:id="324" w:name="L_C_A_8_m_just_G_1_suprvsn_jud_rev"/>
      <w:r>
        <w:fldChar w:fldCharType="begin"/>
      </w:r>
      <w:r>
        <w:instrText xml:space="preserve"> SEQ level1 \*alphabetic \* MERGEFORMAT </w:instrText>
      </w:r>
      <w:r>
        <w:fldChar w:fldCharType="separate"/>
      </w:r>
      <w:r w:rsidR="00F21D3F">
        <w:rPr>
          <w:noProof/>
        </w:rPr>
        <w:t>b</w:t>
      </w:r>
      <w:r>
        <w:fldChar w:fldCharType="end"/>
      </w:r>
      <w:bookmarkEnd w:id="324"/>
      <w:r>
        <w:t xml:space="preserve">) всички решения на </w:t>
      </w:r>
      <w:r w:rsidR="00443BF6">
        <w:rPr>
          <w:lang w:val="bg-BG"/>
        </w:rPr>
        <w:t>председателя</w:t>
      </w:r>
      <w:r>
        <w:t xml:space="preserve"> на Агенцията могат да бъдат подложени на съдебен контрол, и (</w:t>
      </w:r>
      <w:bookmarkStart w:id="325" w:name="L_C_A_8_m_just_G_1_suprvsn_liability"/>
      <w:r>
        <w:fldChar w:fldCharType="begin"/>
      </w:r>
      <w:r>
        <w:instrText xml:space="preserve"> SEQ level1 \*alphabetic \* MERGEFORMAT </w:instrText>
      </w:r>
      <w:r>
        <w:fldChar w:fldCharType="separate"/>
      </w:r>
      <w:r w:rsidR="00F21D3F">
        <w:rPr>
          <w:noProof/>
        </w:rPr>
        <w:t>c</w:t>
      </w:r>
      <w:r>
        <w:fldChar w:fldCharType="end"/>
      </w:r>
      <w:bookmarkEnd w:id="325"/>
      <w:r>
        <w:t>) „</w:t>
      </w:r>
      <w:r w:rsidR="00636119">
        <w:t>служители</w:t>
      </w:r>
      <w:r>
        <w:t xml:space="preserve">те </w:t>
      </w:r>
      <w:r w:rsidR="00443BF6">
        <w:rPr>
          <w:lang w:val="bg-BG"/>
        </w:rPr>
        <w:t xml:space="preserve">на </w:t>
      </w:r>
      <w:r w:rsidR="00443BF6">
        <w:t>прикритие“ носят</w:t>
      </w:r>
      <w:r>
        <w:t xml:space="preserve"> </w:t>
      </w:r>
      <w:r w:rsidRPr="00A46CC7">
        <w:t xml:space="preserve">гражданска и наказателна отговорност </w:t>
      </w:r>
      <w:r>
        <w:t xml:space="preserve">за всички незаконни </w:t>
      </w:r>
      <w:r w:rsidRPr="00A46CC7">
        <w:t xml:space="preserve">действия, </w:t>
      </w:r>
      <w:r>
        <w:t xml:space="preserve">извършени в хода на </w:t>
      </w:r>
      <w:r w:rsidRPr="00A46CC7">
        <w:t>тяхната работа.</w:t>
      </w:r>
      <w:r>
        <w:t xml:space="preserve"> Освен това тези </w:t>
      </w:r>
      <w:r w:rsidR="00636119">
        <w:t>служители</w:t>
      </w:r>
      <w:r w:rsidRPr="00D3714D">
        <w:t xml:space="preserve"> </w:t>
      </w:r>
      <w:r w:rsidR="00DD7C8D">
        <w:t>трябва</w:t>
      </w:r>
      <w:r>
        <w:t xml:space="preserve"> да </w:t>
      </w:r>
      <w:r w:rsidRPr="00D3714D">
        <w:t>кандидатстват за длъжността</w:t>
      </w:r>
      <w:r>
        <w:t>, в която ще бъдат внедрени, точно ка</w:t>
      </w:r>
      <w:r w:rsidR="00245F1B">
        <w:t>кто всяко друго лице, и трябва</w:t>
      </w:r>
      <w:r>
        <w:t xml:space="preserve"> да притежават необходимите квалификации за заемане на </w:t>
      </w:r>
      <w:r w:rsidR="00245F1B">
        <w:t>такава длъжност. Това означава</w:t>
      </w:r>
      <w:r>
        <w:t xml:space="preserve">, че Агенцията не </w:t>
      </w:r>
      <w:r w:rsidR="00DD7C8D">
        <w:rPr>
          <w:lang w:val="bg-BG"/>
        </w:rPr>
        <w:t>може</w:t>
      </w:r>
      <w:r>
        <w:t xml:space="preserve"> да внедрява такива </w:t>
      </w:r>
      <w:r w:rsidR="00636119">
        <w:t>служители</w:t>
      </w:r>
      <w:r>
        <w:t xml:space="preserve"> </w:t>
      </w:r>
      <w:r w:rsidRPr="00D3714D">
        <w:t xml:space="preserve">безконтролно </w:t>
      </w:r>
      <w:r>
        <w:t xml:space="preserve">във всяко </w:t>
      </w:r>
      <w:r w:rsidRPr="00D3714D">
        <w:t>юридическо лице</w:t>
      </w:r>
      <w:r>
        <w:t xml:space="preserve">. Тези </w:t>
      </w:r>
      <w:r w:rsidR="00636119">
        <w:t>служители</w:t>
      </w:r>
      <w:r>
        <w:t xml:space="preserve"> също така </w:t>
      </w:r>
      <w:r w:rsidRPr="00901AAC">
        <w:t>не</w:t>
      </w:r>
      <w:r>
        <w:t xml:space="preserve"> </w:t>
      </w:r>
      <w:r w:rsidR="00DD7C8D">
        <w:rPr>
          <w:lang w:val="bg-BG"/>
        </w:rPr>
        <w:lastRenderedPageBreak/>
        <w:t>могат</w:t>
      </w:r>
      <w:r>
        <w:t xml:space="preserve"> да използват технически средства за записване на какв</w:t>
      </w:r>
      <w:r w:rsidR="00DD7C8D">
        <w:t>ото и да било. Тяхната работа има</w:t>
      </w:r>
      <w:r>
        <w:t xml:space="preserve"> чисто </w:t>
      </w:r>
      <w:r w:rsidRPr="00901AAC">
        <w:t>информационен характер и не</w:t>
      </w:r>
      <w:r>
        <w:t xml:space="preserve"> </w:t>
      </w:r>
      <w:r w:rsidR="00DD7C8D">
        <w:t>включва</w:t>
      </w:r>
      <w:r>
        <w:t xml:space="preserve"> активно разследване.</w:t>
      </w:r>
    </w:p>
    <w:bookmarkStart w:id="326" w:name="L_C_A_8_m_just_G_2"/>
    <w:p w14:paraId="71314CA6" w14:textId="6070FB48" w:rsidR="00304BC9" w:rsidRPr="00660883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138</w:t>
      </w:r>
      <w:r>
        <w:fldChar w:fldCharType="end"/>
      </w:r>
      <w:bookmarkEnd w:id="326"/>
      <w:r w:rsidR="002812A4">
        <w:rPr>
          <w:lang w:val="bg-BG"/>
        </w:rPr>
        <w:t xml:space="preserve">. </w:t>
      </w:r>
      <w:r w:rsidRPr="00DD7C8D">
        <w:rPr>
          <w:lang w:val="bg-BG"/>
        </w:rPr>
        <w:t>Правителството продълж</w:t>
      </w:r>
      <w:r w:rsidR="00DD7C8D">
        <w:rPr>
          <w:lang w:val="bg-BG"/>
        </w:rPr>
        <w:t>ава</w:t>
      </w:r>
      <w:r w:rsidRPr="00DD7C8D">
        <w:rPr>
          <w:lang w:val="bg-BG"/>
        </w:rPr>
        <w:t xml:space="preserve"> с аргумента, че съответният закон е напълно достъпен, тъй като Законът от 2007 г. и </w:t>
      </w:r>
      <w:r w:rsidR="00660883">
        <w:rPr>
          <w:lang w:val="bg-BG"/>
        </w:rPr>
        <w:t>оспорения Правнилк</w:t>
      </w:r>
      <w:r w:rsidRPr="00DD7C8D">
        <w:rPr>
          <w:lang w:val="bg-BG"/>
        </w:rPr>
        <w:t xml:space="preserve"> са публикувани в Държавен вестник. </w:t>
      </w:r>
      <w:r w:rsidRPr="00660883">
        <w:rPr>
          <w:lang w:val="bg-BG"/>
        </w:rPr>
        <w:t>Освен това, предшестващите условия за внедряване на „</w:t>
      </w:r>
      <w:r w:rsidR="00636119" w:rsidRPr="00660883">
        <w:rPr>
          <w:lang w:val="bg-BG"/>
        </w:rPr>
        <w:t>служител</w:t>
      </w:r>
      <w:r w:rsidRPr="00660883">
        <w:rPr>
          <w:lang w:val="bg-BG"/>
        </w:rPr>
        <w:t xml:space="preserve"> </w:t>
      </w:r>
      <w:r w:rsidR="00660883">
        <w:rPr>
          <w:lang w:val="bg-BG"/>
        </w:rPr>
        <w:t>на</w:t>
      </w:r>
      <w:r w:rsidRPr="00660883">
        <w:rPr>
          <w:lang w:val="bg-BG"/>
        </w:rPr>
        <w:t xml:space="preserve">прикритие“, установени в тези </w:t>
      </w:r>
      <w:r w:rsidR="00660883">
        <w:rPr>
          <w:lang w:val="bg-BG"/>
        </w:rPr>
        <w:t>разпоредби</w:t>
      </w:r>
      <w:r w:rsidRPr="00660883">
        <w:rPr>
          <w:lang w:val="bg-BG"/>
        </w:rPr>
        <w:t xml:space="preserve"> – по-специално, че използването на такива </w:t>
      </w:r>
      <w:r w:rsidR="00636119" w:rsidRPr="00660883">
        <w:rPr>
          <w:lang w:val="bg-BG"/>
        </w:rPr>
        <w:t>служители</w:t>
      </w:r>
      <w:r w:rsidRPr="00660883">
        <w:rPr>
          <w:lang w:val="bg-BG"/>
        </w:rPr>
        <w:t xml:space="preserve"> е крайна мярка и че те могат да бъдат разгърнати само ако има „доказана оперативна необходимост“ – и начинът, по който те трябва да бъдат внедрени, гарантират, че използването им ще бъде пропорционално на конкретните цели, които го налагат. Що се отнася конкретно до термина</w:t>
      </w:r>
      <w:r w:rsidR="00660883" w:rsidRPr="00660883">
        <w:rPr>
          <w:lang w:val="bg-BG"/>
        </w:rPr>
        <w:t xml:space="preserve"> „национална сигурност“, той е </w:t>
      </w:r>
      <w:r w:rsidRPr="00660883">
        <w:rPr>
          <w:lang w:val="bg-BG"/>
        </w:rPr>
        <w:t>дефиниран в закон (вж. параграф</w:t>
      </w:r>
      <w:r w:rsidR="002812A4">
        <w:rPr>
          <w:lang w:val="bg-BG"/>
        </w:rPr>
        <w:t xml:space="preserve"> </w:t>
      </w:r>
      <w:r w:rsidRPr="00C9324F">
        <w:fldChar w:fldCharType="begin"/>
      </w:r>
      <w:r w:rsidRPr="00660883">
        <w:rPr>
          <w:lang w:val="bg-BG"/>
        </w:rPr>
        <w:instrText xml:space="preserve"> </w:instrText>
      </w:r>
      <w:r w:rsidRPr="00C9324F">
        <w:instrText>REF</w:instrText>
      </w:r>
      <w:r w:rsidRPr="00660883">
        <w:rPr>
          <w:lang w:val="bg-BG"/>
        </w:rPr>
        <w:instrText xml:space="preserve">  </w:instrText>
      </w:r>
      <w:r w:rsidRPr="00C9324F">
        <w:instrText>RLF</w:instrText>
      </w:r>
      <w:r w:rsidRPr="00660883">
        <w:rPr>
          <w:lang w:val="bg-BG"/>
        </w:rPr>
        <w:instrText>_</w:instrText>
      </w:r>
      <w:r w:rsidRPr="00C9324F">
        <w:instrText>SPNSA</w:instrText>
      </w:r>
      <w:r w:rsidRPr="00660883">
        <w:rPr>
          <w:lang w:val="bg-BG"/>
        </w:rPr>
        <w:instrText>_</w:instrText>
      </w:r>
      <w:r w:rsidRPr="00C9324F">
        <w:instrText>s</w:instrText>
      </w:r>
      <w:r w:rsidRPr="00660883">
        <w:rPr>
          <w:lang w:val="bg-BG"/>
        </w:rPr>
        <w:instrText>_2 \</w:instrText>
      </w:r>
      <w:r w:rsidRPr="00C9324F">
        <w:instrText>h</w:instrText>
      </w:r>
      <w:r w:rsidRPr="00660883">
        <w:rPr>
          <w:lang w:val="bg-BG"/>
        </w:rPr>
        <w:instrText xml:space="preserve">  \* </w:instrText>
      </w:r>
      <w:r w:rsidRPr="00C9324F">
        <w:instrText>MERGEFORMAT</w:instrText>
      </w:r>
      <w:r w:rsidRPr="00660883">
        <w:rPr>
          <w:lang w:val="bg-BG"/>
        </w:rPr>
        <w:instrText xml:space="preserve"> </w:instrText>
      </w:r>
      <w:r w:rsidRPr="00C9324F">
        <w:fldChar w:fldCharType="separate"/>
      </w:r>
      <w:r w:rsidR="00F21D3F" w:rsidRPr="00660883">
        <w:rPr>
          <w:lang w:val="bg-BG"/>
        </w:rPr>
        <w:t>77</w:t>
      </w:r>
      <w:r w:rsidRPr="00C9324F">
        <w:fldChar w:fldCharType="end"/>
      </w:r>
      <w:r w:rsidRPr="00660883">
        <w:rPr>
          <w:lang w:val="bg-BG"/>
        </w:rPr>
        <w:t xml:space="preserve"> по-горе). В светлината на всички тези фактори може да се приеме също, че твърдената намеса е насочена към опазване на националната сигурност и предотвратяване на безредици и престъпления, че „</w:t>
      </w:r>
      <w:r w:rsidR="00636119" w:rsidRPr="00660883">
        <w:rPr>
          <w:lang w:val="bg-BG"/>
        </w:rPr>
        <w:t>служители</w:t>
      </w:r>
      <w:r w:rsidR="00660883" w:rsidRPr="00660883">
        <w:rPr>
          <w:lang w:val="bg-BG"/>
        </w:rPr>
        <w:t xml:space="preserve"> на </w:t>
      </w:r>
      <w:r w:rsidRPr="00660883">
        <w:rPr>
          <w:lang w:val="bg-BG"/>
        </w:rPr>
        <w:t>прикритие“ не биха били използвани, ако това не е „необходимо в едно демократично общество“, и че пропорционалността на прибягването към тях би била установена във всеки отделен случай.</w:t>
      </w:r>
    </w:p>
    <w:bookmarkStart w:id="327" w:name="L_C_A_8_m_just_G_3"/>
    <w:p w14:paraId="0B566129" w14:textId="7585B43A" w:rsidR="00304BC9" w:rsidRPr="00290A54" w:rsidRDefault="000F3485" w:rsidP="00304BC9">
      <w:pPr>
        <w:pStyle w:val="JuPara"/>
        <w:rPr>
          <w:lang w:val="bg-BG"/>
        </w:rPr>
      </w:pPr>
      <w:r>
        <w:fldChar w:fldCharType="begin"/>
      </w:r>
      <w:r w:rsidRPr="00290A54">
        <w:rPr>
          <w:lang w:val="bg-BG"/>
        </w:rPr>
        <w:instrText xml:space="preserve"> </w:instrText>
      </w:r>
      <w:r>
        <w:instrText>SEQ</w:instrText>
      </w:r>
      <w:r w:rsidRPr="00290A54">
        <w:rPr>
          <w:lang w:val="bg-BG"/>
        </w:rPr>
        <w:instrText xml:space="preserve"> </w:instrText>
      </w:r>
      <w:r>
        <w:instrText>level</w:instrText>
      </w:r>
      <w:r w:rsidRPr="00290A54">
        <w:rPr>
          <w:lang w:val="bg-BG"/>
        </w:rPr>
        <w:instrText>0 \*</w:instrText>
      </w:r>
      <w:r>
        <w:instrText>arabic</w:instrText>
      </w:r>
      <w:r w:rsidRPr="00290A54">
        <w:rPr>
          <w:lang w:val="bg-BG"/>
        </w:rPr>
        <w:instrText xml:space="preserve">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noProof/>
          <w:lang w:val="bg-BG"/>
        </w:rPr>
        <w:t>139</w:t>
      </w:r>
      <w:r>
        <w:fldChar w:fldCharType="end"/>
      </w:r>
      <w:bookmarkEnd w:id="327"/>
      <w:r w:rsidR="002812A4" w:rsidRPr="00290A54">
        <w:rPr>
          <w:lang w:val="bg-BG"/>
        </w:rPr>
        <w:t xml:space="preserve">. </w:t>
      </w:r>
      <w:r w:rsidRPr="00290A54">
        <w:rPr>
          <w:lang w:val="bg-BG"/>
        </w:rPr>
        <w:t>Липсата на срокове за използването на „</w:t>
      </w:r>
      <w:r w:rsidR="00145B17" w:rsidRPr="00290A54">
        <w:rPr>
          <w:lang w:val="bg-BG"/>
        </w:rPr>
        <w:t xml:space="preserve">служител </w:t>
      </w:r>
      <w:r w:rsidR="00775BBA">
        <w:rPr>
          <w:lang w:val="bg-BG"/>
        </w:rPr>
        <w:t>на</w:t>
      </w:r>
      <w:r w:rsidR="00145B17" w:rsidRPr="00290A54">
        <w:rPr>
          <w:lang w:val="bg-BG"/>
        </w:rPr>
        <w:t xml:space="preserve"> прикритие</w:t>
      </w:r>
      <w:r w:rsidRPr="00290A54">
        <w:rPr>
          <w:lang w:val="bg-BG"/>
        </w:rPr>
        <w:t>“ не представлява проблем, тъй като те трудно могат да бъдат опр</w:t>
      </w:r>
      <w:r w:rsidR="00775BBA" w:rsidRPr="00290A54">
        <w:rPr>
          <w:lang w:val="bg-BG"/>
        </w:rPr>
        <w:t>еделени предварително. Не може</w:t>
      </w:r>
      <w:r w:rsidRPr="00290A54">
        <w:rPr>
          <w:lang w:val="bg-BG"/>
        </w:rPr>
        <w:t xml:space="preserve"> също така да се изисква от властите да уведомяват целевото лице или организация, че срещу него или нея е бил изпратен „</w:t>
      </w:r>
      <w:r w:rsidR="00145B17" w:rsidRPr="00290A54">
        <w:rPr>
          <w:lang w:val="bg-BG"/>
        </w:rPr>
        <w:t xml:space="preserve">служител </w:t>
      </w:r>
      <w:r w:rsidR="00162C61">
        <w:rPr>
          <w:lang w:val="bg-BG"/>
        </w:rPr>
        <w:t>на</w:t>
      </w:r>
      <w:r w:rsidR="00145B17" w:rsidRPr="00290A54">
        <w:rPr>
          <w:lang w:val="bg-BG"/>
        </w:rPr>
        <w:t xml:space="preserve"> прикритие</w:t>
      </w:r>
      <w:r w:rsidRPr="00290A54">
        <w:rPr>
          <w:lang w:val="bg-BG"/>
        </w:rPr>
        <w:t>“, тъй като това би могло да попречи на целта на използването на „</w:t>
      </w:r>
      <w:r w:rsidR="00162C61" w:rsidRPr="00290A54">
        <w:rPr>
          <w:lang w:val="bg-BG"/>
        </w:rPr>
        <w:t>служител на</w:t>
      </w:r>
      <w:r w:rsidR="00145B17" w:rsidRPr="00290A54">
        <w:rPr>
          <w:lang w:val="bg-BG"/>
        </w:rPr>
        <w:t xml:space="preserve"> прикритие</w:t>
      </w:r>
      <w:r w:rsidRPr="00290A54">
        <w:rPr>
          <w:lang w:val="bg-BG"/>
        </w:rPr>
        <w:t xml:space="preserve">“. Засегнатите от такава мярка лица могат да поискат информация за използването на такива </w:t>
      </w:r>
      <w:r w:rsidR="00636119" w:rsidRPr="00290A54">
        <w:rPr>
          <w:lang w:val="bg-BG"/>
        </w:rPr>
        <w:t>служители</w:t>
      </w:r>
      <w:r w:rsidR="00220766">
        <w:rPr>
          <w:lang w:val="bg-BG"/>
        </w:rPr>
        <w:t xml:space="preserve"> съгласно чл.</w:t>
      </w:r>
      <w:r w:rsidRPr="00290A54">
        <w:rPr>
          <w:lang w:val="bg-BG"/>
        </w:rPr>
        <w:t xml:space="preserve"> 36, </w:t>
      </w:r>
      <w:r w:rsidR="00162C61">
        <w:rPr>
          <w:lang w:val="bg-BG"/>
        </w:rPr>
        <w:t>ал.</w:t>
      </w:r>
      <w:r w:rsidRPr="00290A54">
        <w:rPr>
          <w:lang w:val="bg-BG"/>
        </w:rPr>
        <w:t xml:space="preserve"> 4 от Закона от 2007 г. (вж. параграф</w:t>
      </w:r>
      <w:r w:rsidR="002812A4">
        <w:rPr>
          <w:lang w:val="bg-BG"/>
        </w:rPr>
        <w:t xml:space="preserve"> </w:t>
      </w:r>
      <w:r>
        <w:fldChar w:fldCharType="begin"/>
      </w:r>
      <w:r w:rsidRPr="00290A54">
        <w:rPr>
          <w:lang w:val="bg-BG"/>
        </w:rPr>
        <w:instrText xml:space="preserve"> </w:instrText>
      </w:r>
      <w:r>
        <w:instrText>REF</w:instrText>
      </w:r>
      <w:r w:rsidRPr="00290A54">
        <w:rPr>
          <w:lang w:val="bg-BG"/>
        </w:rPr>
        <w:instrText xml:space="preserve">  </w:instrText>
      </w:r>
      <w:r>
        <w:instrText>RLF</w:instrText>
      </w:r>
      <w:r w:rsidRPr="00290A54">
        <w:rPr>
          <w:lang w:val="bg-BG"/>
        </w:rPr>
        <w:instrText>_</w:instrText>
      </w:r>
      <w:r>
        <w:instrText>SANSA</w:instrText>
      </w:r>
      <w:r w:rsidRPr="00290A54">
        <w:rPr>
          <w:lang w:val="bg-BG"/>
        </w:rPr>
        <w:instrText>_</w:instrText>
      </w:r>
      <w:r>
        <w:instrText>s</w:instrText>
      </w:r>
      <w:r w:rsidRPr="00290A54">
        <w:rPr>
          <w:lang w:val="bg-BG"/>
        </w:rPr>
        <w:instrText>_36_4_5_6 \</w:instrText>
      </w:r>
      <w:r>
        <w:instrText>h</w:instrText>
      </w:r>
      <w:r w:rsidRPr="00290A54">
        <w:rPr>
          <w:lang w:val="bg-BG"/>
        </w:rPr>
        <w:instrText xml:space="preserve"> 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lang w:val="bg-BG"/>
        </w:rPr>
        <w:t>60</w:t>
      </w:r>
      <w:r>
        <w:fldChar w:fldCharType="end"/>
      </w:r>
      <w:r w:rsidRPr="00290A54">
        <w:rPr>
          <w:lang w:val="bg-BG"/>
        </w:rPr>
        <w:t xml:space="preserve"> по-горе), като в такъв случай Агенцията решава, като </w:t>
      </w:r>
      <w:r w:rsidR="00220766">
        <w:rPr>
          <w:lang w:val="bg-BG"/>
        </w:rPr>
        <w:t>се позовава на критериите в чл.</w:t>
      </w:r>
      <w:r w:rsidRPr="00290A54">
        <w:rPr>
          <w:lang w:val="bg-BG"/>
        </w:rPr>
        <w:t xml:space="preserve"> 35а (вж. параграф</w:t>
      </w:r>
      <w:r w:rsidR="002812A4">
        <w:rPr>
          <w:lang w:val="bg-BG"/>
        </w:rPr>
        <w:t xml:space="preserve"> </w:t>
      </w:r>
      <w:r>
        <w:fldChar w:fldCharType="begin"/>
      </w:r>
      <w:r w:rsidRPr="00290A54">
        <w:rPr>
          <w:lang w:val="bg-BG"/>
        </w:rPr>
        <w:instrText xml:space="preserve"> </w:instrText>
      </w:r>
      <w:r>
        <w:instrText>REF</w:instrText>
      </w:r>
      <w:r w:rsidRPr="00290A54">
        <w:rPr>
          <w:lang w:val="bg-BG"/>
        </w:rPr>
        <w:instrText xml:space="preserve">  </w:instrText>
      </w:r>
      <w:r>
        <w:instrText>RLF</w:instrText>
      </w:r>
      <w:r w:rsidRPr="00290A54">
        <w:rPr>
          <w:lang w:val="bg-BG"/>
        </w:rPr>
        <w:instrText>_</w:instrText>
      </w:r>
      <w:r>
        <w:instrText>SANSA</w:instrText>
      </w:r>
      <w:r w:rsidRPr="00290A54">
        <w:rPr>
          <w:lang w:val="bg-BG"/>
        </w:rPr>
        <w:instrText>_</w:instrText>
      </w:r>
      <w:r>
        <w:instrText>agents</w:instrText>
      </w:r>
      <w:r w:rsidRPr="00290A54">
        <w:rPr>
          <w:lang w:val="bg-BG"/>
        </w:rPr>
        <w:instrText>_</w:instrText>
      </w:r>
      <w:r>
        <w:instrText>in</w:instrText>
      </w:r>
      <w:r w:rsidRPr="00290A54">
        <w:rPr>
          <w:lang w:val="bg-BG"/>
        </w:rPr>
        <w:instrText>_</w:instrText>
      </w:r>
      <w:r>
        <w:instrText>cover</w:instrText>
      </w:r>
      <w:r w:rsidRPr="00290A54">
        <w:rPr>
          <w:lang w:val="bg-BG"/>
        </w:rPr>
        <w:instrText xml:space="preserve"> \</w:instrText>
      </w:r>
      <w:r>
        <w:instrText>h</w:instrText>
      </w:r>
      <w:r w:rsidRPr="00290A54">
        <w:rPr>
          <w:lang w:val="bg-BG"/>
        </w:rPr>
        <w:instrText xml:space="preserve"> 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 w:rsidRPr="00290A54">
        <w:rPr>
          <w:lang w:val="bg-BG"/>
        </w:rPr>
        <w:t>48</w:t>
      </w:r>
      <w:r>
        <w:fldChar w:fldCharType="end"/>
      </w:r>
      <w:r w:rsidRPr="00290A54">
        <w:rPr>
          <w:lang w:val="bg-BG"/>
        </w:rPr>
        <w:t xml:space="preserve"> (</w:t>
      </w:r>
      <w:r>
        <w:fldChar w:fldCharType="begin"/>
      </w:r>
      <w:r w:rsidRPr="00290A54">
        <w:rPr>
          <w:lang w:val="bg-BG"/>
        </w:rPr>
        <w:instrText xml:space="preserve"> </w:instrText>
      </w:r>
      <w:r>
        <w:instrText>REF</w:instrText>
      </w:r>
      <w:r w:rsidRPr="00290A54">
        <w:rPr>
          <w:lang w:val="bg-BG"/>
        </w:rPr>
        <w:instrText xml:space="preserve">  </w:instrText>
      </w:r>
      <w:r>
        <w:instrText>RLF</w:instrText>
      </w:r>
      <w:r w:rsidRPr="00290A54">
        <w:rPr>
          <w:lang w:val="bg-BG"/>
        </w:rPr>
        <w:instrText>_</w:instrText>
      </w:r>
      <w:r>
        <w:instrText>SANSA</w:instrText>
      </w:r>
      <w:r w:rsidRPr="00290A54">
        <w:rPr>
          <w:lang w:val="bg-BG"/>
        </w:rPr>
        <w:instrText>_</w:instrText>
      </w:r>
      <w:r>
        <w:instrText>agents</w:instrText>
      </w:r>
      <w:r w:rsidRPr="00290A54">
        <w:rPr>
          <w:lang w:val="bg-BG"/>
        </w:rPr>
        <w:instrText>_</w:instrText>
      </w:r>
      <w:r>
        <w:instrText>in</w:instrText>
      </w:r>
      <w:r w:rsidRPr="00290A54">
        <w:rPr>
          <w:lang w:val="bg-BG"/>
        </w:rPr>
        <w:instrText>_</w:instrText>
      </w:r>
      <w:r>
        <w:instrText>cover</w:instrText>
      </w:r>
      <w:r w:rsidRPr="00290A54">
        <w:rPr>
          <w:lang w:val="bg-BG"/>
        </w:rPr>
        <w:instrText>_</w:instrText>
      </w:r>
      <w:r>
        <w:instrText>s</w:instrText>
      </w:r>
      <w:r w:rsidRPr="00290A54">
        <w:rPr>
          <w:lang w:val="bg-BG"/>
        </w:rPr>
        <w:instrText>_35</w:instrText>
      </w:r>
      <w:r>
        <w:instrText>a</w:instrText>
      </w:r>
      <w:r w:rsidRPr="00290A54">
        <w:rPr>
          <w:lang w:val="bg-BG"/>
        </w:rPr>
        <w:instrText xml:space="preserve"> \</w:instrText>
      </w:r>
      <w:r>
        <w:instrText>h</w:instrText>
      </w:r>
      <w:r w:rsidRPr="00290A54">
        <w:rPr>
          <w:lang w:val="bg-BG"/>
        </w:rPr>
        <w:instrText xml:space="preserve">  \* </w:instrText>
      </w:r>
      <w:r>
        <w:instrText>MERGEFORMAT</w:instrText>
      </w:r>
      <w:r w:rsidRPr="00290A54">
        <w:rPr>
          <w:lang w:val="bg-BG"/>
        </w:rPr>
        <w:instrText xml:space="preserve"> </w:instrText>
      </w:r>
      <w:r>
        <w:fldChar w:fldCharType="separate"/>
      </w:r>
      <w:r w:rsidR="00F21D3F">
        <w:t>a</w:t>
      </w:r>
      <w:r>
        <w:fldChar w:fldCharType="end"/>
      </w:r>
      <w:r w:rsidRPr="00290A54">
        <w:rPr>
          <w:lang w:val="bg-BG"/>
        </w:rPr>
        <w:t>) по-горе), дали да предостави такава информация.</w:t>
      </w:r>
    </w:p>
    <w:p w14:paraId="0BDA2841" w14:textId="6DB13FAD" w:rsidR="00304BC9" w:rsidRDefault="00162C61" w:rsidP="00304BC9">
      <w:pPr>
        <w:pStyle w:val="JuHa0"/>
      </w:pPr>
      <w:bookmarkStart w:id="328" w:name="_Toc175215008"/>
      <w:bookmarkStart w:id="329" w:name="_Toc232688316"/>
      <w:r>
        <w:rPr>
          <w:lang w:val="bg-BG"/>
        </w:rPr>
        <w:t xml:space="preserve">Преценката </w:t>
      </w:r>
      <w:r w:rsidR="000F3485">
        <w:t>на Съда</w:t>
      </w:r>
      <w:bookmarkEnd w:id="328"/>
      <w:bookmarkEnd w:id="329"/>
    </w:p>
    <w:bookmarkStart w:id="330" w:name="L_C_A_8_m_just_C_gen_pr_intro"/>
    <w:p w14:paraId="4B470E98" w14:textId="7777777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140</w:t>
      </w:r>
      <w:r>
        <w:fldChar w:fldCharType="end"/>
      </w:r>
      <w:bookmarkEnd w:id="330"/>
      <w:r w:rsidR="002812A4">
        <w:t xml:space="preserve">. </w:t>
      </w:r>
      <w:r>
        <w:t xml:space="preserve">Съгласно втория параграф на член 8 от Конвенцията, </w:t>
      </w:r>
      <w:r w:rsidRPr="00507DF0">
        <w:t xml:space="preserve">намеса </w:t>
      </w:r>
      <w:r>
        <w:t xml:space="preserve">в правата, защитени от този член, може да бъде </w:t>
      </w:r>
      <w:r w:rsidRPr="00507DF0">
        <w:t xml:space="preserve">оправдана </w:t>
      </w:r>
      <w:r>
        <w:t xml:space="preserve">само ако е </w:t>
      </w:r>
      <w:r w:rsidRPr="00507DF0">
        <w:t xml:space="preserve">„в съответствие със закона“ и „необходима в едно демократично общество“ </w:t>
      </w:r>
      <w:r>
        <w:t xml:space="preserve">за постигане </w:t>
      </w:r>
      <w:r w:rsidRPr="00507DF0">
        <w:t xml:space="preserve">на една </w:t>
      </w:r>
      <w:r>
        <w:t>или повече от легитимните цели, изложени в този параграф. В противен случай такава намеса води до нарушение на този член.</w:t>
      </w:r>
    </w:p>
    <w:p w14:paraId="0007B3EA" w14:textId="77777777" w:rsidR="00304BC9" w:rsidRPr="00F20823" w:rsidRDefault="000F3485" w:rsidP="00304BC9">
      <w:pPr>
        <w:pStyle w:val="JuHi"/>
        <w:spacing w:line="240" w:lineRule="auto"/>
      </w:pPr>
      <w:bookmarkStart w:id="331" w:name="_Toc175215009"/>
      <w:bookmarkStart w:id="332" w:name="_Toc232688317"/>
      <w:r w:rsidRPr="00F20823">
        <w:t>Общи принципи</w:t>
      </w:r>
      <w:bookmarkEnd w:id="331"/>
      <w:bookmarkEnd w:id="332"/>
    </w:p>
    <w:p w14:paraId="428DD18E" w14:textId="77777777" w:rsidR="00304BC9" w:rsidRPr="00AF0340" w:rsidRDefault="000F3485" w:rsidP="00304BC9">
      <w:pPr>
        <w:pStyle w:val="JuHalpha"/>
      </w:pPr>
      <w:bookmarkStart w:id="333" w:name="_Toc232688318"/>
      <w:r>
        <w:t>По отношение на нивото на гаранции</w:t>
      </w:r>
      <w:bookmarkEnd w:id="333"/>
    </w:p>
    <w:bookmarkStart w:id="334" w:name="L_C_A_8_m_just_C_gen_pr_1"/>
    <w:p w14:paraId="55ACFB3E" w14:textId="57243C84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141</w:t>
      </w:r>
      <w:r>
        <w:fldChar w:fldCharType="end"/>
      </w:r>
      <w:bookmarkEnd w:id="334"/>
      <w:r w:rsidR="002812A4">
        <w:t xml:space="preserve">. </w:t>
      </w:r>
      <w:r>
        <w:t xml:space="preserve">Общите принципи относно случаите, в които тайното наблюдение може да бъде оправдано съгласно член 8, параграф 2 от </w:t>
      </w:r>
      <w:r>
        <w:lastRenderedPageBreak/>
        <w:t xml:space="preserve">Конвенцията, бяха подробно изложени в </w:t>
      </w:r>
      <w:r w:rsidRPr="00A646F3">
        <w:rPr>
          <w:i/>
          <w:iCs/>
        </w:rPr>
        <w:t>делото</w:t>
      </w:r>
      <w:r>
        <w:t xml:space="preserve"> </w:t>
      </w:r>
      <w:r w:rsidR="00290A54" w:rsidRPr="00290A54">
        <w:rPr>
          <w:i/>
          <w:iCs/>
        </w:rPr>
        <w:t xml:space="preserve">Roman Zakharov </w:t>
      </w:r>
      <w:r>
        <w:t xml:space="preserve">(цитирано по-горе, </w:t>
      </w:r>
      <w:r w:rsidR="00290A54">
        <w:rPr>
          <w:lang w:val="bg-BG"/>
        </w:rPr>
        <w:t>§§</w:t>
      </w:r>
      <w:r>
        <w:t xml:space="preserve"> 227–34, 236, 243, 247, 250, 257–58, 275, 278 и 287–88). Много от тези принципи бяха потвърдени наскоро, макар и във връзка с малко по-различен контекст – масовото прихващане на съобщения – в делата </w:t>
      </w:r>
      <w:r w:rsidR="00751CBD" w:rsidRPr="00751CBD">
        <w:rPr>
          <w:i/>
          <w:iCs/>
        </w:rPr>
        <w:t xml:space="preserve">Centrum för rättvisa </w:t>
      </w:r>
      <w:r>
        <w:t xml:space="preserve">(цитирано по-горе, </w:t>
      </w:r>
      <w:r w:rsidR="00751CBD">
        <w:rPr>
          <w:lang w:val="bg-BG"/>
        </w:rPr>
        <w:t>§§</w:t>
      </w:r>
      <w:r w:rsidR="00751CBD">
        <w:t xml:space="preserve"> 246-</w:t>
      </w:r>
      <w:r>
        <w:t xml:space="preserve">53) и </w:t>
      </w:r>
      <w:r w:rsidRPr="00A646F3">
        <w:rPr>
          <w:i/>
          <w:iCs/>
        </w:rPr>
        <w:t>Big Brother Watch и други</w:t>
      </w:r>
      <w:r>
        <w:t xml:space="preserve"> (цитирано по-горе, </w:t>
      </w:r>
      <w:r w:rsidR="00751CBD">
        <w:rPr>
          <w:lang w:val="bg-BG"/>
        </w:rPr>
        <w:t>§§</w:t>
      </w:r>
      <w:r w:rsidR="00751CBD">
        <w:t xml:space="preserve"> 332-</w:t>
      </w:r>
      <w:r>
        <w:t>39).</w:t>
      </w:r>
    </w:p>
    <w:bookmarkStart w:id="335" w:name="L_C_A_8_m_just_C_gen_pr_2"/>
    <w:p w14:paraId="682F6C03" w14:textId="7777777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142</w:t>
      </w:r>
      <w:r>
        <w:fldChar w:fldCharType="end"/>
      </w:r>
      <w:bookmarkEnd w:id="335"/>
      <w:r w:rsidR="002812A4">
        <w:t xml:space="preserve">. </w:t>
      </w:r>
      <w:r>
        <w:t>Няма нужда тези принципи да се повтарят изцяло тук, освен за да се подчертае, че основното изискване е всяка система за тайно наблюдение да съдържа ефективни гаранции – особено механизми за преглед и надзор – които могат да предпазят от присъщия риск от произвол и злоупотреба и които могат да ограничат намесата, която такава система предполага в правата, защитени от член 8 от Конвенцията, до това, което е „необходимо в едно демократично общество“.</w:t>
      </w:r>
    </w:p>
    <w:bookmarkStart w:id="336" w:name="L_C_A_8_m_just_C_gen_pr_3"/>
    <w:p w14:paraId="7E4F9DE8" w14:textId="255BC30E" w:rsidR="00304BC9" w:rsidRDefault="000F3485" w:rsidP="00304BC9">
      <w:pPr>
        <w:pStyle w:val="JuPara"/>
      </w:pPr>
      <w:r w:rsidRPr="0060630E">
        <w:rPr>
          <w:lang w:bidi="en-US"/>
        </w:rPr>
        <w:fldChar w:fldCharType="begin"/>
      </w:r>
      <w:r w:rsidRPr="0060630E">
        <w:rPr>
          <w:lang w:bidi="en-US"/>
        </w:rPr>
        <w:instrText xml:space="preserve"> SEQ level0 \*arabic \* MERGEFORMAT </w:instrText>
      </w:r>
      <w:r w:rsidRPr="0060630E">
        <w:rPr>
          <w:lang w:bidi="en-US"/>
        </w:rPr>
        <w:fldChar w:fldCharType="separate"/>
      </w:r>
      <w:r w:rsidR="00F21D3F">
        <w:rPr>
          <w:noProof/>
          <w:lang w:bidi="en-US"/>
        </w:rPr>
        <w:t>143</w:t>
      </w:r>
      <w:r w:rsidRPr="0060630E">
        <w:rPr>
          <w:lang w:bidi="en-US"/>
        </w:rPr>
        <w:fldChar w:fldCharType="end"/>
      </w:r>
      <w:bookmarkEnd w:id="336"/>
      <w:r w:rsidR="002812A4">
        <w:rPr>
          <w:lang w:bidi="en-US"/>
        </w:rPr>
        <w:t xml:space="preserve">. </w:t>
      </w:r>
      <w:r w:rsidRPr="0060630E">
        <w:rPr>
          <w:lang w:bidi="en-US"/>
        </w:rPr>
        <w:t xml:space="preserve">Тези принципи са еднакво </w:t>
      </w:r>
      <w:r>
        <w:rPr>
          <w:lang w:bidi="en-US"/>
        </w:rPr>
        <w:t>приложими и</w:t>
      </w:r>
      <w:r w:rsidRPr="0060630E">
        <w:rPr>
          <w:lang w:bidi="en-US"/>
        </w:rPr>
        <w:t xml:space="preserve"> към ситуации като настоящата </w:t>
      </w:r>
      <w:r>
        <w:rPr>
          <w:lang w:bidi="en-US"/>
        </w:rPr>
        <w:t xml:space="preserve">– </w:t>
      </w:r>
      <w:r w:rsidRPr="0060630E">
        <w:rPr>
          <w:lang w:bidi="en-US"/>
        </w:rPr>
        <w:t>където, както е отбелязано в параграф</w:t>
      </w:r>
      <w:r w:rsidR="002812A4">
        <w:rPr>
          <w:lang w:val="bg-BG" w:bidi="en-US"/>
        </w:rPr>
        <w:t xml:space="preserve"> </w:t>
      </w:r>
      <w:r>
        <w:rPr>
          <w:lang w:bidi="en-US"/>
        </w:rPr>
        <w:fldChar w:fldCharType="begin"/>
      </w:r>
      <w:r>
        <w:rPr>
          <w:lang w:bidi="en-US"/>
        </w:rPr>
        <w:instrText xml:space="preserve"> REF  L_C_A_8_m_int_C_victim_gen_pr_bis \h  \* MERGEFORMAT </w:instrText>
      </w:r>
      <w:r>
        <w:rPr>
          <w:lang w:bidi="en-US"/>
        </w:rPr>
      </w:r>
      <w:r>
        <w:rPr>
          <w:lang w:bidi="en-US"/>
        </w:rPr>
        <w:fldChar w:fldCharType="separate"/>
      </w:r>
      <w:r w:rsidR="00F21D3F">
        <w:rPr>
          <w:lang w:bidi="en-US"/>
        </w:rPr>
        <w:t>121</w:t>
      </w:r>
      <w:r>
        <w:rPr>
          <w:lang w:bidi="en-US"/>
        </w:rPr>
        <w:fldChar w:fldCharType="end"/>
      </w:r>
      <w:r w:rsidRPr="0060630E">
        <w:rPr>
          <w:lang w:bidi="en-US"/>
        </w:rPr>
        <w:t xml:space="preserve"> по-горе, тайната на наблюдението се постига чрез </w:t>
      </w:r>
      <w:r>
        <w:rPr>
          <w:lang w:bidi="en-US"/>
        </w:rPr>
        <w:t xml:space="preserve">мерки, целящи да скрият </w:t>
      </w:r>
      <w:r w:rsidRPr="0060630E">
        <w:rPr>
          <w:lang w:bidi="en-US"/>
        </w:rPr>
        <w:t xml:space="preserve">факта, че събеседникът на целевото лице, </w:t>
      </w:r>
      <w:r>
        <w:rPr>
          <w:lang w:bidi="en-US"/>
        </w:rPr>
        <w:t xml:space="preserve">който иначе </w:t>
      </w:r>
      <w:r w:rsidR="00841221">
        <w:rPr>
          <w:lang w:bidi="en-US"/>
        </w:rPr>
        <w:t>e</w:t>
      </w:r>
      <w:r>
        <w:rPr>
          <w:lang w:bidi="en-US"/>
        </w:rPr>
        <w:t xml:space="preserve"> явен, </w:t>
      </w:r>
      <w:r w:rsidRPr="0060630E">
        <w:rPr>
          <w:lang w:bidi="en-US"/>
        </w:rPr>
        <w:t xml:space="preserve">всъщност е оперативен служител, който използва или манипулира своята позиция или връзки, за да събира информация за нуждите на властите. </w:t>
      </w:r>
      <w:r>
        <w:rPr>
          <w:lang w:bidi="en-US"/>
        </w:rPr>
        <w:t xml:space="preserve">Степента </w:t>
      </w:r>
      <w:r w:rsidRPr="0060630E">
        <w:rPr>
          <w:lang w:bidi="en-US"/>
        </w:rPr>
        <w:t>на намеса, произтичаща от използването на тази техника</w:t>
      </w:r>
      <w:r>
        <w:rPr>
          <w:lang w:bidi="en-US"/>
        </w:rPr>
        <w:t xml:space="preserve"> за наблюдение, </w:t>
      </w:r>
      <w:r w:rsidRPr="0060630E">
        <w:rPr>
          <w:lang w:bidi="en-US"/>
        </w:rPr>
        <w:t xml:space="preserve">не е </w:t>
      </w:r>
      <w:r>
        <w:rPr>
          <w:lang w:bidi="en-US"/>
        </w:rPr>
        <w:t xml:space="preserve">непременно </w:t>
      </w:r>
      <w:r w:rsidRPr="0060630E">
        <w:rPr>
          <w:lang w:bidi="en-US"/>
        </w:rPr>
        <w:t xml:space="preserve">по-малка </w:t>
      </w:r>
      <w:r>
        <w:rPr>
          <w:lang w:bidi="en-US"/>
        </w:rPr>
        <w:t xml:space="preserve">в даден случай </w:t>
      </w:r>
      <w:r w:rsidRPr="0060630E">
        <w:rPr>
          <w:lang w:bidi="en-US"/>
        </w:rPr>
        <w:t xml:space="preserve">от тази, която е свързана с прихващането на съобщения </w:t>
      </w:r>
      <w:r>
        <w:rPr>
          <w:lang w:bidi="en-US"/>
        </w:rPr>
        <w:t>– по-</w:t>
      </w:r>
      <w:r w:rsidR="00841221">
        <w:rPr>
          <w:lang w:val="bg-BG" w:bidi="en-US"/>
        </w:rPr>
        <w:t>специално</w:t>
      </w:r>
      <w:r>
        <w:rPr>
          <w:lang w:bidi="en-US"/>
        </w:rPr>
        <w:t xml:space="preserve"> тъй като такива оперативни служители могат по същия начин да получат достъп до съдържанието на </w:t>
      </w:r>
      <w:r w:rsidR="00841221">
        <w:rPr>
          <w:lang w:val="bg-BG" w:bidi="en-US"/>
        </w:rPr>
        <w:t>комуникацията</w:t>
      </w:r>
      <w:r>
        <w:rPr>
          <w:lang w:bidi="en-US"/>
        </w:rPr>
        <w:t xml:space="preserve"> на целта. </w:t>
      </w:r>
      <w:r w:rsidR="00F06654">
        <w:rPr>
          <w:lang w:bidi="en-US"/>
        </w:rPr>
        <w:t xml:space="preserve">Съгласно </w:t>
      </w:r>
      <w:r w:rsidRPr="0060630E">
        <w:rPr>
          <w:lang w:bidi="en-US"/>
        </w:rPr>
        <w:t>практика</w:t>
      </w:r>
      <w:r w:rsidR="00F06654">
        <w:rPr>
          <w:lang w:val="bg-BG" w:bidi="en-US"/>
        </w:rPr>
        <w:t>та</w:t>
      </w:r>
      <w:r w:rsidRPr="0060630E">
        <w:rPr>
          <w:lang w:bidi="en-US"/>
        </w:rPr>
        <w:t xml:space="preserve"> на Съда </w:t>
      </w:r>
      <w:r>
        <w:rPr>
          <w:lang w:bidi="en-US"/>
        </w:rPr>
        <w:t xml:space="preserve">решаващият фактор за оценка </w:t>
      </w:r>
      <w:r w:rsidRPr="0060630E">
        <w:t xml:space="preserve">на нивото на гаранции, изисквано </w:t>
      </w:r>
      <w:r>
        <w:t>по отношение на дадена техника за наблюдение</w:t>
      </w:r>
      <w:r w:rsidRPr="0060630E">
        <w:rPr>
          <w:lang w:bidi="en-US"/>
        </w:rPr>
        <w:t>,</w:t>
      </w:r>
      <w:r>
        <w:t xml:space="preserve"> </w:t>
      </w:r>
      <w:r w:rsidRPr="0060630E">
        <w:t xml:space="preserve">е </w:t>
      </w:r>
      <w:r>
        <w:t xml:space="preserve">степента </w:t>
      </w:r>
      <w:r w:rsidRPr="0060630E">
        <w:t xml:space="preserve">на </w:t>
      </w:r>
      <w:r>
        <w:t xml:space="preserve">намеса </w:t>
      </w:r>
      <w:r w:rsidRPr="0060630E">
        <w:t>в правата по член 8 от Конвенцията</w:t>
      </w:r>
      <w:r>
        <w:t xml:space="preserve">, която тя предполага, </w:t>
      </w:r>
      <w:r w:rsidRPr="0060630E">
        <w:t xml:space="preserve">а не </w:t>
      </w:r>
      <w:r>
        <w:t xml:space="preserve">нейното </w:t>
      </w:r>
      <w:r w:rsidRPr="0060630E">
        <w:t xml:space="preserve">техническо определение </w:t>
      </w:r>
      <w:r w:rsidRPr="00C462F6">
        <w:t>(вж.</w:t>
      </w:r>
      <w:bookmarkStart w:id="337" w:name="_cl34669THELAW"/>
      <w:r w:rsidRPr="00C462F6">
        <w:t xml:space="preserve"> </w:t>
      </w:r>
      <w:r w:rsidR="006E4631" w:rsidRPr="006E4631">
        <w:rPr>
          <w:i/>
          <w:iCs/>
        </w:rPr>
        <w:t xml:space="preserve">R.E </w:t>
      </w:r>
      <w:r w:rsidRPr="00C462F6">
        <w:rPr>
          <w:i/>
          <w:iCs/>
        </w:rPr>
        <w:t>с</w:t>
      </w:r>
      <w:r w:rsidR="002812A4">
        <w:rPr>
          <w:i/>
          <w:iCs/>
          <w:lang w:val="bg-BG"/>
        </w:rPr>
        <w:t>/</w:t>
      </w:r>
      <w:r w:rsidRPr="00C462F6">
        <w:rPr>
          <w:i/>
          <w:iCs/>
        </w:rPr>
        <w:t>у Обединеното кралство</w:t>
      </w:r>
      <w:bookmarkEnd w:id="337"/>
      <w:r w:rsidRPr="00C462F6">
        <w:t xml:space="preserve">, № 62498/11, </w:t>
      </w:r>
      <w:r w:rsidR="006E4631">
        <w:rPr>
          <w:rFonts w:cstheme="minorHAnsi"/>
          <w:lang w:val="bg-BG"/>
        </w:rPr>
        <w:t>§§</w:t>
      </w:r>
      <w:r w:rsidRPr="00C462F6">
        <w:t xml:space="preserve"> 126-30, 27 октомври 2015 г., с позоваване на</w:t>
      </w:r>
      <w:bookmarkStart w:id="338" w:name="_cl22845THELAW"/>
      <w:r w:rsidRPr="00C462F6">
        <w:t xml:space="preserve"> </w:t>
      </w:r>
      <w:r w:rsidR="006E4631" w:rsidRPr="006E4631">
        <w:rPr>
          <w:i/>
          <w:iCs/>
          <w:lang w:val="bg-BG"/>
        </w:rPr>
        <w:t>Bykov</w:t>
      </w:r>
      <w:r w:rsidRPr="00C462F6">
        <w:rPr>
          <w:i/>
          <w:iCs/>
        </w:rPr>
        <w:t xml:space="preserve"> </w:t>
      </w:r>
      <w:r w:rsidRPr="00425CCE">
        <w:rPr>
          <w:i/>
          <w:iCs/>
        </w:rPr>
        <w:t>с</w:t>
      </w:r>
      <w:r w:rsidR="002812A4">
        <w:rPr>
          <w:i/>
          <w:iCs/>
          <w:lang w:val="bg-BG"/>
        </w:rPr>
        <w:t>/</w:t>
      </w:r>
      <w:r w:rsidRPr="00425CCE">
        <w:rPr>
          <w:i/>
          <w:iCs/>
        </w:rPr>
        <w:t>у Русия</w:t>
      </w:r>
      <w:bookmarkEnd w:id="338"/>
      <w:r w:rsidRPr="00425CCE">
        <w:t xml:space="preserve"> [</w:t>
      </w:r>
      <w:r w:rsidR="002812A4">
        <w:rPr>
          <w:lang w:val="bg-BG"/>
        </w:rPr>
        <w:t>ГК</w:t>
      </w:r>
      <w:r w:rsidRPr="00425CCE">
        <w:t xml:space="preserve">], № 4378/02, </w:t>
      </w:r>
      <w:r w:rsidR="006E4631">
        <w:rPr>
          <w:lang w:val="bg-BG"/>
        </w:rPr>
        <w:t>§</w:t>
      </w:r>
      <w:r w:rsidRPr="0060630E">
        <w:t xml:space="preserve"> 78</w:t>
      </w:r>
      <w:r w:rsidRPr="00425CCE">
        <w:t>, 10 март 2009 г.</w:t>
      </w:r>
      <w:r w:rsidRPr="0060630E">
        <w:t>, и</w:t>
      </w:r>
      <w:bookmarkStart w:id="339" w:name="_cl38449THELAW"/>
      <w:r w:rsidRPr="0060630E">
        <w:rPr>
          <w:i/>
          <w:iCs/>
        </w:rPr>
        <w:t xml:space="preserve"> </w:t>
      </w:r>
      <w:r w:rsidR="006E4631" w:rsidRPr="006E4631">
        <w:rPr>
          <w:i/>
          <w:iCs/>
          <w:lang w:val="bg-BG"/>
        </w:rPr>
        <w:t>Uzun</w:t>
      </w:r>
      <w:r w:rsidRPr="0060630E">
        <w:rPr>
          <w:i/>
          <w:iCs/>
        </w:rPr>
        <w:t xml:space="preserve"> с</w:t>
      </w:r>
      <w:r w:rsidR="002812A4">
        <w:rPr>
          <w:i/>
          <w:iCs/>
          <w:lang w:val="bg-BG"/>
        </w:rPr>
        <w:t>/</w:t>
      </w:r>
      <w:r w:rsidRPr="0060630E">
        <w:rPr>
          <w:i/>
          <w:iCs/>
        </w:rPr>
        <w:t>у Германия</w:t>
      </w:r>
      <w:bookmarkEnd w:id="339"/>
      <w:r w:rsidRPr="0060630E">
        <w:t xml:space="preserve">, № 35623/05, </w:t>
      </w:r>
      <w:r w:rsidR="006E4631">
        <w:rPr>
          <w:lang w:val="bg-BG"/>
        </w:rPr>
        <w:t>§</w:t>
      </w:r>
      <w:r w:rsidRPr="0060630E">
        <w:t xml:space="preserve"> 66, ECHR 2010</w:t>
      </w:r>
      <w:r>
        <w:t>). Въпреки това може да се наложи конкретните изисквания, произтичащи от тези принципи, да бъдат адаптирани, за да се отчетат разликите между намесата, свързана с използването на „</w:t>
      </w:r>
      <w:r w:rsidR="00145B17">
        <w:t xml:space="preserve">служител </w:t>
      </w:r>
      <w:r w:rsidR="0077713A">
        <w:rPr>
          <w:lang w:val="bg-BG"/>
        </w:rPr>
        <w:t>на</w:t>
      </w:r>
      <w:r w:rsidR="00145B17">
        <w:t xml:space="preserve"> прикритие</w:t>
      </w:r>
      <w:r>
        <w:t>“, и степента на намеса, свързана с други техники за тайно наблюдение, като например подслушване на комуникации.</w:t>
      </w:r>
    </w:p>
    <w:p w14:paraId="4F69BFEC" w14:textId="77777777" w:rsidR="00304BC9" w:rsidRPr="002D4401" w:rsidRDefault="000F3485" w:rsidP="00304BC9">
      <w:pPr>
        <w:pStyle w:val="JuHalpha"/>
      </w:pPr>
      <w:bookmarkStart w:id="340" w:name="_Toc232688319"/>
      <w:r>
        <w:t>По отношение на начина на разглеждане на тези гаранции</w:t>
      </w:r>
      <w:bookmarkEnd w:id="340"/>
    </w:p>
    <w:bookmarkStart w:id="341" w:name="L_C_A_8_m_just_C_gen_pr_4"/>
    <w:p w14:paraId="26F49747" w14:textId="391BC400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144</w:t>
      </w:r>
      <w:r>
        <w:fldChar w:fldCharType="end"/>
      </w:r>
      <w:bookmarkEnd w:id="341"/>
      <w:r w:rsidR="00374AD3">
        <w:t xml:space="preserve">. </w:t>
      </w:r>
      <w:r>
        <w:t xml:space="preserve">В случаи като настоящия – в които жалбоподателят се оплаква абстрактно от система, която позволява тайно наблюдение, а не от конкретни случаи на такова наблюдение – съответните национални закони трябва да бъдат разгледани в </w:t>
      </w:r>
      <w:r w:rsidR="00C05703">
        <w:rPr>
          <w:lang w:val="bg-BG"/>
        </w:rPr>
        <w:t>редакцията</w:t>
      </w:r>
      <w:r>
        <w:t xml:space="preserve"> към момента на разглеждане на жалбата от Съда, а не в </w:t>
      </w:r>
      <w:r w:rsidR="00C05703">
        <w:rPr>
          <w:lang w:val="bg-BG"/>
        </w:rPr>
        <w:t>тази, която е била в сила</w:t>
      </w:r>
      <w:r>
        <w:t xml:space="preserve"> момента </w:t>
      </w:r>
      <w:r>
        <w:lastRenderedPageBreak/>
        <w:t xml:space="preserve">на подаването ѝ (вж. </w:t>
      </w:r>
      <w:r w:rsidR="00C05703" w:rsidRPr="00081F59">
        <w:rPr>
          <w:i/>
          <w:iCs/>
        </w:rPr>
        <w:t>Centrum för rättvisa</w:t>
      </w:r>
      <w:r>
        <w:t xml:space="preserve">, </w:t>
      </w:r>
      <w:r w:rsidR="00C05703">
        <w:rPr>
          <w:lang w:val="bg-BG"/>
        </w:rPr>
        <w:t>§</w:t>
      </w:r>
      <w:r>
        <w:t xml:space="preserve"> 151, и</w:t>
      </w:r>
      <w:r w:rsidRPr="00081F59">
        <w:rPr>
          <w:i/>
          <w:iCs/>
        </w:rPr>
        <w:t xml:space="preserve"> Big Brother Watch и други</w:t>
      </w:r>
      <w:r>
        <w:t xml:space="preserve">, </w:t>
      </w:r>
      <w:r w:rsidR="00374138">
        <w:rPr>
          <w:lang w:val="bg-BG"/>
        </w:rPr>
        <w:t>§</w:t>
      </w:r>
      <w:r>
        <w:t xml:space="preserve"> 270, и двете цитирани по-горе). Другият аспект, който има значение за настоящия случай, е, че </w:t>
      </w:r>
      <w:r w:rsidR="00374138">
        <w:rPr>
          <w:lang w:val="bg-BG"/>
        </w:rPr>
        <w:t>преценката</w:t>
      </w:r>
      <w:r>
        <w:t xml:space="preserve"> дали спорните закони предлагат ефек</w:t>
      </w:r>
      <w:r w:rsidR="00D80CE9">
        <w:t>тивни гаранции срещу злоупотреба</w:t>
      </w:r>
      <w:r>
        <w:t xml:space="preserve"> трябва да се основава не само на </w:t>
      </w:r>
      <w:r w:rsidR="00D80CE9">
        <w:rPr>
          <w:lang w:val="bg-BG"/>
        </w:rPr>
        <w:t xml:space="preserve">текста на </w:t>
      </w:r>
      <w:r>
        <w:t>тези закони, но и на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>) действителното функциониране на спорния режим на наблюдение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 xml:space="preserve">) наличието или липсата на доказателства, че </w:t>
      </w:r>
      <w:r w:rsidR="00D80CE9">
        <w:rPr>
          <w:lang w:val="bg-BG"/>
        </w:rPr>
        <w:t>с него е било злоупотребявано</w:t>
      </w:r>
      <w:r>
        <w:t xml:space="preserve"> (вж. </w:t>
      </w:r>
      <w:r w:rsidR="00374138" w:rsidRPr="00081F59">
        <w:rPr>
          <w:i/>
          <w:iCs/>
        </w:rPr>
        <w:t>Centrum för rättvisa</w:t>
      </w:r>
      <w:r>
        <w:t xml:space="preserve">, </w:t>
      </w:r>
      <w:r w:rsidR="00374138">
        <w:rPr>
          <w:lang w:val="bg-BG"/>
        </w:rPr>
        <w:t>§</w:t>
      </w:r>
      <w:r>
        <w:t xml:space="preserve"> 274, и </w:t>
      </w:r>
      <w:r w:rsidRPr="00666DBB">
        <w:rPr>
          <w:i/>
          <w:iCs/>
        </w:rPr>
        <w:t>Big Brother Watch и други</w:t>
      </w:r>
      <w:r>
        <w:t xml:space="preserve">, </w:t>
      </w:r>
      <w:r w:rsidR="00374138">
        <w:rPr>
          <w:lang w:val="bg-BG"/>
        </w:rPr>
        <w:t>§</w:t>
      </w:r>
      <w:r>
        <w:t xml:space="preserve"> 360, и двете цитирани по-горе).</w:t>
      </w:r>
    </w:p>
    <w:p w14:paraId="105C50C5" w14:textId="77777777" w:rsidR="00304BC9" w:rsidRDefault="000F3485" w:rsidP="00304BC9">
      <w:pPr>
        <w:pStyle w:val="JuHi"/>
        <w:spacing w:line="240" w:lineRule="auto"/>
      </w:pPr>
      <w:bookmarkStart w:id="342" w:name="_Toc175215010"/>
      <w:bookmarkStart w:id="343" w:name="_Toc232688320"/>
      <w:r w:rsidRPr="0013735B">
        <w:t>Прилагане на тези принципи</w:t>
      </w:r>
      <w:bookmarkEnd w:id="342"/>
      <w:bookmarkEnd w:id="343"/>
    </w:p>
    <w:p w14:paraId="40933E1A" w14:textId="77777777" w:rsidR="00304BC9" w:rsidRDefault="000F3485" w:rsidP="00304BC9">
      <w:pPr>
        <w:pStyle w:val="JuHalpha"/>
        <w:tabs>
          <w:tab w:val="clear" w:pos="1361"/>
        </w:tabs>
      </w:pPr>
      <w:bookmarkStart w:id="344" w:name="_Toc232688321"/>
      <w:r w:rsidRPr="003D18DC">
        <w:t>Достъпност на закона</w:t>
      </w:r>
      <w:bookmarkEnd w:id="344"/>
    </w:p>
    <w:bookmarkStart w:id="345" w:name="L_C_A_8_m_just_C_apl_pr_accessiblty_law"/>
    <w:p w14:paraId="6BC24F8C" w14:textId="2AD7F558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145</w:t>
      </w:r>
      <w:r>
        <w:fldChar w:fldCharType="end"/>
      </w:r>
      <w:bookmarkEnd w:id="345"/>
      <w:r w:rsidR="00374AD3">
        <w:t xml:space="preserve">. </w:t>
      </w:r>
      <w:r>
        <w:t>Правилникът от 2008 г. относно „</w:t>
      </w:r>
      <w:r w:rsidR="00055964">
        <w:rPr>
          <w:lang w:val="bg-BG"/>
        </w:rPr>
        <w:t>служителите на прикритие</w:t>
      </w:r>
      <w:r>
        <w:t>“ и измененията към него от септември 2018 г. са официално публикувани и следователно са достъпни (вж. параграфите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F_Regs_made \h  \* MERGEFORMAT </w:instrText>
      </w:r>
      <w:r>
        <w:fldChar w:fldCharType="separate"/>
      </w:r>
      <w:r w:rsidR="00F21D3F">
        <w:t>6</w:t>
      </w:r>
      <w:r>
        <w:fldChar w:fldCharType="end"/>
      </w:r>
      <w:r>
        <w:t xml:space="preserve"> 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F_Regs_2018_amnd_GOV_adoption \h  \* MERGEFORMAT </w:instrText>
      </w:r>
      <w:r>
        <w:fldChar w:fldCharType="separate"/>
      </w:r>
      <w:r w:rsidR="00F21D3F">
        <w:t>26</w:t>
      </w:r>
      <w:r>
        <w:fldChar w:fldCharType="end"/>
      </w:r>
      <w:r>
        <w:t xml:space="preserve"> по-горе).</w:t>
      </w:r>
    </w:p>
    <w:p w14:paraId="1872A17A" w14:textId="73D0276C" w:rsidR="00304BC9" w:rsidRDefault="000F3485" w:rsidP="00304BC9">
      <w:pPr>
        <w:pStyle w:val="JuHalpha"/>
      </w:pPr>
      <w:bookmarkStart w:id="346" w:name="_Toc232688322"/>
      <w:r w:rsidRPr="003D18DC">
        <w:t xml:space="preserve">Основания, на които могат да се </w:t>
      </w:r>
      <w:r>
        <w:t>използват „</w:t>
      </w:r>
      <w:r w:rsidR="00145B17">
        <w:rPr>
          <w:lang w:val="bg-BG"/>
        </w:rPr>
        <w:t>служител</w:t>
      </w:r>
      <w:r w:rsidR="000115F9">
        <w:rPr>
          <w:lang w:val="bg-BG"/>
        </w:rPr>
        <w:t>и</w:t>
      </w:r>
      <w:r w:rsidR="00145B17">
        <w:rPr>
          <w:lang w:val="bg-BG"/>
        </w:rPr>
        <w:t xml:space="preserve"> </w:t>
      </w:r>
      <w:r w:rsidR="006F7B65">
        <w:rPr>
          <w:lang w:val="bg-BG"/>
        </w:rPr>
        <w:t>на</w:t>
      </w:r>
      <w:r w:rsidR="00145B17">
        <w:rPr>
          <w:lang w:val="bg-BG"/>
        </w:rPr>
        <w:t xml:space="preserve"> прикритие</w:t>
      </w:r>
      <w:r>
        <w:t xml:space="preserve">“, </w:t>
      </w:r>
      <w:r w:rsidRPr="003D18DC">
        <w:t xml:space="preserve">и лица, които могат да бъдат </w:t>
      </w:r>
      <w:r>
        <w:t xml:space="preserve">поставени </w:t>
      </w:r>
      <w:r w:rsidRPr="003D18DC">
        <w:t xml:space="preserve">под наблюдение </w:t>
      </w:r>
      <w:r>
        <w:t xml:space="preserve">от такива </w:t>
      </w:r>
      <w:r w:rsidR="00636119">
        <w:t>служители</w:t>
      </w:r>
      <w:bookmarkEnd w:id="346"/>
    </w:p>
    <w:bookmarkStart w:id="347" w:name="L_C_A_8_m_just_C_apl_pr_grounds_etc_1"/>
    <w:p w14:paraId="00A9834A" w14:textId="77777777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146</w:t>
      </w:r>
      <w:r>
        <w:fldChar w:fldCharType="end"/>
      </w:r>
      <w:bookmarkEnd w:id="347"/>
      <w:r w:rsidR="00374AD3">
        <w:t>. </w:t>
      </w:r>
      <w:r w:rsidRPr="009A51E6">
        <w:t xml:space="preserve">Същественият въпрос във връзка с основанията, на които може да се прибегне до </w:t>
      </w:r>
      <w:r>
        <w:t xml:space="preserve">тайно </w:t>
      </w:r>
      <w:r w:rsidRPr="009A51E6">
        <w:t xml:space="preserve">наблюдение, и лицата, които могат да бъдат </w:t>
      </w:r>
      <w:r>
        <w:t xml:space="preserve">поставени </w:t>
      </w:r>
      <w:r w:rsidRPr="009A51E6">
        <w:t xml:space="preserve">под </w:t>
      </w:r>
      <w:r>
        <w:t xml:space="preserve">такова </w:t>
      </w:r>
      <w:r w:rsidRPr="009A51E6">
        <w:t xml:space="preserve">наблюдение, е дали законът, разрешаващ </w:t>
      </w:r>
      <w:r>
        <w:t xml:space="preserve">такова </w:t>
      </w:r>
      <w:r w:rsidRPr="009A51E6">
        <w:t xml:space="preserve">наблюдение, </w:t>
      </w:r>
      <w:r>
        <w:t xml:space="preserve">определя достатъчно ясно </w:t>
      </w:r>
      <w:r w:rsidRPr="009A51E6">
        <w:t>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Pr="009A51E6">
        <w:t xml:space="preserve">) естеството на престъпленията </w:t>
      </w:r>
      <w:r>
        <w:t xml:space="preserve">или </w:t>
      </w:r>
      <w:r w:rsidRPr="009A51E6">
        <w:t xml:space="preserve">другите основания, </w:t>
      </w:r>
      <w:r>
        <w:t xml:space="preserve">които </w:t>
      </w:r>
      <w:r w:rsidRPr="009A51E6">
        <w:t>могат да доведат до наблюдение,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9A51E6">
        <w:t xml:space="preserve">) категориите лица, които могат да бъдат </w:t>
      </w:r>
      <w:r>
        <w:t xml:space="preserve">поставени </w:t>
      </w:r>
      <w:r w:rsidRPr="009A51E6">
        <w:t xml:space="preserve">под наблюдение </w:t>
      </w:r>
      <w:r>
        <w:t xml:space="preserve">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374AD3">
        <w:rPr>
          <w:rFonts w:cstheme="minorHAnsi"/>
          <w:lang w:val="bg-BG"/>
        </w:rPr>
        <w:t>чл.</w:t>
      </w:r>
      <w:r>
        <w:rPr>
          <w:rFonts w:cstheme="minorHAnsi"/>
        </w:rPr>
        <w:t xml:space="preserve"> 298).</w:t>
      </w:r>
    </w:p>
    <w:bookmarkStart w:id="348" w:name="L_C_A_8_m_just_C_apl_pr_grounds_etc_2"/>
    <w:p w14:paraId="021E69AE" w14:textId="56068B13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147</w:t>
      </w:r>
      <w:r>
        <w:fldChar w:fldCharType="end"/>
      </w:r>
      <w:bookmarkEnd w:id="348"/>
      <w:r>
        <w:t>.</w:t>
      </w:r>
      <w:bookmarkStart w:id="349" w:name="_Hlk216737196"/>
      <w:r w:rsidR="00374AD3">
        <w:t xml:space="preserve"> </w:t>
      </w:r>
      <w:r w:rsidR="00A53D91">
        <w:t>Съгласно чл.</w:t>
      </w:r>
      <w:r>
        <w:t xml:space="preserve"> 52, </w:t>
      </w:r>
      <w:r w:rsidR="00A53D91">
        <w:rPr>
          <w:lang w:val="bg-BG"/>
        </w:rPr>
        <w:t>ал.</w:t>
      </w:r>
      <w:r>
        <w:t xml:space="preserve"> 1, „</w:t>
      </w:r>
      <w:r w:rsidR="00145B17">
        <w:t xml:space="preserve">служител </w:t>
      </w:r>
      <w:r w:rsidR="00A53D91">
        <w:rPr>
          <w:lang w:val="bg-BG"/>
        </w:rPr>
        <w:t>на</w:t>
      </w:r>
      <w:r w:rsidR="00145B17">
        <w:t xml:space="preserve"> прикритие</w:t>
      </w:r>
      <w:r>
        <w:t xml:space="preserve">“ може да бъде </w:t>
      </w:r>
      <w:r w:rsidR="00A53D91">
        <w:rPr>
          <w:lang w:val="bg-BG"/>
        </w:rPr>
        <w:t>използван</w:t>
      </w:r>
      <w:r>
        <w:t xml:space="preserve"> ако съществува „доказана оперативна </w:t>
      </w:r>
      <w:r w:rsidR="00A53D91">
        <w:t>необходимост“, а чл.</w:t>
      </w:r>
      <w:r>
        <w:t xml:space="preserve"> 52, </w:t>
      </w:r>
      <w:r w:rsidR="00A53D91">
        <w:rPr>
          <w:lang w:val="bg-BG"/>
        </w:rPr>
        <w:t>ал.</w:t>
      </w:r>
      <w:r>
        <w:t xml:space="preserve"> 2 уточнява, че такава необходимост съществува, ако законоустановените задачи на Агенцията не могат да бъдат изпълнени по друг начин 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F_Regs_r_52 \h  \* MERGEFORMAT </w:instrText>
      </w:r>
      <w:r>
        <w:fldChar w:fldCharType="separate"/>
      </w:r>
      <w:r w:rsidR="00F21D3F">
        <w:t>11</w:t>
      </w:r>
      <w:r>
        <w:fldChar w:fldCharType="end"/>
      </w:r>
      <w:r>
        <w:t xml:space="preserve"> по-горе)</w:t>
      </w:r>
      <w:bookmarkEnd w:id="349"/>
      <w:r>
        <w:t>. Във връзка с нормативните разпоредби, определящи основните задачи на Агенцията – а именно да гарантира националната сигурност и да извършва контраразузнавателни дейности 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RLF_SANSA_SANS_tasks \h  \* MERGEFORMAT </w:instrText>
      </w:r>
      <w:r>
        <w:fldChar w:fldCharType="separate"/>
      </w:r>
      <w:r w:rsidR="00F21D3F">
        <w:t>42</w:t>
      </w:r>
      <w:r>
        <w:fldChar w:fldCharType="end"/>
      </w:r>
      <w:r>
        <w:t xml:space="preserve"> по-горе) – </w:t>
      </w:r>
      <w:r w:rsidR="00E45801">
        <w:t>това означава</w:t>
      </w:r>
      <w:r>
        <w:t>, че „</w:t>
      </w:r>
      <w:r w:rsidR="00636119">
        <w:t>служители</w:t>
      </w:r>
      <w:r>
        <w:t xml:space="preserve"> </w:t>
      </w:r>
      <w:r w:rsidR="00F20823">
        <w:rPr>
          <w:lang w:val="bg-BG"/>
        </w:rPr>
        <w:t xml:space="preserve">на </w:t>
      </w:r>
      <w:r>
        <w:t xml:space="preserve">прикритие“ могат да бъдат </w:t>
      </w:r>
      <w:r w:rsidR="00F20823">
        <w:rPr>
          <w:lang w:val="bg-BG"/>
        </w:rPr>
        <w:t>изпозлвани</w:t>
      </w:r>
      <w:r>
        <w:t xml:space="preserve"> </w:t>
      </w:r>
      <w:r w:rsidR="00E45801">
        <w:t xml:space="preserve">само </w:t>
      </w:r>
      <w:r>
        <w:t xml:space="preserve">когато това е необходимо за изпълнението на тези задачи. </w:t>
      </w:r>
      <w:r w:rsidR="00E45801">
        <w:t xml:space="preserve">Самото </w:t>
      </w:r>
      <w:r w:rsidRPr="002A6B46">
        <w:t xml:space="preserve">позоваване на „националната сигурност“ като цел за използването </w:t>
      </w:r>
      <w:r>
        <w:t xml:space="preserve">на такива </w:t>
      </w:r>
      <w:r w:rsidR="00636119">
        <w:t>служители</w:t>
      </w:r>
      <w:r>
        <w:t xml:space="preserve"> не противоречи</w:t>
      </w:r>
      <w:r w:rsidR="00E45801">
        <w:t xml:space="preserve"> непременно </w:t>
      </w:r>
      <w:r>
        <w:t xml:space="preserve">на член 8 от Конвенцията; по-скоро е от значение </w:t>
      </w:r>
      <w:r w:rsidR="00E45801">
        <w:t xml:space="preserve">дали </w:t>
      </w:r>
      <w:r>
        <w:t xml:space="preserve">е възможно да се </w:t>
      </w:r>
      <w:r w:rsidR="00FD2C15">
        <w:rPr>
          <w:lang w:val="bg-BG"/>
        </w:rPr>
        <w:t xml:space="preserve">ограничи </w:t>
      </w:r>
      <w:r w:rsidR="00FD2C15">
        <w:t>евентуален произвол</w:t>
      </w:r>
      <w:r>
        <w:t xml:space="preserve"> или злоупотреба, произтичащи от присъщото на понятието „национална сигурност“ неясно и неопределено значение и очертания 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FD2C15">
        <w:rPr>
          <w:rFonts w:cstheme="minorHAnsi"/>
          <w:lang w:val="bg-BG"/>
        </w:rPr>
        <w:t>§</w:t>
      </w:r>
      <w:r>
        <w:rPr>
          <w:rFonts w:cstheme="minorHAnsi"/>
        </w:rPr>
        <w:t xml:space="preserve"> 301</w:t>
      </w:r>
      <w:r>
        <w:t>). При липса на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 xml:space="preserve">) какъвто и да е ефективен независим контрол върху решението на Агенцията за </w:t>
      </w:r>
      <w:r w:rsidR="009D0B0D">
        <w:rPr>
          <w:lang w:val="bg-BG"/>
        </w:rPr>
        <w:t>използване</w:t>
      </w:r>
      <w:r>
        <w:t xml:space="preserve"> на „</w:t>
      </w:r>
      <w:r w:rsidR="00636119">
        <w:t>служител</w:t>
      </w:r>
      <w:r>
        <w:t xml:space="preserve"> </w:t>
      </w:r>
      <w:r w:rsidR="009D0B0D">
        <w:rPr>
          <w:lang w:val="bg-BG"/>
        </w:rPr>
        <w:t>на</w:t>
      </w:r>
      <w:r>
        <w:t xml:space="preserve"> прикритие“ (Съдът ще се върне на този </w:t>
      </w:r>
      <w:r>
        <w:lastRenderedPageBreak/>
        <w:t>въпрос по-подробно в параграфи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L_C_A_8_m_just_C_apl_pr_auth_pr_2 \h  \* MERGEFORMAT </w:instrText>
      </w:r>
      <w:r>
        <w:fldChar w:fldCharType="separate"/>
      </w:r>
      <w:r w:rsidR="00F21D3F">
        <w:t>151</w:t>
      </w:r>
      <w:r>
        <w:fldChar w:fldCharType="end"/>
      </w:r>
      <w:r>
        <w:t>-</w:t>
      </w:r>
      <w:r>
        <w:fldChar w:fldCharType="begin"/>
      </w:r>
      <w:r>
        <w:instrText xml:space="preserve"> REF  L_C_A_8_m_just_C_apl_pr_auth_pr_3 \h  \* MERGEFORMAT </w:instrText>
      </w:r>
      <w:r>
        <w:fldChar w:fldCharType="separate"/>
      </w:r>
      <w:r w:rsidR="00F21D3F">
        <w:t>152</w:t>
      </w:r>
      <w:r>
        <w:fldChar w:fldCharType="end"/>
      </w:r>
      <w:r>
        <w:t xml:space="preserve"> ,</w:t>
      </w:r>
      <w:r>
        <w:fldChar w:fldCharType="begin"/>
      </w:r>
      <w:r>
        <w:instrText xml:space="preserve"> REF  L_C_A_8_m_just_C_apl_pr_oversight_2 \h  \* MERGEFORMAT </w:instrText>
      </w:r>
      <w:r>
        <w:fldChar w:fldCharType="separate"/>
      </w:r>
      <w:r w:rsidR="00F21D3F">
        <w:t>156</w:t>
      </w:r>
      <w:r>
        <w:fldChar w:fldCharType="end"/>
      </w:r>
      <w:r>
        <w:t>-</w:t>
      </w:r>
      <w:r>
        <w:fldChar w:fldCharType="begin"/>
      </w:r>
      <w:r>
        <w:instrText xml:space="preserve"> REF  L_C_A_8_m_just_C_apl_pr_oversight_5 \h  \* MERGEFORMAT </w:instrText>
      </w:r>
      <w:r>
        <w:fldChar w:fldCharType="separate"/>
      </w:r>
      <w:r w:rsidR="00F21D3F">
        <w:t>159</w:t>
      </w:r>
      <w:r>
        <w:fldChar w:fldCharType="end"/>
      </w:r>
      <w:r>
        <w:t xml:space="preserve"> и</w:t>
      </w:r>
      <w:r w:rsidR="00460F20">
        <w:rPr>
          <w:lang w:val="bg-BG"/>
        </w:rPr>
        <w:t xml:space="preserve"> </w:t>
      </w:r>
      <w:r>
        <w:fldChar w:fldCharType="begin"/>
      </w:r>
      <w:r>
        <w:instrText xml:space="preserve"> REF  L_C_A_8_m_just_C_apl_pr_remedies_1 \h  \* MERGEFORMAT </w:instrText>
      </w:r>
      <w:r>
        <w:fldChar w:fldCharType="separate"/>
      </w:r>
      <w:r w:rsidR="00F21D3F">
        <w:t>163</w:t>
      </w:r>
      <w:r>
        <w:fldChar w:fldCharType="end"/>
      </w:r>
      <w:r>
        <w:t>-</w:t>
      </w:r>
      <w:r w:rsidRPr="00261A6E">
        <w:fldChar w:fldCharType="begin"/>
      </w:r>
      <w:r w:rsidRPr="00261A6E">
        <w:instrText xml:space="preserve"> REF  L_C_A_8_m_just_C_apl_pr_remedies_2 \h  \* MERGEFORMAT </w:instrText>
      </w:r>
      <w:r w:rsidRPr="00261A6E">
        <w:fldChar w:fldCharType="separate"/>
      </w:r>
      <w:r w:rsidR="00F21D3F" w:rsidRPr="00F21D3F">
        <w:rPr>
          <w:lang w:val="en-US"/>
        </w:rPr>
        <w:t>164</w:t>
      </w:r>
      <w:r w:rsidRPr="00261A6E">
        <w:fldChar w:fldCharType="end"/>
      </w:r>
      <w:r>
        <w:t xml:space="preserve"> по-долу), както и на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 xml:space="preserve">) изискване за </w:t>
      </w:r>
      <w:r w:rsidRPr="00AD2365">
        <w:t xml:space="preserve">предоставяне на ясни </w:t>
      </w:r>
      <w:r>
        <w:t xml:space="preserve">и конкретни </w:t>
      </w:r>
      <w:r w:rsidRPr="00AD2365">
        <w:t xml:space="preserve">мотиви, доказващи </w:t>
      </w:r>
      <w:r>
        <w:t xml:space="preserve">необходимостта от </w:t>
      </w:r>
      <w:r w:rsidRPr="00AD2365">
        <w:t>разполагане на</w:t>
      </w:r>
      <w:r>
        <w:t xml:space="preserve"> такъв </w:t>
      </w:r>
      <w:r w:rsidR="00636119">
        <w:t>служител</w:t>
      </w:r>
      <w:r w:rsidRPr="00AD2365">
        <w:t xml:space="preserve"> в </w:t>
      </w:r>
      <w:r>
        <w:t xml:space="preserve">конкретен случай, възниква сериозен проблем в това отношение (сравни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460F20">
        <w:rPr>
          <w:rFonts w:cstheme="minorHAnsi"/>
          <w:lang w:val="bg-BG"/>
        </w:rPr>
        <w:t>§</w:t>
      </w:r>
      <w:r>
        <w:rPr>
          <w:rFonts w:cstheme="minorHAnsi"/>
        </w:rPr>
        <w:t xml:space="preserve"> 301 </w:t>
      </w:r>
      <w:r w:rsidRPr="00C75089">
        <w:rPr>
          <w:rFonts w:cstheme="minorHAnsi"/>
          <w:i/>
          <w:iCs/>
        </w:rPr>
        <w:t>in fine</w:t>
      </w:r>
      <w:r>
        <w:rPr>
          <w:rFonts w:cstheme="minorHAnsi"/>
        </w:rPr>
        <w:t>). В тази връзка трябва да се отбележи още</w:t>
      </w:r>
      <w:r w:rsidRPr="00F22465">
        <w:t xml:space="preserve">, че задачите на Агенцията, както са определени в редица закони, </w:t>
      </w:r>
      <w:r w:rsidRPr="00E162DB">
        <w:t xml:space="preserve">обхващат широк спектър от области </w:t>
      </w:r>
      <w:r>
        <w:t xml:space="preserve">– </w:t>
      </w:r>
      <w:r w:rsidRPr="00E162DB">
        <w:t xml:space="preserve">някои от които по своята същност не се отнасят до незаконно поведение </w:t>
      </w:r>
      <w:r>
        <w:t xml:space="preserve">на потенциални цели </w:t>
      </w:r>
      <w:r w:rsidRPr="00F22465">
        <w:t>(вж. параграф</w:t>
      </w:r>
      <w:r w:rsidR="00374AD3">
        <w:rPr>
          <w:lang w:val="bg-BG"/>
        </w:rPr>
        <w:t xml:space="preserve"> </w:t>
      </w:r>
      <w:r w:rsidRPr="00F22465">
        <w:fldChar w:fldCharType="begin"/>
      </w:r>
      <w:r w:rsidRPr="00F22465">
        <w:instrText xml:space="preserve"> REF RLF_SANSA_SANS_tasks_bis \h \* MERGEFORMAT </w:instrText>
      </w:r>
      <w:r w:rsidRPr="00F22465">
        <w:fldChar w:fldCharType="separate"/>
      </w:r>
      <w:r w:rsidR="00F21D3F">
        <w:t>43</w:t>
      </w:r>
      <w:r w:rsidRPr="00F22465">
        <w:fldChar w:fldCharType="end"/>
      </w:r>
      <w:r w:rsidRPr="00F22465">
        <w:t xml:space="preserve"> по-горе</w:t>
      </w:r>
      <w:r>
        <w:t xml:space="preserve">). Това </w:t>
      </w:r>
      <w:r w:rsidRPr="00E162DB">
        <w:t>значително разширява потенциалния обхват за използване на „</w:t>
      </w:r>
      <w:r w:rsidR="00636119">
        <w:t>служители</w:t>
      </w:r>
      <w:r w:rsidRPr="00E162DB">
        <w:t xml:space="preserve"> </w:t>
      </w:r>
      <w:r w:rsidR="00C24E3A">
        <w:rPr>
          <w:lang w:val="bg-BG"/>
        </w:rPr>
        <w:t>на</w:t>
      </w:r>
      <w:r w:rsidRPr="00E162DB">
        <w:t xml:space="preserve"> прикритие“ и съответно увеличава риска от </w:t>
      </w:r>
      <w:r>
        <w:t xml:space="preserve">произвол </w:t>
      </w:r>
      <w:r w:rsidRPr="00E162DB">
        <w:t xml:space="preserve">или </w:t>
      </w:r>
      <w:r>
        <w:t>злоупотреба.</w:t>
      </w:r>
    </w:p>
    <w:bookmarkStart w:id="350" w:name="L_C_A_8_m_just_C_apl_pr_grounds_etc_3"/>
    <w:p w14:paraId="63C8E9BD" w14:textId="55BB9B08" w:rsidR="00304BC9" w:rsidRDefault="000F3485" w:rsidP="00E45801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148</w:t>
      </w:r>
      <w:r>
        <w:fldChar w:fldCharType="end"/>
      </w:r>
      <w:bookmarkEnd w:id="350"/>
      <w:r w:rsidR="00374AD3">
        <w:t xml:space="preserve">. </w:t>
      </w:r>
      <w:r>
        <w:t xml:space="preserve">Съгласно </w:t>
      </w:r>
      <w:r w:rsidR="009F05A4">
        <w:rPr>
          <w:lang w:val="bg-BG"/>
        </w:rPr>
        <w:t>чл.</w:t>
      </w:r>
      <w:r>
        <w:t xml:space="preserve"> 50, изменено през </w:t>
      </w:r>
      <w:r w:rsidR="009F05A4">
        <w:rPr>
          <w:lang w:val="bg-BG"/>
        </w:rPr>
        <w:t xml:space="preserve">м. </w:t>
      </w:r>
      <w:r>
        <w:t>септември 2018 г., „</w:t>
      </w:r>
      <w:r w:rsidR="00145B17">
        <w:t>служител под прикритие</w:t>
      </w:r>
      <w:r>
        <w:t>“ може да бъде внедрен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 xml:space="preserve">) в държавната </w:t>
      </w:r>
      <w:r w:rsidRPr="00C462F6">
        <w:t>администрация, в юридически лица и в граждански сдружения, както и (</w:t>
      </w:r>
      <w:r w:rsidR="009178E0">
        <w:fldChar w:fldCharType="begin"/>
      </w:r>
      <w:r w:rsidR="009178E0">
        <w:instrText xml:space="preserve"> S</w:instrText>
      </w:r>
      <w:r w:rsidR="009178E0">
        <w:instrText xml:space="preserve">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C462F6">
        <w:t xml:space="preserve">) като лице, упражняващо </w:t>
      </w:r>
      <w:r w:rsidRPr="004910AF">
        <w:t xml:space="preserve">„свободна </w:t>
      </w:r>
      <w:r w:rsidRPr="00C462F6">
        <w:rPr>
          <w:rFonts w:cstheme="minorHAnsi"/>
        </w:rPr>
        <w:t xml:space="preserve">професия“ </w:t>
      </w:r>
      <w:r w:rsidRPr="00C462F6">
        <w:t>(с изключение на адвокати в частна практика);</w:t>
      </w:r>
      <w:r>
        <w:t xml:space="preserve"> освен това, формулировката на </w:t>
      </w:r>
      <w:r w:rsidR="009F05A4">
        <w:rPr>
          <w:lang w:val="bg-BG"/>
        </w:rPr>
        <w:t>чл.</w:t>
      </w:r>
      <w:r>
        <w:t xml:space="preserve"> 51 (в редакцията от </w:t>
      </w:r>
      <w:r w:rsidR="009F05A4">
        <w:rPr>
          <w:lang w:val="bg-BG"/>
        </w:rPr>
        <w:t xml:space="preserve">м. </w:t>
      </w:r>
      <w:r>
        <w:t>септември 2018 г.) ясно показва, че длъжността, в която „</w:t>
      </w:r>
      <w:r w:rsidR="00636119">
        <w:t>служител</w:t>
      </w:r>
      <w:r>
        <w:t xml:space="preserve">ът </w:t>
      </w:r>
      <w:r w:rsidR="009F05A4">
        <w:rPr>
          <w:lang w:val="bg-BG"/>
        </w:rPr>
        <w:t>на</w:t>
      </w:r>
      <w:r>
        <w:t xml:space="preserve"> прикритие“ може да бъде внедрен, </w:t>
      </w:r>
      <w:r w:rsidRPr="00C462F6">
        <w:t>не е задължително да бъде длъжност в публична структура (вж. параграфи</w:t>
      </w:r>
      <w:r w:rsidR="00374AD3">
        <w:rPr>
          <w:lang w:val="bg-BG"/>
        </w:rPr>
        <w:t xml:space="preserve"> </w:t>
      </w:r>
      <w:r w:rsidRPr="00C462F6">
        <w:fldChar w:fldCharType="begin"/>
      </w:r>
      <w:r w:rsidRPr="00C462F6">
        <w:instrText xml:space="preserve"> REF  F_Regs_2018_amnd_r_50 \h  \* MERGEFORMAT </w:instrText>
      </w:r>
      <w:r w:rsidRPr="00C462F6">
        <w:fldChar w:fldCharType="separate"/>
      </w:r>
      <w:r w:rsidR="00F21D3F">
        <w:t>28</w:t>
      </w:r>
      <w:r w:rsidRPr="00C462F6">
        <w:fldChar w:fldCharType="end"/>
      </w:r>
      <w:r w:rsidRPr="00C462F6">
        <w:t>-</w:t>
      </w:r>
      <w:r w:rsidRPr="00C462F6">
        <w:fldChar w:fldCharType="begin"/>
      </w:r>
      <w:r w:rsidRPr="00C462F6">
        <w:instrText xml:space="preserve"> REF  F_Regs_2018_amnd_r_51 \h  \* MERGEFORMAT </w:instrText>
      </w:r>
      <w:r w:rsidRPr="00C462F6">
        <w:fldChar w:fldCharType="separate"/>
      </w:r>
      <w:r w:rsidR="00F21D3F">
        <w:t>29</w:t>
      </w:r>
      <w:r w:rsidRPr="00C462F6">
        <w:fldChar w:fldCharType="end"/>
      </w:r>
      <w:r w:rsidRPr="00C462F6">
        <w:t xml:space="preserve"> по-горе). От това може да се заключи, че теоретично всяко физическо лице или частна организация в България би могло да се окаже под наблюдение от такива </w:t>
      </w:r>
      <w:r w:rsidR="00636119">
        <w:t>служители</w:t>
      </w:r>
      <w:r>
        <w:t xml:space="preserve">, </w:t>
      </w:r>
      <w:r w:rsidR="00E45801" w:rsidRPr="00E45801">
        <w:t xml:space="preserve">което представлява значителна намеса в правата на личния живот, включително </w:t>
      </w:r>
      <w:r w:rsidR="00E45801">
        <w:t xml:space="preserve">възможен </w:t>
      </w:r>
      <w:r w:rsidRPr="008A5BCD">
        <w:t xml:space="preserve">възпиращ ефект върху </w:t>
      </w:r>
      <w:r>
        <w:t xml:space="preserve">гражданското участие. Тук важат същите съображения: проблемът не е в широкия обхват на потенциалната сфера на дейност на такива </w:t>
      </w:r>
      <w:r w:rsidR="00636119">
        <w:t>служители</w:t>
      </w:r>
      <w:r>
        <w:t xml:space="preserve">, а по-скоро в липсата на ефективен независим контрол върху </w:t>
      </w:r>
      <w:r w:rsidR="00FC39B8">
        <w:rPr>
          <w:lang w:val="bg-BG"/>
        </w:rPr>
        <w:t xml:space="preserve">потенциален </w:t>
      </w:r>
      <w:r w:rsidR="00FC39B8">
        <w:t>произвол</w:t>
      </w:r>
      <w:r>
        <w:t xml:space="preserve"> или злоупотреба</w:t>
      </w:r>
      <w:r>
        <w:rPr>
          <w:lang w:bidi="en-US"/>
        </w:rPr>
        <w:t>.</w:t>
      </w:r>
    </w:p>
    <w:p w14:paraId="2DBBDF79" w14:textId="77777777" w:rsidR="00304BC9" w:rsidRDefault="000F3485" w:rsidP="00304BC9">
      <w:pPr>
        <w:pStyle w:val="JuHalpha"/>
      </w:pPr>
      <w:bookmarkStart w:id="351" w:name="_Toc232688323"/>
      <w:r w:rsidRPr="00176C38">
        <w:t xml:space="preserve">Продължителност на </w:t>
      </w:r>
      <w:r w:rsidR="00145B17">
        <w:rPr>
          <w:lang w:val="bg-BG"/>
        </w:rPr>
        <w:t>разполагането</w:t>
      </w:r>
      <w:r>
        <w:t xml:space="preserve"> на „</w:t>
      </w:r>
      <w:r w:rsidR="00636119">
        <w:t>служители</w:t>
      </w:r>
      <w:r>
        <w:t xml:space="preserve"> под прикритие“</w:t>
      </w:r>
      <w:bookmarkEnd w:id="351"/>
    </w:p>
    <w:bookmarkStart w:id="352" w:name="L_C_A_8_m_just_C_apl_pr_duration"/>
    <w:p w14:paraId="1B78EE17" w14:textId="7469412B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149</w:t>
      </w:r>
      <w:r>
        <w:fldChar w:fldCharType="end"/>
      </w:r>
      <w:bookmarkEnd w:id="352"/>
      <w:r w:rsidR="00374AD3">
        <w:t xml:space="preserve">. </w:t>
      </w:r>
      <w:r>
        <w:t>Разглежданите разпоредби не подлагат разгръщането на „</w:t>
      </w:r>
      <w:r w:rsidR="00636119">
        <w:t>служител</w:t>
      </w:r>
      <w:r>
        <w:t xml:space="preserve"> </w:t>
      </w:r>
      <w:r w:rsidR="001F4513">
        <w:rPr>
          <w:lang w:val="bg-BG"/>
        </w:rPr>
        <w:t>на</w:t>
      </w:r>
      <w:r>
        <w:t xml:space="preserve"> прикритие“ на никакви срокове. По този начин такива </w:t>
      </w:r>
      <w:r w:rsidR="00636119">
        <w:t>служители</w:t>
      </w:r>
      <w:r>
        <w:t xml:space="preserve"> могат, теоретично, да бъдат </w:t>
      </w:r>
      <w:r w:rsidR="001F4513">
        <w:rPr>
          <w:lang w:val="bg-BG"/>
        </w:rPr>
        <w:t>използвани</w:t>
      </w:r>
      <w:r>
        <w:t xml:space="preserve"> за неопределен</w:t>
      </w:r>
      <w:r w:rsidR="001F4513">
        <w:rPr>
          <w:lang w:val="bg-BG"/>
        </w:rPr>
        <w:t>и</w:t>
      </w:r>
      <w:r>
        <w:t xml:space="preserve"> период</w:t>
      </w:r>
      <w:r w:rsidR="001F4513">
        <w:rPr>
          <w:lang w:val="bg-BG"/>
        </w:rPr>
        <w:t>и</w:t>
      </w:r>
      <w:r>
        <w:t xml:space="preserve"> от време – докато Агенцията продължава да счита, че съществува „доказана оперативна необходимост“ от използването им. Това е в ярък контраст с използването на „специални </w:t>
      </w:r>
      <w:r w:rsidR="001F4513">
        <w:rPr>
          <w:lang w:val="bg-BG"/>
        </w:rPr>
        <w:t xml:space="preserve">разузнавателни </w:t>
      </w:r>
      <w:r>
        <w:t xml:space="preserve">средства </w:t>
      </w:r>
      <w:r w:rsidR="001F4513">
        <w:t>“, чието прилагане</w:t>
      </w:r>
      <w:r>
        <w:t xml:space="preserve"> е подчинено на срокове – дори когато те се използват за целите на националната сигурност (вж. </w:t>
      </w:r>
      <w:r w:rsidR="00374AD3">
        <w:rPr>
          <w:i/>
          <w:iCs/>
          <w:lang w:val="bg-BG"/>
        </w:rPr>
        <w:t>Екимджиев</w:t>
      </w:r>
      <w:r w:rsidRPr="005B1760">
        <w:rPr>
          <w:i/>
          <w:iCs/>
        </w:rPr>
        <w:t xml:space="preserve"> и други</w:t>
      </w:r>
      <w:r>
        <w:t xml:space="preserve">, цитирано по-горе, </w:t>
      </w:r>
      <w:r w:rsidR="001F4513">
        <w:rPr>
          <w:rFonts w:cstheme="minorHAnsi"/>
          <w:lang w:val="bg-BG"/>
        </w:rPr>
        <w:t>§</w:t>
      </w:r>
      <w:r>
        <w:t xml:space="preserve"> 305).</w:t>
      </w:r>
    </w:p>
    <w:p w14:paraId="0952A6A0" w14:textId="6855EF32" w:rsidR="00304BC9" w:rsidRDefault="000F3485" w:rsidP="00304BC9">
      <w:pPr>
        <w:pStyle w:val="JuHalpha"/>
      </w:pPr>
      <w:bookmarkStart w:id="353" w:name="_Toc232688324"/>
      <w:r w:rsidRPr="00176C38">
        <w:t>Процедура</w:t>
      </w:r>
      <w:r>
        <w:t xml:space="preserve"> за </w:t>
      </w:r>
      <w:r w:rsidR="00886072">
        <w:rPr>
          <w:lang w:val="bg-BG"/>
        </w:rPr>
        <w:t>внедряване</w:t>
      </w:r>
      <w:bookmarkEnd w:id="353"/>
    </w:p>
    <w:bookmarkStart w:id="354" w:name="L_C_A_8_m_just_C_apl_pr_auth_pr_1"/>
    <w:p w14:paraId="42CEF96E" w14:textId="7E8FF18F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150</w:t>
      </w:r>
      <w:r>
        <w:fldChar w:fldCharType="end"/>
      </w:r>
      <w:bookmarkEnd w:id="354"/>
      <w:r w:rsidR="00374AD3">
        <w:t>. </w:t>
      </w:r>
      <w:r w:rsidRPr="009A51E6">
        <w:t xml:space="preserve">Съответните фактори, </w:t>
      </w:r>
      <w:r>
        <w:t xml:space="preserve">попадащи </w:t>
      </w:r>
      <w:r w:rsidRPr="009A51E6">
        <w:t>в тази рубрика, са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Pr="009A51E6">
        <w:t xml:space="preserve">) статутът на органа, </w:t>
      </w:r>
      <w:r>
        <w:t xml:space="preserve">който </w:t>
      </w:r>
      <w:r w:rsidRPr="009A51E6">
        <w:t xml:space="preserve">може да разреши </w:t>
      </w:r>
      <w:r>
        <w:t xml:space="preserve">тайно </w:t>
      </w:r>
      <w:r w:rsidRPr="009A51E6">
        <w:t>наблюдение, и</w:t>
      </w:r>
      <w:r>
        <w:t xml:space="preserve">, ако е приложимо, </w:t>
      </w:r>
      <w:r w:rsidRPr="009A51E6">
        <w:t>(</w:t>
      </w:r>
      <w:r w:rsidR="009178E0">
        <w:fldChar w:fldCharType="begin"/>
      </w:r>
      <w:r w:rsidR="009178E0">
        <w:instrText xml:space="preserve"> SEQ level1 \*alphabetic \* </w:instrText>
      </w:r>
      <w:r w:rsidR="009178E0">
        <w:instrText xml:space="preserve">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9A51E6">
        <w:t xml:space="preserve">) </w:t>
      </w:r>
      <w:r>
        <w:t>начинът</w:t>
      </w:r>
      <w:r w:rsidRPr="009A51E6">
        <w:t xml:space="preserve">, по който този орган разглежда исканията за </w:t>
      </w:r>
      <w:r w:rsidRPr="009A51E6">
        <w:lastRenderedPageBreak/>
        <w:t xml:space="preserve">наблюдение и разрешава наблюдението </w:t>
      </w:r>
      <w:r>
        <w:t xml:space="preserve">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C56A87">
        <w:rPr>
          <w:rFonts w:cstheme="minorHAnsi"/>
          <w:lang w:val="bg-BG"/>
        </w:rPr>
        <w:t>§</w:t>
      </w:r>
      <w:r>
        <w:rPr>
          <w:rFonts w:cstheme="minorHAnsi"/>
        </w:rPr>
        <w:t xml:space="preserve"> 306).</w:t>
      </w:r>
    </w:p>
    <w:bookmarkStart w:id="355" w:name="L_C_A_8_m_just_C_apl_pr_auth_pr_2"/>
    <w:p w14:paraId="1943B85F" w14:textId="3AE2C44E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151</w:t>
      </w:r>
      <w:r>
        <w:fldChar w:fldCharType="end"/>
      </w:r>
      <w:bookmarkEnd w:id="355"/>
      <w:r w:rsidR="00374AD3">
        <w:t xml:space="preserve">. </w:t>
      </w:r>
      <w:r>
        <w:t>Прочитането на разпоредбите на чл. 52, ал. 3 и чл. 53, ал. 2 (вж. параграфи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F_Regs_r_52 \h  \* MERGEFORMAT </w:instrText>
      </w:r>
      <w:r>
        <w:fldChar w:fldCharType="separate"/>
      </w:r>
      <w:r w:rsidR="00F21D3F">
        <w:t>11</w:t>
      </w:r>
      <w:r>
        <w:fldChar w:fldCharType="end"/>
      </w:r>
      <w:r>
        <w:t xml:space="preserve"> </w:t>
      </w:r>
      <w:r w:rsidRPr="00C043E6">
        <w:rPr>
          <w:i/>
          <w:iCs/>
        </w:rPr>
        <w:t xml:space="preserve">in fine </w:t>
      </w:r>
      <w:r>
        <w:t>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F_Regs_r_53 \h  \* MERGEFORMAT </w:instrText>
      </w:r>
      <w:r>
        <w:fldChar w:fldCharType="separate"/>
      </w:r>
      <w:r w:rsidR="00F21D3F">
        <w:t>12</w:t>
      </w:r>
      <w:r>
        <w:fldChar w:fldCharType="end"/>
      </w:r>
      <w:r>
        <w:t xml:space="preserve"> по-горе) сочи, че процедурата за </w:t>
      </w:r>
      <w:r w:rsidR="0088330A">
        <w:rPr>
          <w:lang w:val="bg-BG"/>
        </w:rPr>
        <w:t xml:space="preserve">използване </w:t>
      </w:r>
      <w:r>
        <w:t>на „</w:t>
      </w:r>
      <w:r w:rsidR="00636119">
        <w:t>служител</w:t>
      </w:r>
      <w:r w:rsidR="0088330A">
        <w:t xml:space="preserve"> на</w:t>
      </w:r>
      <w:r>
        <w:t xml:space="preserve"> прикритие“ започва с предложение, направено от ръководителя на съответния отдел или звен</w:t>
      </w:r>
      <w:r w:rsidR="0088330A">
        <w:t>о на Агенцията, което желае да внедри</w:t>
      </w:r>
      <w:r>
        <w:t xml:space="preserve"> такъв </w:t>
      </w:r>
      <w:r w:rsidR="00636119">
        <w:t>служител</w:t>
      </w:r>
      <w:r>
        <w:t xml:space="preserve">. Това предложение — което трябва да обосновава наличието на „доказана оперативна необходимост“ от използването на такъв </w:t>
      </w:r>
      <w:r w:rsidR="00636119">
        <w:t>служител</w:t>
      </w:r>
      <w:r w:rsidR="0088330A">
        <w:t xml:space="preserve"> </w:t>
      </w:r>
      <w:r w:rsidR="0088330A">
        <w:rPr>
          <w:lang w:val="bg-BG"/>
        </w:rPr>
        <w:t>–</w:t>
      </w:r>
      <w:r>
        <w:t xml:space="preserve"> се представя на </w:t>
      </w:r>
      <w:r w:rsidR="0088330A">
        <w:rPr>
          <w:lang w:val="bg-BG"/>
        </w:rPr>
        <w:t>председателя</w:t>
      </w:r>
      <w:r>
        <w:t xml:space="preserve"> на Агенцията, който решава дали да разположи </w:t>
      </w:r>
      <w:r w:rsidR="00636119">
        <w:t>служител</w:t>
      </w:r>
      <w:r w:rsidR="0088330A">
        <w:t>я</w:t>
      </w:r>
      <w:r>
        <w:t xml:space="preserve"> и определя конкретните му задачи. Правилата не предвиждат одобрение на това </w:t>
      </w:r>
      <w:r w:rsidR="0015122E">
        <w:rPr>
          <w:lang w:val="bg-BG"/>
        </w:rPr>
        <w:t>внедряване</w:t>
      </w:r>
      <w:r>
        <w:t xml:space="preserve"> от какъвто и да е независим външен субект </w:t>
      </w:r>
      <w:r w:rsidRPr="00F25368">
        <w:t xml:space="preserve">или поне уведомяване </w:t>
      </w:r>
      <w:r>
        <w:t xml:space="preserve">на такъв външен субект (сравни, </w:t>
      </w:r>
      <w:r w:rsidRPr="004825FF">
        <w:rPr>
          <w:i/>
          <w:iCs/>
        </w:rPr>
        <w:t>mutatis mutandis</w:t>
      </w:r>
      <w:r>
        <w:t xml:space="preserve">, </w:t>
      </w:r>
      <w:r w:rsidR="0015122E" w:rsidRPr="0015122E">
        <w:rPr>
          <w:i/>
          <w:iCs/>
        </w:rPr>
        <w:t>Pietrzak and Bychawska-Siniarska and Others</w:t>
      </w:r>
      <w:r>
        <w:t xml:space="preserve">, цитирано по-горе, </w:t>
      </w:r>
      <w:r w:rsidR="0015122E">
        <w:rPr>
          <w:rFonts w:cstheme="minorHAnsi"/>
          <w:lang w:val="bg-BG"/>
        </w:rPr>
        <w:t>§</w:t>
      </w:r>
      <w:r>
        <w:rPr>
          <w:rFonts w:cstheme="minorHAnsi"/>
        </w:rPr>
        <w:t xml:space="preserve"> 274</w:t>
      </w:r>
      <w:r>
        <w:t>).</w:t>
      </w:r>
    </w:p>
    <w:bookmarkStart w:id="356" w:name="L_C_A_8_m_just_C_apl_pr_auth_pr_3"/>
    <w:p w14:paraId="5604CBF5" w14:textId="70082232" w:rsidR="00304BC9" w:rsidRPr="00E9555E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152</w:t>
      </w:r>
      <w:r>
        <w:fldChar w:fldCharType="end"/>
      </w:r>
      <w:bookmarkEnd w:id="356"/>
      <w:r w:rsidR="00374AD3">
        <w:t xml:space="preserve">. </w:t>
      </w:r>
      <w:r>
        <w:t xml:space="preserve">Вярно е, че, както вече беше отбелязано, съгласно </w:t>
      </w:r>
      <w:r w:rsidR="0015122E">
        <w:t>чл.</w:t>
      </w:r>
      <w:r w:rsidRPr="00C00901">
        <w:t xml:space="preserve"> 52, </w:t>
      </w:r>
      <w:r w:rsidR="0015122E">
        <w:rPr>
          <w:lang w:val="bg-BG"/>
        </w:rPr>
        <w:t>ал.</w:t>
      </w:r>
      <w:r w:rsidRPr="00C00901">
        <w:t xml:space="preserve"> 1, „</w:t>
      </w:r>
      <w:r w:rsidR="00145B17">
        <w:t xml:space="preserve">служител </w:t>
      </w:r>
      <w:r w:rsidR="0015122E">
        <w:rPr>
          <w:lang w:val="bg-BG"/>
        </w:rPr>
        <w:t xml:space="preserve">на </w:t>
      </w:r>
      <w:r w:rsidR="00145B17">
        <w:t>прикритие</w:t>
      </w:r>
      <w:r w:rsidR="0015122E">
        <w:t>“ може да бъде използван</w:t>
      </w:r>
      <w:r w:rsidRPr="00C00901">
        <w:t xml:space="preserve">, ако съществува „доказана оперативна необходимост“, и </w:t>
      </w:r>
      <w:r>
        <w:t xml:space="preserve">че </w:t>
      </w:r>
      <w:r w:rsidR="00C72C98">
        <w:t>чл.</w:t>
      </w:r>
      <w:r w:rsidRPr="00C00901">
        <w:t xml:space="preserve"> 52, </w:t>
      </w:r>
      <w:r w:rsidR="00C72C98">
        <w:rPr>
          <w:lang w:val="bg-BG"/>
        </w:rPr>
        <w:t>ал.</w:t>
      </w:r>
      <w:r w:rsidRPr="00C00901">
        <w:t xml:space="preserve"> 2 уточнява, че такава необходимост съществува, ако законоустановените задачи на Агенцията не могат да бъдат изпълнени по друг начин (вж. </w:t>
      </w:r>
      <w:r w:rsidR="00374AD3">
        <w:rPr>
          <w:lang w:val="bg-BG"/>
        </w:rPr>
        <w:t xml:space="preserve">параграф </w:t>
      </w:r>
      <w:r w:rsidRPr="00C00901">
        <w:fldChar w:fldCharType="begin"/>
      </w:r>
      <w:r w:rsidRPr="00C00901">
        <w:instrText xml:space="preserve"> REF  F_Regs_r_52 \h  \* MERGEFORMAT </w:instrText>
      </w:r>
      <w:r w:rsidRPr="00C00901">
        <w:fldChar w:fldCharType="separate"/>
      </w:r>
      <w:r w:rsidR="00F21D3F">
        <w:t>11</w:t>
      </w:r>
      <w:r w:rsidRPr="00C00901">
        <w:fldChar w:fldCharType="end"/>
      </w:r>
      <w:r w:rsidRPr="00C00901">
        <w:t xml:space="preserve"> по-горе)</w:t>
      </w:r>
      <w:r>
        <w:t>.</w:t>
      </w:r>
      <w:bookmarkStart w:id="357" w:name="_Hlk216737759"/>
      <w:r>
        <w:t xml:space="preserve"> Начинът, по който са формулирани тези правила, въвежда до известна степен пропорционалност при разполагането на „</w:t>
      </w:r>
      <w:r w:rsidR="00636119">
        <w:t>служители</w:t>
      </w:r>
      <w:r>
        <w:t xml:space="preserve"> </w:t>
      </w:r>
      <w:r w:rsidR="00C72C98">
        <w:rPr>
          <w:lang w:val="bg-BG"/>
        </w:rPr>
        <w:t>на</w:t>
      </w:r>
      <w:r>
        <w:t xml:space="preserve"> прикритие“. Въпреки това</w:t>
      </w:r>
      <w:bookmarkEnd w:id="357"/>
      <w:r>
        <w:t xml:space="preserve"> правилата не дават никакви указания относно факторите, които </w:t>
      </w:r>
      <w:r w:rsidR="00C72C98">
        <w:rPr>
          <w:lang w:val="bg-BG"/>
        </w:rPr>
        <w:t>председателят</w:t>
      </w:r>
      <w:r>
        <w:t xml:space="preserve"> на Агенцията трябва да вземе предвид при оценката на тези въпроси. По-специално, правилата не изискват </w:t>
      </w:r>
      <w:r w:rsidR="00C7291C">
        <w:rPr>
          <w:lang w:val="bg-BG"/>
        </w:rPr>
        <w:t>председателят</w:t>
      </w:r>
      <w:r>
        <w:t xml:space="preserve"> на </w:t>
      </w:r>
      <w:r w:rsidR="007C3075">
        <w:t>Агенцията да взема решението си</w:t>
      </w:r>
      <w:r>
        <w:t xml:space="preserve"> </w:t>
      </w:r>
      <w:r w:rsidR="007C3075">
        <w:rPr>
          <w:lang w:val="bg-BG"/>
        </w:rPr>
        <w:t>с оглед</w:t>
      </w:r>
      <w:r>
        <w:t xml:space="preserve"> съображения, свързани с правата по член 8 на лицата, които могат да бъдат засегнати от разгръщането на </w:t>
      </w:r>
      <w:r w:rsidR="00636119">
        <w:t>служител</w:t>
      </w:r>
      <w:r w:rsidR="001E6FA4">
        <w:t>я</w:t>
      </w:r>
      <w:r>
        <w:t xml:space="preserve">, или да вземе предвид </w:t>
      </w:r>
      <w:r w:rsidRPr="0064012B">
        <w:t>степента</w:t>
      </w:r>
      <w:r>
        <w:t>,</w:t>
      </w:r>
      <w:r w:rsidRPr="0064012B">
        <w:t xml:space="preserve"> </w:t>
      </w:r>
      <w:r>
        <w:t xml:space="preserve">в която възложените на </w:t>
      </w:r>
      <w:r w:rsidR="00636119">
        <w:t>служител</w:t>
      </w:r>
      <w:r>
        <w:t xml:space="preserve">а задачи могат да нарушат правата по член 8 на целевото лице или на други лица (които могат да бъдат косвено засегнати от работата на </w:t>
      </w:r>
      <w:r w:rsidR="00636119">
        <w:t>служител</w:t>
      </w:r>
      <w:r>
        <w:t xml:space="preserve">а), </w:t>
      </w:r>
      <w:r w:rsidRPr="001E2998">
        <w:t xml:space="preserve">особено когато </w:t>
      </w:r>
      <w:r w:rsidRPr="00B738FC">
        <w:t xml:space="preserve">разполагането на </w:t>
      </w:r>
      <w:r w:rsidR="00636119">
        <w:t>служител</w:t>
      </w:r>
      <w:r w:rsidR="0074067D">
        <w:t>я</w:t>
      </w:r>
      <w:r w:rsidRPr="00B738FC">
        <w:t xml:space="preserve"> може да доведе до достъп до медицински, журналистически или юридически привилегировани материали или комуникации</w:t>
      </w:r>
      <w:r>
        <w:t xml:space="preserve">, </w:t>
      </w:r>
      <w:r w:rsidRPr="00963717">
        <w:t>които се ползват с повишена защита съгласно член 8</w:t>
      </w:r>
      <w:r>
        <w:t xml:space="preserve">, </w:t>
      </w:r>
      <w:r w:rsidRPr="00B738FC">
        <w:t>или до ситуации, в които засегнатите лица могат разумно да очакват по-висока степен на поверителност</w:t>
      </w:r>
      <w:r>
        <w:t xml:space="preserve">. Правилата също така не </w:t>
      </w:r>
      <w:r w:rsidRPr="00C37E13">
        <w:t xml:space="preserve">изискват </w:t>
      </w:r>
      <w:r w:rsidR="00BA06C1">
        <w:rPr>
          <w:lang w:val="bg-BG"/>
        </w:rPr>
        <w:t>председатлят</w:t>
      </w:r>
      <w:r w:rsidRPr="00C37E13">
        <w:t xml:space="preserve"> на Агенцията </w:t>
      </w:r>
      <w:r w:rsidR="00BA06C1">
        <w:t>да извърши подходящ</w:t>
      </w:r>
      <w:r w:rsidR="00555028">
        <w:rPr>
          <w:lang w:val="bg-BG"/>
        </w:rPr>
        <w:t>о</w:t>
      </w:r>
      <w:r w:rsidR="00BA06C1">
        <w:t xml:space="preserve"> </w:t>
      </w:r>
      <w:r w:rsidR="00BA06C1">
        <w:rPr>
          <w:lang w:val="bg-BG"/>
        </w:rPr>
        <w:t>балансиране</w:t>
      </w:r>
      <w:r>
        <w:t xml:space="preserve"> на интересите в това отношение. Следователно няма гаранция, че „</w:t>
      </w:r>
      <w:r w:rsidR="00636119">
        <w:t>служители</w:t>
      </w:r>
      <w:r>
        <w:t xml:space="preserve"> </w:t>
      </w:r>
      <w:r w:rsidR="00555028">
        <w:rPr>
          <w:lang w:val="bg-BG"/>
        </w:rPr>
        <w:t>на</w:t>
      </w:r>
      <w:r>
        <w:t xml:space="preserve"> прикритие“ биха били </w:t>
      </w:r>
      <w:r w:rsidR="00555028">
        <w:rPr>
          <w:lang w:val="bg-BG"/>
        </w:rPr>
        <w:t>използвани</w:t>
      </w:r>
      <w:r>
        <w:t xml:space="preserve"> само когато това е наистина необходимо и пропорционално във всеки отделен случай (вж., </w:t>
      </w:r>
      <w:r w:rsidRPr="00D941C9">
        <w:rPr>
          <w:i/>
          <w:iCs/>
        </w:rPr>
        <w:t>mutatis mutandis</w:t>
      </w:r>
      <w:r>
        <w:t xml:space="preserve">,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555028">
        <w:rPr>
          <w:rFonts w:cstheme="minorHAnsi"/>
          <w:lang w:val="bg-BG"/>
        </w:rPr>
        <w:t>§</w:t>
      </w:r>
      <w:r>
        <w:rPr>
          <w:rFonts w:cstheme="minorHAnsi"/>
        </w:rPr>
        <w:t xml:space="preserve"> 321).</w:t>
      </w:r>
    </w:p>
    <w:bookmarkStart w:id="358" w:name="L_C_A_8_m_just_C_apl_pr_auth_pr_4"/>
    <w:p w14:paraId="11115FBB" w14:textId="3FF34F74" w:rsidR="00304BC9" w:rsidRPr="00555028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153</w:t>
      </w:r>
      <w:r>
        <w:fldChar w:fldCharType="end"/>
      </w:r>
      <w:bookmarkEnd w:id="358"/>
      <w:r w:rsidR="00374AD3">
        <w:rPr>
          <w:lang w:val="bg-BG"/>
        </w:rPr>
        <w:t xml:space="preserve">. </w:t>
      </w:r>
      <w:r w:rsidRPr="00555028">
        <w:rPr>
          <w:lang w:val="bg-BG"/>
        </w:rPr>
        <w:t>Осве</w:t>
      </w:r>
      <w:r w:rsidR="00555028" w:rsidRPr="00555028">
        <w:rPr>
          <w:lang w:val="bg-BG"/>
        </w:rPr>
        <w:t>н това няма изрично изискване преценката</w:t>
      </w:r>
      <w:r w:rsidRPr="00555028">
        <w:rPr>
          <w:lang w:val="bg-BG"/>
        </w:rPr>
        <w:t xml:space="preserve"> на такива въпроси да бъде надлежно документирана от Агенцията, така че да бъде възможно по-късно да се извърши ефективен контрол върху използването на „</w:t>
      </w:r>
      <w:r w:rsidR="00145B17" w:rsidRPr="00555028">
        <w:rPr>
          <w:lang w:val="bg-BG"/>
        </w:rPr>
        <w:t xml:space="preserve">служител </w:t>
      </w:r>
      <w:r w:rsidR="00555028">
        <w:rPr>
          <w:lang w:val="bg-BG"/>
        </w:rPr>
        <w:t>на</w:t>
      </w:r>
      <w:r w:rsidR="00145B17" w:rsidRPr="00555028">
        <w:rPr>
          <w:lang w:val="bg-BG"/>
        </w:rPr>
        <w:t xml:space="preserve"> прикритие</w:t>
      </w:r>
      <w:r w:rsidRPr="00555028">
        <w:rPr>
          <w:lang w:val="bg-BG"/>
        </w:rPr>
        <w:t>“.</w:t>
      </w:r>
    </w:p>
    <w:p w14:paraId="629247B9" w14:textId="2C5AF631" w:rsidR="00304BC9" w:rsidRPr="004F6538" w:rsidRDefault="000F3485" w:rsidP="00304BC9">
      <w:pPr>
        <w:pStyle w:val="JuHalpha"/>
        <w:rPr>
          <w:lang w:val="bg-BG"/>
        </w:rPr>
      </w:pPr>
      <w:bookmarkStart w:id="359" w:name="_Toc232688325"/>
      <w:r w:rsidRPr="004F6538">
        <w:rPr>
          <w:lang w:val="bg-BG"/>
        </w:rPr>
        <w:lastRenderedPageBreak/>
        <w:t>Процедури за съхранение, достъп, проверка, използване, предаване и унищожаване на данни, получени в резултат на използването на „</w:t>
      </w:r>
      <w:r w:rsidR="00636119" w:rsidRPr="004F6538">
        <w:rPr>
          <w:lang w:val="bg-BG"/>
        </w:rPr>
        <w:t>служители</w:t>
      </w:r>
      <w:r w:rsidRPr="004F6538">
        <w:rPr>
          <w:lang w:val="bg-BG"/>
        </w:rPr>
        <w:t xml:space="preserve"> </w:t>
      </w:r>
      <w:r w:rsidR="004F6538">
        <w:rPr>
          <w:lang w:val="bg-BG"/>
        </w:rPr>
        <w:t>на</w:t>
      </w:r>
      <w:r w:rsidRPr="004F6538">
        <w:rPr>
          <w:lang w:val="bg-BG"/>
        </w:rPr>
        <w:t xml:space="preserve"> прикритие“</w:t>
      </w:r>
      <w:bookmarkEnd w:id="359"/>
    </w:p>
    <w:bookmarkStart w:id="360" w:name="L_C_A_8_m_just_C_apl_pr_storing_etc_1"/>
    <w:p w14:paraId="20D6664A" w14:textId="0CFC69DA" w:rsidR="00304BC9" w:rsidRDefault="000F3485" w:rsidP="00304BC9">
      <w:pPr>
        <w:pStyle w:val="JuPara"/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154</w:t>
      </w:r>
      <w:r>
        <w:fldChar w:fldCharType="end"/>
      </w:r>
      <w:bookmarkEnd w:id="360"/>
      <w:r w:rsidR="00374AD3" w:rsidRPr="00FE0C4F">
        <w:rPr>
          <w:lang w:val="bg-BG"/>
        </w:rPr>
        <w:t xml:space="preserve">. </w:t>
      </w:r>
      <w:r w:rsidRPr="00FE0C4F">
        <w:rPr>
          <w:lang w:val="bg-BG"/>
        </w:rPr>
        <w:t>Въпросните разпоредби не съдържат нищо относно съхранението, достъпа, разглеждането, използването, предаването и унищожаването на данни, получени в резултат на използването на „</w:t>
      </w:r>
      <w:r w:rsidR="00636119" w:rsidRPr="00FE0C4F">
        <w:rPr>
          <w:lang w:val="bg-BG"/>
        </w:rPr>
        <w:t>служители</w:t>
      </w:r>
      <w:r w:rsidRPr="00FE0C4F">
        <w:rPr>
          <w:lang w:val="bg-BG"/>
        </w:rPr>
        <w:t xml:space="preserve"> под прикритие“. Следователно изглежда, че всички тези въпроси се уреждат от общите правила, регулиращи начина, по който Агенцията обработва своите оперативни данни (вж. параграфи</w:t>
      </w:r>
      <w:r w:rsidR="00374AD3">
        <w:rPr>
          <w:lang w:val="bg-BG"/>
        </w:rPr>
        <w:t xml:space="preserve"> 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RLF</w:instrText>
      </w:r>
      <w:r w:rsidRPr="00FE0C4F">
        <w:rPr>
          <w:lang w:val="bg-BG"/>
        </w:rPr>
        <w:instrText>_</w:instrText>
      </w:r>
      <w:r>
        <w:instrText>SANSA</w:instrText>
      </w:r>
      <w:r w:rsidRPr="00FE0C4F">
        <w:rPr>
          <w:lang w:val="bg-BG"/>
        </w:rPr>
        <w:instrText>_</w:instrText>
      </w:r>
      <w:r>
        <w:instrText>s</w:instrText>
      </w:r>
      <w:r w:rsidRPr="00FE0C4F">
        <w:rPr>
          <w:lang w:val="bg-BG"/>
        </w:rPr>
        <w:instrText>_28_1_29_1_2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rFonts w:cstheme="minorHAnsi"/>
          <w:lang w:val="bg-BG"/>
        </w:rPr>
        <w:t>51</w:t>
      </w:r>
      <w:r>
        <w:fldChar w:fldCharType="end"/>
      </w:r>
      <w:r w:rsidRPr="00FE0C4F">
        <w:rPr>
          <w:lang w:val="bg-BG"/>
        </w:rPr>
        <w:t xml:space="preserve"> -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RLF</w:instrText>
      </w:r>
      <w:r w:rsidRPr="00FE0C4F">
        <w:rPr>
          <w:lang w:val="bg-BG"/>
        </w:rPr>
        <w:instrText>_</w:instrText>
      </w:r>
      <w:r>
        <w:instrText>SANSA</w:instrText>
      </w:r>
      <w:r w:rsidRPr="00FE0C4F">
        <w:rPr>
          <w:lang w:val="bg-BG"/>
        </w:rPr>
        <w:instrText>_</w:instrText>
      </w:r>
      <w:r>
        <w:instrText>personal</w:instrText>
      </w:r>
      <w:r w:rsidRPr="00FE0C4F">
        <w:rPr>
          <w:lang w:val="bg-BG"/>
        </w:rPr>
        <w:instrText>_</w:instrText>
      </w:r>
      <w:r>
        <w:instrText>data</w:instrText>
      </w:r>
      <w:r w:rsidRPr="00FE0C4F">
        <w:rPr>
          <w:lang w:val="bg-BG"/>
        </w:rPr>
        <w:instrText>_</w:instrText>
      </w:r>
      <w:r>
        <w:instrText>regs</w:instrText>
      </w:r>
      <w:r w:rsidRPr="00FE0C4F">
        <w:rPr>
          <w:lang w:val="bg-BG"/>
        </w:rPr>
        <w:instrText>_1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54</w:t>
      </w:r>
      <w:r>
        <w:fldChar w:fldCharType="end"/>
      </w:r>
      <w:r w:rsidRPr="00FE0C4F">
        <w:rPr>
          <w:lang w:val="bg-BG"/>
        </w:rPr>
        <w:t xml:space="preserve"> по-горе). При липса на изявления от страните по този въпрос (вж. </w:t>
      </w:r>
      <w:r w:rsidR="00374AD3">
        <w:rPr>
          <w:lang w:val="bg-BG"/>
        </w:rPr>
        <w:t xml:space="preserve">параграфи 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L</w:instrText>
      </w:r>
      <w:r w:rsidRPr="00FE0C4F">
        <w:rPr>
          <w:lang w:val="bg-BG"/>
        </w:rPr>
        <w:instrText>_</w:instrText>
      </w:r>
      <w:r>
        <w:instrText>C</w:instrText>
      </w:r>
      <w:r w:rsidRPr="00FE0C4F">
        <w:rPr>
          <w:lang w:val="bg-BG"/>
        </w:rPr>
        <w:instrText>_</w:instrText>
      </w:r>
      <w:r>
        <w:instrText>A</w:instrText>
      </w:r>
      <w:r w:rsidRPr="00FE0C4F">
        <w:rPr>
          <w:lang w:val="bg-BG"/>
        </w:rPr>
        <w:instrText>_8_</w:instrText>
      </w:r>
      <w:r>
        <w:instrText>m</w:instrText>
      </w:r>
      <w:r w:rsidRPr="00FE0C4F">
        <w:rPr>
          <w:lang w:val="bg-BG"/>
        </w:rPr>
        <w:instrText>_</w:instrText>
      </w:r>
      <w:r>
        <w:instrText>just</w:instrText>
      </w:r>
      <w:r w:rsidRPr="00FE0C4F">
        <w:rPr>
          <w:lang w:val="bg-BG"/>
        </w:rPr>
        <w:instrText>_</w:instrText>
      </w:r>
      <w:r>
        <w:instrText>A</w:instrText>
      </w:r>
      <w:r w:rsidRPr="00FE0C4F">
        <w:rPr>
          <w:lang w:val="bg-BG"/>
        </w:rPr>
        <w:instrText>_1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136</w:t>
      </w:r>
      <w:r>
        <w:fldChar w:fldCharType="end"/>
      </w:r>
      <w:r w:rsidRPr="00FE0C4F">
        <w:rPr>
          <w:lang w:val="bg-BG"/>
        </w:rPr>
        <w:t xml:space="preserve"> -</w:t>
      </w:r>
      <w:r>
        <w:fldChar w:fldCharType="begin"/>
      </w:r>
      <w:r w:rsidRPr="00FE0C4F">
        <w:rPr>
          <w:lang w:val="bg-BG"/>
        </w:rPr>
        <w:instrText xml:space="preserve"> </w:instrText>
      </w:r>
      <w:r>
        <w:instrText>REF</w:instrText>
      </w:r>
      <w:r w:rsidRPr="00FE0C4F">
        <w:rPr>
          <w:lang w:val="bg-BG"/>
        </w:rPr>
        <w:instrText xml:space="preserve">  </w:instrText>
      </w:r>
      <w:r>
        <w:instrText>L</w:instrText>
      </w:r>
      <w:r w:rsidRPr="00FE0C4F">
        <w:rPr>
          <w:lang w:val="bg-BG"/>
        </w:rPr>
        <w:instrText>_</w:instrText>
      </w:r>
      <w:r>
        <w:instrText>C</w:instrText>
      </w:r>
      <w:r w:rsidRPr="00FE0C4F">
        <w:rPr>
          <w:lang w:val="bg-BG"/>
        </w:rPr>
        <w:instrText>_</w:instrText>
      </w:r>
      <w:r>
        <w:instrText>A</w:instrText>
      </w:r>
      <w:r w:rsidRPr="00FE0C4F">
        <w:rPr>
          <w:lang w:val="bg-BG"/>
        </w:rPr>
        <w:instrText>_8_</w:instrText>
      </w:r>
      <w:r>
        <w:instrText>m</w:instrText>
      </w:r>
      <w:r w:rsidRPr="00FE0C4F">
        <w:rPr>
          <w:lang w:val="bg-BG"/>
        </w:rPr>
        <w:instrText>_</w:instrText>
      </w:r>
      <w:r>
        <w:instrText>just</w:instrText>
      </w:r>
      <w:r w:rsidRPr="00FE0C4F">
        <w:rPr>
          <w:lang w:val="bg-BG"/>
        </w:rPr>
        <w:instrText>_</w:instrText>
      </w:r>
      <w:r>
        <w:instrText>G</w:instrText>
      </w:r>
      <w:r w:rsidRPr="00FE0C4F">
        <w:rPr>
          <w:lang w:val="bg-BG"/>
        </w:rPr>
        <w:instrText>_3 \</w:instrText>
      </w:r>
      <w:r>
        <w:instrText>h</w:instrText>
      </w:r>
      <w:r w:rsidRPr="00FE0C4F">
        <w:rPr>
          <w:lang w:val="bg-BG"/>
        </w:rPr>
        <w:instrText xml:space="preserve"> 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lang w:val="bg-BG"/>
        </w:rPr>
        <w:t>139</w:t>
      </w:r>
      <w:r>
        <w:fldChar w:fldCharType="end"/>
      </w:r>
      <w:r w:rsidRPr="00FE0C4F">
        <w:rPr>
          <w:lang w:val="bg-BG"/>
        </w:rPr>
        <w:t xml:space="preserve"> по-горе), Съдът не е склонен да се задълбочава в този аспект на делото. Той би отбелязал само, че, за разлика от това, всички въпроси, свързани с данни, получени чрез използване на „специални </w:t>
      </w:r>
      <w:r w:rsidR="00C152D7">
        <w:rPr>
          <w:lang w:val="bg-BG"/>
        </w:rPr>
        <w:t xml:space="preserve">разузнавателни </w:t>
      </w:r>
      <w:r w:rsidR="00C152D7" w:rsidRPr="00FE0C4F">
        <w:rPr>
          <w:lang w:val="bg-BG"/>
        </w:rPr>
        <w:t>средства</w:t>
      </w:r>
      <w:r w:rsidRPr="00FE0C4F">
        <w:rPr>
          <w:lang w:val="bg-BG"/>
        </w:rPr>
        <w:t xml:space="preserve">“, се уреждат от относително подробни разпоредби – и </w:t>
      </w:r>
      <w:r w:rsidR="00C152D7">
        <w:rPr>
          <w:lang w:val="bg-BG"/>
        </w:rPr>
        <w:t>въпреки това</w:t>
      </w:r>
      <w:r w:rsidRPr="00FE0C4F">
        <w:rPr>
          <w:lang w:val="bg-BG"/>
        </w:rPr>
        <w:t xml:space="preserve"> различни пропуски в тези разпоредби го доведоха до заключението, че е възможно</w:t>
      </w:r>
      <w:r w:rsidR="00C152D7">
        <w:rPr>
          <w:lang w:val="bg-BG"/>
        </w:rPr>
        <w:t xml:space="preserve"> с</w:t>
      </w:r>
      <w:r w:rsidRPr="00FE0C4F">
        <w:rPr>
          <w:lang w:val="bg-BG"/>
        </w:rPr>
        <w:t xml:space="preserve"> такива данни да бъд</w:t>
      </w:r>
      <w:r w:rsidR="00C152D7">
        <w:rPr>
          <w:lang w:val="bg-BG"/>
        </w:rPr>
        <w:t>е злоупотребено</w:t>
      </w:r>
      <w:r w:rsidRPr="00FE0C4F">
        <w:rPr>
          <w:lang w:val="bg-BG"/>
        </w:rPr>
        <w:t xml:space="preserve"> за цели, които нямат много общо със законовата цел, за която са събрани (вж. </w:t>
      </w:r>
      <w:r w:rsidR="00374AD3">
        <w:rPr>
          <w:i/>
          <w:iCs/>
          <w:lang w:val="bg-BG"/>
        </w:rPr>
        <w:t>Екимджиев</w:t>
      </w:r>
      <w:r w:rsidRPr="001A2838">
        <w:rPr>
          <w:i/>
          <w:iCs/>
        </w:rPr>
        <w:t xml:space="preserve"> и други</w:t>
      </w:r>
      <w:r>
        <w:t xml:space="preserve">, цитирано по-горе, </w:t>
      </w:r>
      <w:r w:rsidR="00374AD3">
        <w:rPr>
          <w:rFonts w:cstheme="minorHAnsi"/>
          <w:lang w:val="bg-BG"/>
        </w:rPr>
        <w:t>членове</w:t>
      </w:r>
      <w:r>
        <w:t xml:space="preserve"> 325-32).</w:t>
      </w:r>
    </w:p>
    <w:p w14:paraId="5C1EF5CE" w14:textId="77777777" w:rsidR="00304BC9" w:rsidRDefault="000F3485" w:rsidP="00304BC9">
      <w:pPr>
        <w:pStyle w:val="JuHalpha"/>
      </w:pPr>
      <w:bookmarkStart w:id="361" w:name="_Toc232688326"/>
      <w:r>
        <w:t>Надзор</w:t>
      </w:r>
      <w:bookmarkEnd w:id="361"/>
    </w:p>
    <w:bookmarkStart w:id="362" w:name="L_C_A_8_m_just_C_apl_pr_oversight_1"/>
    <w:p w14:paraId="2AC8C045" w14:textId="3038D22F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155</w:t>
      </w:r>
      <w:r>
        <w:fldChar w:fldCharType="end"/>
      </w:r>
      <w:bookmarkEnd w:id="362"/>
      <w:r w:rsidR="00374AD3">
        <w:t>. </w:t>
      </w:r>
      <w:r w:rsidRPr="001A3C23">
        <w:t xml:space="preserve">Факторите, </w:t>
      </w:r>
      <w:r>
        <w:t xml:space="preserve">които </w:t>
      </w:r>
      <w:r w:rsidRPr="001A3C23">
        <w:t>са</w:t>
      </w:r>
      <w:r>
        <w:t xml:space="preserve"> от значение </w:t>
      </w:r>
      <w:r w:rsidRPr="001A3C23">
        <w:t xml:space="preserve">за преценката дали </w:t>
      </w:r>
      <w:r>
        <w:t xml:space="preserve">надзорът е </w:t>
      </w:r>
      <w:r w:rsidRPr="001A3C23">
        <w:t xml:space="preserve">адекватен, са: 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Pr="001A3C23">
        <w:t xml:space="preserve">) независимостта на надзорните органи, техните компетенции и правомощия (за достъп до </w:t>
      </w:r>
      <w:r w:rsidR="00775CEC">
        <w:rPr>
          <w:lang w:val="bg-BG"/>
        </w:rPr>
        <w:t xml:space="preserve">материали </w:t>
      </w:r>
      <w:r>
        <w:t xml:space="preserve">от наблюдение </w:t>
      </w:r>
      <w:r w:rsidRPr="001A3C23">
        <w:t xml:space="preserve">и за коригиране на нарушения </w:t>
      </w:r>
      <w:r>
        <w:t xml:space="preserve">– </w:t>
      </w:r>
      <w:r w:rsidRPr="001A3C23">
        <w:t xml:space="preserve">по-специално </w:t>
      </w:r>
      <w:r>
        <w:t xml:space="preserve">чрез разпореждане </w:t>
      </w:r>
      <w:r w:rsidRPr="001A3C23">
        <w:t xml:space="preserve">за унищожаване на </w:t>
      </w:r>
      <w:r w:rsidR="00775CEC">
        <w:rPr>
          <w:lang w:val="bg-BG"/>
        </w:rPr>
        <w:t>материали</w:t>
      </w:r>
      <w:r>
        <w:t xml:space="preserve"> от наблюдение</w:t>
      </w:r>
      <w:r w:rsidRPr="001A3C23">
        <w:t xml:space="preserve">) и 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1A3C23">
        <w:t xml:space="preserve">) </w:t>
      </w:r>
      <w:r>
        <w:t xml:space="preserve">възможностите за </w:t>
      </w:r>
      <w:r w:rsidRPr="001A3C23">
        <w:t xml:space="preserve">ефективен обществен контрол върху дейността </w:t>
      </w:r>
      <w:r w:rsidR="00A060A3">
        <w:t>на</w:t>
      </w:r>
      <w:r w:rsidRPr="001A3C23">
        <w:t xml:space="preserve"> тези </w:t>
      </w:r>
      <w:r w:rsidR="00A060A3">
        <w:t xml:space="preserve">органи </w:t>
      </w:r>
      <w:r>
        <w:t xml:space="preserve">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</w:t>
      </w:r>
      <w:r>
        <w:t xml:space="preserve">., цитирано по-горе, </w:t>
      </w:r>
      <w:r w:rsidR="00775CEC">
        <w:rPr>
          <w:rFonts w:cstheme="minorHAnsi"/>
          <w:lang w:val="bg-BG"/>
        </w:rPr>
        <w:t>§</w:t>
      </w:r>
      <w:r>
        <w:rPr>
          <w:rFonts w:cstheme="minorHAnsi"/>
        </w:rPr>
        <w:t xml:space="preserve"> 334)</w:t>
      </w:r>
      <w:r w:rsidRPr="001A3C23">
        <w:t>.</w:t>
      </w:r>
    </w:p>
    <w:bookmarkStart w:id="363" w:name="L_C_A_8_m_just_C_apl_pr_oversight_2"/>
    <w:p w14:paraId="7284E823" w14:textId="20B66AB1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156</w:t>
      </w:r>
      <w:r>
        <w:fldChar w:fldCharType="end"/>
      </w:r>
      <w:bookmarkEnd w:id="363"/>
      <w:r>
        <w:t xml:space="preserve">.  Самите </w:t>
      </w:r>
      <w:r w:rsidR="00D54833">
        <w:rPr>
          <w:lang w:val="bg-BG"/>
        </w:rPr>
        <w:t>правила</w:t>
      </w:r>
      <w:r>
        <w:t xml:space="preserve"> не предвиждат никакъв надзор върху </w:t>
      </w:r>
      <w:r w:rsidR="00D54833">
        <w:rPr>
          <w:lang w:val="bg-BG"/>
        </w:rPr>
        <w:t>внедряването</w:t>
      </w:r>
      <w:r>
        <w:t xml:space="preserve"> или работата на „</w:t>
      </w:r>
      <w:r w:rsidR="00636119">
        <w:t>служители</w:t>
      </w:r>
      <w:r w:rsidR="00D54833">
        <w:t xml:space="preserve"> на </w:t>
      </w:r>
      <w:r>
        <w:t xml:space="preserve">прикритие“ (сравни, </w:t>
      </w:r>
      <w:r w:rsidRPr="00514D3C">
        <w:rPr>
          <w:i/>
          <w:iCs/>
        </w:rPr>
        <w:t>mutatis mutandis</w:t>
      </w:r>
      <w:r>
        <w:t>,</w:t>
      </w:r>
      <w:bookmarkStart w:id="364" w:name="_cl21016THELAW"/>
      <w:r w:rsidRPr="00E32E68">
        <w:rPr>
          <w:i/>
          <w:iCs/>
        </w:rPr>
        <w:t xml:space="preserve"> </w:t>
      </w:r>
      <w:r w:rsidR="00D54833" w:rsidRPr="00D54833">
        <w:rPr>
          <w:i/>
          <w:iCs/>
          <w:lang w:val="bg-BG"/>
        </w:rPr>
        <w:t xml:space="preserve">Antunes Rocha </w:t>
      </w:r>
      <w:r w:rsidRPr="00E32E68">
        <w:rPr>
          <w:i/>
          <w:iCs/>
        </w:rPr>
        <w:t>с</w:t>
      </w:r>
      <w:r w:rsidR="00374AD3">
        <w:rPr>
          <w:i/>
          <w:iCs/>
          <w:lang w:val="bg-BG"/>
        </w:rPr>
        <w:t>/</w:t>
      </w:r>
      <w:r w:rsidRPr="00E32E68">
        <w:rPr>
          <w:i/>
          <w:iCs/>
        </w:rPr>
        <w:t>у Португалия</w:t>
      </w:r>
      <w:bookmarkEnd w:id="364"/>
      <w:r w:rsidRPr="00E32E68">
        <w:t xml:space="preserve"> , № 64330/01, </w:t>
      </w:r>
      <w:r w:rsidR="00D54833">
        <w:rPr>
          <w:lang w:val="bg-BG"/>
        </w:rPr>
        <w:t>§</w:t>
      </w:r>
      <w:r w:rsidR="00374AD3">
        <w:rPr>
          <w:lang w:val="bg-BG"/>
        </w:rPr>
        <w:t>.</w:t>
      </w:r>
      <w:r w:rsidRPr="00E32E68">
        <w:t xml:space="preserve"> 77, 31 май 2005 г.</w:t>
      </w:r>
      <w:r>
        <w:t>); освен това, както е отбелязано в параграф</w:t>
      </w:r>
      <w:r w:rsidR="00205DAE">
        <w:rPr>
          <w:lang w:val="bg-BG"/>
        </w:rPr>
        <w:t xml:space="preserve"> </w:t>
      </w:r>
      <w:r>
        <w:fldChar w:fldCharType="begin"/>
      </w:r>
      <w:r>
        <w:instrText xml:space="preserve"> REF  L_C_A_8_m_int_C_victim_rem_2 \h  \* MERGEFORMAT </w:instrText>
      </w:r>
      <w:r>
        <w:fldChar w:fldCharType="separate"/>
      </w:r>
      <w:r w:rsidR="00F21D3F">
        <w:t>124</w:t>
      </w:r>
      <w:r>
        <w:fldChar w:fldCharType="end"/>
      </w:r>
      <w:r>
        <w:t xml:space="preserve"> по-горе, такива </w:t>
      </w:r>
      <w:r w:rsidR="00636119">
        <w:t>служители</w:t>
      </w:r>
      <w:r w:rsidR="00310102">
        <w:t xml:space="preserve"> не попадат в обхвата на компетенциите на </w:t>
      </w:r>
      <w:r w:rsidRPr="00B24170">
        <w:t xml:space="preserve">Националното бюро за </w:t>
      </w:r>
      <w:r w:rsidR="00E91308">
        <w:rPr>
          <w:lang w:val="bg-BG"/>
        </w:rPr>
        <w:t>контрол</w:t>
      </w:r>
      <w:r>
        <w:t xml:space="preserve"> </w:t>
      </w:r>
      <w:r w:rsidRPr="00B24170">
        <w:t>на специалните</w:t>
      </w:r>
      <w:r w:rsidR="000D5E03">
        <w:rPr>
          <w:lang w:val="bg-BG"/>
        </w:rPr>
        <w:t xml:space="preserve"> разузнавателни</w:t>
      </w:r>
      <w:r w:rsidRPr="00B24170">
        <w:t xml:space="preserve"> средства</w:t>
      </w:r>
      <w:r>
        <w:t>.</w:t>
      </w:r>
    </w:p>
    <w:bookmarkStart w:id="365" w:name="L_C_A_8_m_just_C_apl_pr_oversight_3"/>
    <w:p w14:paraId="6FCA7515" w14:textId="5984AE53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157</w:t>
      </w:r>
      <w:r>
        <w:fldChar w:fldCharType="end"/>
      </w:r>
      <w:bookmarkEnd w:id="365"/>
      <w:r w:rsidR="00374AD3">
        <w:t>. </w:t>
      </w:r>
      <w:r w:rsidRPr="00743A63">
        <w:t xml:space="preserve">Специалната парламентарна комисия, </w:t>
      </w:r>
      <w:r>
        <w:t xml:space="preserve">натоварена </w:t>
      </w:r>
      <w:r w:rsidRPr="00C462F6">
        <w:t xml:space="preserve">с надзора върху работата на Агенцията – същата, която беше предмет на делото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 </w:t>
      </w:r>
      <w:r>
        <w:t xml:space="preserve">(цитирано по-горе, </w:t>
      </w:r>
      <w:r w:rsidR="004F501C">
        <w:rPr>
          <w:rFonts w:cstheme="minorHAnsi"/>
          <w:lang w:val="bg-BG"/>
        </w:rPr>
        <w:t>§</w:t>
      </w:r>
      <w:r>
        <w:t xml:space="preserve"> 125) – макар и да може да разглежда индивидуални случаи, не може </w:t>
      </w:r>
      <w:r w:rsidRPr="00743A63">
        <w:t>да разпорежда коригиращи мерки</w:t>
      </w:r>
      <w:r>
        <w:t xml:space="preserve">; ако установи нередности, тя може само да ги доведе до знанието на прокуратурата или други компетентни органи </w:t>
      </w:r>
      <w:r w:rsidRPr="00743A63">
        <w:t>(вж. параграф</w:t>
      </w:r>
      <w:r w:rsidR="00374AD3">
        <w:rPr>
          <w:lang w:val="bg-BG"/>
        </w:rPr>
        <w:t xml:space="preserve"> </w:t>
      </w:r>
      <w:r w:rsidRPr="00A900C3">
        <w:fldChar w:fldCharType="begin"/>
      </w:r>
      <w:r w:rsidRPr="00A900C3">
        <w:instrText xml:space="preserve"> REF  RLF_SANSA_s_132_1_etc \h  \* MERGEFORMAT </w:instrText>
      </w:r>
      <w:r w:rsidRPr="00A900C3">
        <w:fldChar w:fldCharType="separate"/>
      </w:r>
      <w:r w:rsidR="00F21D3F">
        <w:t>55</w:t>
      </w:r>
      <w:r w:rsidRPr="00A900C3">
        <w:fldChar w:fldCharType="end"/>
      </w:r>
      <w:r w:rsidRPr="00A900C3">
        <w:t xml:space="preserve"> </w:t>
      </w:r>
      <w:r w:rsidRPr="00743A63">
        <w:t>по-горе).</w:t>
      </w:r>
      <w:r>
        <w:t xml:space="preserve"> Освен това от членовете на тази комисия не се изисква да притежават юридическа квалификация или опит 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др.</w:t>
      </w:r>
      <w:r>
        <w:t xml:space="preserve">, цитирано по-горе, </w:t>
      </w:r>
      <w:r w:rsidR="004F501C">
        <w:rPr>
          <w:rFonts w:cstheme="minorHAnsi"/>
          <w:lang w:val="bg-BG"/>
        </w:rPr>
        <w:t>§</w:t>
      </w:r>
      <w:r>
        <w:rPr>
          <w:rFonts w:cstheme="minorHAnsi"/>
        </w:rPr>
        <w:t xml:space="preserve"> 414</w:t>
      </w:r>
      <w:r>
        <w:t xml:space="preserve">). Не изглежда също така, че на практика </w:t>
      </w:r>
      <w:r>
        <w:lastRenderedPageBreak/>
        <w:t xml:space="preserve">комисията е упражнявала подробен и редовен контрол върху дейността на Агенцията като цяло – </w:t>
      </w:r>
      <w:r w:rsidR="00727C75">
        <w:rPr>
          <w:lang w:val="bg-BG"/>
        </w:rPr>
        <w:t>още по-малко</w:t>
      </w:r>
      <w:r>
        <w:t xml:space="preserve"> контрол, насочен конкретно към използването на „</w:t>
      </w:r>
      <w:r w:rsidR="00636119">
        <w:t>служители</w:t>
      </w:r>
      <w:r w:rsidR="00727C75">
        <w:rPr>
          <w:lang w:val="bg-BG"/>
        </w:rPr>
        <w:t xml:space="preserve"> на прикритие</w:t>
      </w:r>
      <w:r>
        <w:t xml:space="preserve">“ – или че някога се е намесвала в ежедневната работа на Агенцията (сравни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</w:t>
      </w:r>
      <w:r>
        <w:t xml:space="preserve">., цитирано по-горе, </w:t>
      </w:r>
      <w:r w:rsidR="00374AD3">
        <w:rPr>
          <w:rFonts w:cstheme="minorHAnsi"/>
          <w:lang w:val="bg-BG"/>
        </w:rPr>
        <w:t>чл.</w:t>
      </w:r>
      <w:r>
        <w:rPr>
          <w:rFonts w:cstheme="minorHAnsi"/>
        </w:rPr>
        <w:t xml:space="preserve"> 345, и, </w:t>
      </w:r>
      <w:r w:rsidRPr="00591F97">
        <w:rPr>
          <w:rFonts w:cstheme="minorHAnsi"/>
          <w:i/>
          <w:iCs/>
        </w:rPr>
        <w:t>mutatis mutandis</w:t>
      </w:r>
      <w:r>
        <w:rPr>
          <w:rFonts w:cstheme="minorHAnsi"/>
        </w:rPr>
        <w:t xml:space="preserve">, </w:t>
      </w:r>
      <w:r w:rsidR="00727C75" w:rsidRPr="00300AE0">
        <w:rPr>
          <w:i/>
          <w:iCs/>
        </w:rPr>
        <w:t xml:space="preserve">Szabó and Vissy </w:t>
      </w:r>
      <w:r w:rsidRPr="00300AE0">
        <w:rPr>
          <w:i/>
          <w:iCs/>
        </w:rPr>
        <w:t>с</w:t>
      </w:r>
      <w:r w:rsidR="00374AD3">
        <w:rPr>
          <w:i/>
          <w:iCs/>
          <w:lang w:val="bg-BG"/>
        </w:rPr>
        <w:t>/</w:t>
      </w:r>
      <w:r w:rsidRPr="00300AE0">
        <w:rPr>
          <w:i/>
          <w:iCs/>
        </w:rPr>
        <w:t>у Унгария</w:t>
      </w:r>
      <w:r w:rsidRPr="00300AE0">
        <w:t>, №</w:t>
      </w:r>
      <w:r>
        <w:t xml:space="preserve"> </w:t>
      </w:r>
      <w:r w:rsidRPr="00300AE0">
        <w:t>37138/14, §</w:t>
      </w:r>
      <w:r>
        <w:t xml:space="preserve"> 82</w:t>
      </w:r>
      <w:r w:rsidRPr="00300AE0">
        <w:t>, 12 януари 2016 г.</w:t>
      </w:r>
      <w:r>
        <w:t xml:space="preserve">; виж също </w:t>
      </w:r>
      <w:r w:rsidR="00601A58" w:rsidRPr="009D79BC">
        <w:rPr>
          <w:i/>
          <w:iCs/>
        </w:rPr>
        <w:t>Leander</w:t>
      </w:r>
      <w:r>
        <w:t xml:space="preserve">, цитирано по-горе, </w:t>
      </w:r>
      <w:r w:rsidR="00374AD3">
        <w:rPr>
          <w:rFonts w:cstheme="minorHAnsi"/>
          <w:lang w:val="bg-BG"/>
        </w:rPr>
        <w:t>членове</w:t>
      </w:r>
      <w:r>
        <w:t xml:space="preserve"> 40 и 65).</w:t>
      </w:r>
    </w:p>
    <w:bookmarkStart w:id="366" w:name="L_C_A_8_m_just_C_apl_pr_oversight_4"/>
    <w:p w14:paraId="44FA95E6" w14:textId="1D2007B3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158</w:t>
      </w:r>
      <w:r>
        <w:fldChar w:fldCharType="end"/>
      </w:r>
      <w:bookmarkEnd w:id="366"/>
      <w:r w:rsidR="00374AD3">
        <w:t xml:space="preserve">. </w:t>
      </w:r>
      <w:r>
        <w:t xml:space="preserve">Няма данни, че </w:t>
      </w:r>
      <w:r w:rsidR="00601A58">
        <w:rPr>
          <w:lang w:val="bg-BG"/>
        </w:rPr>
        <w:t>председателят</w:t>
      </w:r>
      <w:r>
        <w:t>, заместник-</w:t>
      </w:r>
      <w:r w:rsidR="00601A58">
        <w:rPr>
          <w:lang w:val="bg-BG"/>
        </w:rPr>
        <w:t>председателите</w:t>
      </w:r>
      <w:r>
        <w:t xml:space="preserve"> или служителите на Агенцията някога са били призовани в българския парламент, за да докладват за използването от страна на Агенцията на „</w:t>
      </w:r>
      <w:r w:rsidR="00636119">
        <w:t>служители</w:t>
      </w:r>
      <w:r>
        <w:t xml:space="preserve"> </w:t>
      </w:r>
      <w:r w:rsidR="00601A58">
        <w:rPr>
          <w:lang w:val="bg-BG"/>
        </w:rPr>
        <w:t>на</w:t>
      </w:r>
      <w:r>
        <w:t xml:space="preserve"> прикритие“ 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RLF_SANSA_s_132_2_etc \h  \* MERGEFORMAT </w:instrText>
      </w:r>
      <w:r>
        <w:fldChar w:fldCharType="separate"/>
      </w:r>
      <w:r w:rsidR="00F21D3F">
        <w:t>56</w:t>
      </w:r>
      <w:r>
        <w:fldChar w:fldCharType="end"/>
      </w:r>
      <w:r>
        <w:t xml:space="preserve"> по-горе). Няма и данни, че този въпрос е бил засегнат в докладите на Агенцията до правителството или до президента на републиката (вж. </w:t>
      </w:r>
      <w:r w:rsidR="00CA1E7F">
        <w:t>П</w:t>
      </w:r>
      <w:r>
        <w:t>араграфи</w:t>
      </w:r>
      <w:r w:rsidR="00CA1E7F">
        <w:rPr>
          <w:lang w:val="bg-BG"/>
        </w:rPr>
        <w:t xml:space="preserve"> </w:t>
      </w:r>
      <w:r>
        <w:fldChar w:fldCharType="begin"/>
      </w:r>
      <w:r>
        <w:instrText xml:space="preserve"> REF  RLF_SANSA_s_132_3_etc \h  \* MERGEFORMAT </w:instrText>
      </w:r>
      <w:r>
        <w:fldChar w:fldCharType="separate"/>
      </w:r>
      <w:r w:rsidR="00F21D3F">
        <w:t>57</w:t>
      </w:r>
      <w:r>
        <w:fldChar w:fldCharType="end"/>
      </w:r>
      <w:r>
        <w:t>-</w:t>
      </w:r>
      <w:r>
        <w:fldChar w:fldCharType="begin"/>
      </w:r>
      <w:r>
        <w:instrText xml:space="preserve"> REF  RLF_SANSA_s_132a \h  \* MERGEFORMAT </w:instrText>
      </w:r>
      <w:r>
        <w:fldChar w:fldCharType="separate"/>
      </w:r>
      <w:r w:rsidR="00F21D3F">
        <w:t>58</w:t>
      </w:r>
      <w:r>
        <w:fldChar w:fldCharType="end"/>
      </w:r>
      <w:r>
        <w:t xml:space="preserve"> по-горе). Във всеки случай такъв общ политически контрол едва ли може да се счита за независим (вж., </w:t>
      </w:r>
      <w:r w:rsidRPr="00EF51CB">
        <w:rPr>
          <w:i/>
          <w:iCs/>
        </w:rPr>
        <w:t>mutatis mutandis</w:t>
      </w:r>
      <w:r>
        <w:t xml:space="preserve">, </w:t>
      </w:r>
      <w:r w:rsidRPr="00EF51CB">
        <w:rPr>
          <w:i/>
          <w:iCs/>
        </w:rPr>
        <w:t>Асоциация за европейс</w:t>
      </w:r>
      <w:r w:rsidR="00374AD3">
        <w:rPr>
          <w:i/>
          <w:iCs/>
        </w:rPr>
        <w:t>ка интеграция и права на човека</w:t>
      </w:r>
      <w:r w:rsidRPr="00EF51CB">
        <w:rPr>
          <w:i/>
          <w:iCs/>
        </w:rPr>
        <w:t xml:space="preserve"> и </w:t>
      </w:r>
      <w:r w:rsidR="00374AD3">
        <w:rPr>
          <w:i/>
          <w:iCs/>
          <w:lang w:val="bg-BG"/>
        </w:rPr>
        <w:t>Екимджиев</w:t>
      </w:r>
      <w:r w:rsidRPr="00EF51CB">
        <w:t xml:space="preserve">, </w:t>
      </w:r>
      <w:bookmarkStart w:id="367" w:name="_cl37389THELAW"/>
      <w:r w:rsidR="00CA1E7F">
        <w:rPr>
          <w:lang w:val="bg-BG"/>
        </w:rPr>
        <w:t>§</w:t>
      </w:r>
      <w:r w:rsidR="00374AD3">
        <w:t xml:space="preserve"> 87, и </w:t>
      </w:r>
      <w:r>
        <w:t xml:space="preserve"> </w:t>
      </w:r>
      <w:bookmarkEnd w:id="367"/>
      <w:r w:rsidR="00CA1E7F" w:rsidRPr="00CA1E7F">
        <w:rPr>
          <w:i/>
          <w:iCs/>
        </w:rPr>
        <w:t>Szabó and Vissy</w:t>
      </w:r>
      <w:r w:rsidRPr="00300AE0">
        <w:t xml:space="preserve">, </w:t>
      </w:r>
      <w:r w:rsidR="00CA1E7F">
        <w:rPr>
          <w:lang w:val="bg-BG"/>
        </w:rPr>
        <w:t>§</w:t>
      </w:r>
      <w:r>
        <w:t xml:space="preserve"> 75</w:t>
      </w:r>
      <w:r w:rsidRPr="00300AE0">
        <w:t xml:space="preserve">, </w:t>
      </w:r>
      <w:r>
        <w:t>и двете цитирани по-горе), или за достатъчен, за да предотврати индивидуални злоупотреби.</w:t>
      </w:r>
    </w:p>
    <w:bookmarkStart w:id="368" w:name="L_C_A_8_m_just_C_apl_pr_oversight_5"/>
    <w:p w14:paraId="5C55685A" w14:textId="1806A682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159</w:t>
      </w:r>
      <w:r>
        <w:fldChar w:fldCharType="end"/>
      </w:r>
      <w:bookmarkEnd w:id="368"/>
      <w:r w:rsidR="00374AD3">
        <w:t xml:space="preserve">. </w:t>
      </w:r>
      <w:r>
        <w:t>Не изглежда също така, че операциите на Агенцията, свързани с използването на „</w:t>
      </w:r>
      <w:r w:rsidR="00636119">
        <w:t>служители</w:t>
      </w:r>
      <w:r>
        <w:t xml:space="preserve"> </w:t>
      </w:r>
      <w:r w:rsidR="00216F97">
        <w:rPr>
          <w:lang w:val="bg-BG"/>
        </w:rPr>
        <w:t>на</w:t>
      </w:r>
      <w:r>
        <w:t xml:space="preserve"> прикритие“, някога са били проверявани от </w:t>
      </w:r>
      <w:r w:rsidRPr="003C2ED2">
        <w:t xml:space="preserve">Комисията за защита на личните данни </w:t>
      </w:r>
      <w:r w:rsidR="00216F97">
        <w:t xml:space="preserve">– която съгласно чл. </w:t>
      </w:r>
      <w:r>
        <w:t xml:space="preserve">37 от Закона от 2007 г. осъществява </w:t>
      </w:r>
      <w:r w:rsidRPr="003A2A92">
        <w:t xml:space="preserve">надзор върху обработката на лични данни от Агенцията </w:t>
      </w:r>
      <w:r>
        <w:t>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RLF_SANSA_s_37 \h  \* MERGEFORMAT </w:instrText>
      </w:r>
      <w:r>
        <w:fldChar w:fldCharType="separate"/>
      </w:r>
      <w:r w:rsidR="00F21D3F">
        <w:t>72</w:t>
      </w:r>
      <w:r>
        <w:fldChar w:fldCharType="end"/>
      </w:r>
      <w:r>
        <w:t xml:space="preserve"> по-горе). Всъщност, както е отбелязано в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L_C_A_8_m_int_C_victim_rem_6 \h  \* MERGEFORMAT </w:instrText>
      </w:r>
      <w:r>
        <w:fldChar w:fldCharType="separate"/>
      </w:r>
      <w:r w:rsidR="00F21D3F">
        <w:t>128</w:t>
      </w:r>
      <w:r>
        <w:fldChar w:fldCharType="end"/>
      </w:r>
      <w:r>
        <w:t xml:space="preserve"> по-горе, не е яс</w:t>
      </w:r>
      <w:r w:rsidR="00737346">
        <w:t>но дали правомощието, което чл.</w:t>
      </w:r>
      <w:r>
        <w:t xml:space="preserve"> 37 предоставя на тази комисия, се отнася до оперативните данни, събрани от Агенцията.</w:t>
      </w:r>
    </w:p>
    <w:bookmarkStart w:id="369" w:name="L_C_A_8_m_just_C_apl_pr_oversight_6"/>
    <w:p w14:paraId="53912FB1" w14:textId="2D1E1F11" w:rsidR="00304BC9" w:rsidRPr="004A68B3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160</w:t>
      </w:r>
      <w:r>
        <w:fldChar w:fldCharType="end"/>
      </w:r>
      <w:bookmarkEnd w:id="369"/>
      <w:r w:rsidR="00374AD3">
        <w:t xml:space="preserve">. </w:t>
      </w:r>
      <w:r>
        <w:t>С оглед на горните съображения системата за надзор върху използването на „</w:t>
      </w:r>
      <w:r w:rsidR="00636119">
        <w:t>служители</w:t>
      </w:r>
      <w:r>
        <w:t xml:space="preserve"> </w:t>
      </w:r>
      <w:r w:rsidR="00BA11BF">
        <w:rPr>
          <w:lang w:val="bg-BG"/>
        </w:rPr>
        <w:t>на</w:t>
      </w:r>
      <w:r>
        <w:t xml:space="preserve"> прикритие“ не изглежда способна да предостави ефект</w:t>
      </w:r>
      <w:r w:rsidR="00BA11BF">
        <w:t>ивни гаранции срещу произвол или злоупотреб</w:t>
      </w:r>
      <w:r w:rsidR="00BA11BF">
        <w:rPr>
          <w:lang w:val="bg-BG"/>
        </w:rPr>
        <w:t xml:space="preserve">а при използването </w:t>
      </w:r>
      <w:r>
        <w:t xml:space="preserve">им от Агенцията (вж., </w:t>
      </w:r>
      <w:r w:rsidRPr="00D941C9">
        <w:rPr>
          <w:i/>
          <w:iCs/>
        </w:rPr>
        <w:t>mutatis mutandis</w:t>
      </w:r>
      <w:r>
        <w:t xml:space="preserve">,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BA11BF">
        <w:rPr>
          <w:rFonts w:cstheme="minorHAnsi"/>
          <w:lang w:val="bg-BG"/>
        </w:rPr>
        <w:t>§</w:t>
      </w:r>
      <w:r>
        <w:rPr>
          <w:rFonts w:cstheme="minorHAnsi"/>
        </w:rPr>
        <w:t xml:space="preserve"> 347), или срещу риска от </w:t>
      </w:r>
      <w:r w:rsidRPr="00965D0C">
        <w:rPr>
          <w:rFonts w:cstheme="minorHAnsi"/>
        </w:rPr>
        <w:t xml:space="preserve">злоупотреба с власт от </w:t>
      </w:r>
      <w:r>
        <w:rPr>
          <w:rFonts w:cstheme="minorHAnsi"/>
        </w:rPr>
        <w:t>самите „</w:t>
      </w:r>
      <w:r w:rsidR="00636119">
        <w:rPr>
          <w:rFonts w:cstheme="minorHAnsi"/>
        </w:rPr>
        <w:t>служители</w:t>
      </w:r>
      <w:r>
        <w:rPr>
          <w:rFonts w:cstheme="minorHAnsi"/>
        </w:rPr>
        <w:t xml:space="preserve"> </w:t>
      </w:r>
      <w:r w:rsidR="00E017DE">
        <w:rPr>
          <w:rFonts w:cstheme="minorHAnsi"/>
          <w:lang w:val="bg-BG"/>
        </w:rPr>
        <w:t>на</w:t>
      </w:r>
      <w:r>
        <w:rPr>
          <w:rFonts w:cstheme="minorHAnsi"/>
        </w:rPr>
        <w:t xml:space="preserve"> прикритие“ – </w:t>
      </w:r>
      <w:r w:rsidR="00E017DE">
        <w:rPr>
          <w:rFonts w:cstheme="minorHAnsi"/>
          <w:lang w:val="bg-BG"/>
        </w:rPr>
        <w:t>който</w:t>
      </w:r>
      <w:r>
        <w:rPr>
          <w:rFonts w:cstheme="minorHAnsi"/>
        </w:rPr>
        <w:t>, както показва практиката на други държави, може да се разглежда като реал</w:t>
      </w:r>
      <w:r w:rsidR="00E017DE">
        <w:rPr>
          <w:rFonts w:cstheme="minorHAnsi"/>
          <w:lang w:val="bg-BG"/>
        </w:rPr>
        <w:t>е</w:t>
      </w:r>
      <w:r w:rsidR="00E017DE">
        <w:rPr>
          <w:rFonts w:cstheme="minorHAnsi"/>
        </w:rPr>
        <w:t>н</w:t>
      </w:r>
      <w:r>
        <w:rPr>
          <w:rFonts w:cstheme="minorHAnsi"/>
        </w:rPr>
        <w:t xml:space="preserve"> при липса на </w:t>
      </w:r>
      <w:r w:rsidRPr="00965D0C">
        <w:rPr>
          <w:rFonts w:cstheme="minorHAnsi"/>
        </w:rPr>
        <w:t xml:space="preserve">подходящ надзор </w:t>
      </w:r>
      <w:r>
        <w:rPr>
          <w:rFonts w:cstheme="minorHAnsi"/>
        </w:rPr>
        <w:t>(вж. сравнителноправната информация, посочена в</w:t>
      </w:r>
      <w:bookmarkStart w:id="370" w:name="_cl38841THELAW"/>
      <w:r w:rsidRPr="004A68B3">
        <w:rPr>
          <w:i/>
          <w:iCs/>
        </w:rPr>
        <w:t xml:space="preserve"> </w:t>
      </w:r>
      <w:r w:rsidR="00E017DE" w:rsidRPr="004A68B3">
        <w:rPr>
          <w:i/>
          <w:iCs/>
        </w:rPr>
        <w:t>Veselov and Others</w:t>
      </w:r>
      <w:r w:rsidRPr="004A68B3">
        <w:rPr>
          <w:i/>
          <w:iCs/>
        </w:rPr>
        <w:t xml:space="preserve"> с</w:t>
      </w:r>
      <w:r w:rsidR="00374AD3">
        <w:rPr>
          <w:i/>
          <w:iCs/>
          <w:lang w:val="bg-BG"/>
        </w:rPr>
        <w:t>/</w:t>
      </w:r>
      <w:r w:rsidRPr="004A68B3">
        <w:rPr>
          <w:i/>
          <w:iCs/>
        </w:rPr>
        <w:t>у Русия</w:t>
      </w:r>
      <w:bookmarkEnd w:id="370"/>
      <w:r w:rsidRPr="004A68B3">
        <w:t xml:space="preserve"> , № 23200/10 и 2 други, </w:t>
      </w:r>
      <w:r w:rsidR="00E017DE">
        <w:rPr>
          <w:rFonts w:cstheme="minorHAnsi"/>
          <w:lang w:val="bg-BG"/>
        </w:rPr>
        <w:t>§§</w:t>
      </w:r>
      <w:r>
        <w:t xml:space="preserve"> 50 и 62</w:t>
      </w:r>
      <w:r w:rsidRPr="004A68B3">
        <w:t>, 2 октомври 2012 г.</w:t>
      </w:r>
      <w:r>
        <w:t>).</w:t>
      </w:r>
    </w:p>
    <w:p w14:paraId="03DF81D4" w14:textId="77777777" w:rsidR="00304BC9" w:rsidRDefault="000F3485" w:rsidP="00304BC9">
      <w:pPr>
        <w:pStyle w:val="JuHalpha"/>
      </w:pPr>
      <w:bookmarkStart w:id="371" w:name="_Toc232688327"/>
      <w:r w:rsidRPr="00AA6854">
        <w:t>Уведомяване</w:t>
      </w:r>
      <w:bookmarkEnd w:id="371"/>
    </w:p>
    <w:bookmarkStart w:id="372" w:name="L_C_A_8_m_just_C_apl_pr_notif_1"/>
    <w:p w14:paraId="30846467" w14:textId="7D80731B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161</w:t>
      </w:r>
      <w:r>
        <w:fldChar w:fldCharType="end"/>
      </w:r>
      <w:bookmarkEnd w:id="372"/>
      <w:r w:rsidR="00374AD3">
        <w:t>. </w:t>
      </w:r>
      <w:r w:rsidRPr="007543B6">
        <w:t>Съответните фактори в тази рубрика са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Pr="007543B6">
        <w:t xml:space="preserve">) </w:t>
      </w:r>
      <w:r>
        <w:t>дали е възможно властите да уведомят дадено лице или организация</w:t>
      </w:r>
      <w:r w:rsidRPr="007543B6">
        <w:t>,</w:t>
      </w:r>
      <w:r>
        <w:t xml:space="preserve"> че </w:t>
      </w:r>
      <w:r w:rsidR="004655F7">
        <w:rPr>
          <w:lang w:val="bg-BG"/>
        </w:rPr>
        <w:t>спрямо</w:t>
      </w:r>
      <w:r>
        <w:t xml:space="preserve"> него или нея е бил </w:t>
      </w:r>
      <w:r w:rsidR="004655F7">
        <w:rPr>
          <w:lang w:val="bg-BG"/>
        </w:rPr>
        <w:t>използван</w:t>
      </w:r>
      <w:r>
        <w:t xml:space="preserve"> „</w:t>
      </w:r>
      <w:r w:rsidR="00145B17">
        <w:t xml:space="preserve">служител </w:t>
      </w:r>
      <w:r w:rsidR="004655F7">
        <w:rPr>
          <w:lang w:val="bg-BG"/>
        </w:rPr>
        <w:t xml:space="preserve">на </w:t>
      </w:r>
      <w:r w:rsidR="00145B17">
        <w:t>прикритие</w:t>
      </w:r>
      <w:r>
        <w:t>“</w:t>
      </w:r>
      <w:r w:rsidRPr="007543B6">
        <w:t>,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Pr="007543B6">
        <w:t xml:space="preserve">) дали </w:t>
      </w:r>
      <w:r>
        <w:t xml:space="preserve">такова уведомление представлява </w:t>
      </w:r>
      <w:r w:rsidRPr="007543B6">
        <w:t xml:space="preserve">предпоставка за </w:t>
      </w:r>
      <w:r>
        <w:t xml:space="preserve">ползване на </w:t>
      </w:r>
      <w:r w:rsidRPr="007543B6">
        <w:t xml:space="preserve">наличните средства за правна защита </w:t>
      </w:r>
      <w:r>
        <w:t xml:space="preserve">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други</w:t>
      </w:r>
      <w:r>
        <w:t xml:space="preserve">, цитирано по-горе, </w:t>
      </w:r>
      <w:r w:rsidR="00D553F1">
        <w:rPr>
          <w:rFonts w:cstheme="minorHAnsi"/>
          <w:lang w:val="bg-BG"/>
        </w:rPr>
        <w:t>§</w:t>
      </w:r>
      <w:r>
        <w:rPr>
          <w:rFonts w:cstheme="minorHAnsi"/>
        </w:rPr>
        <w:t xml:space="preserve"> 348).</w:t>
      </w:r>
    </w:p>
    <w:bookmarkStart w:id="373" w:name="L_C_A_8_m_just_C_apl_pr_notif_2"/>
    <w:p w14:paraId="620C9AB5" w14:textId="75C27005" w:rsidR="00304BC9" w:rsidRDefault="000F3485" w:rsidP="00304BC9">
      <w:pPr>
        <w:pStyle w:val="JuPara"/>
      </w:pPr>
      <w:r w:rsidRPr="005527BD">
        <w:lastRenderedPageBreak/>
        <w:fldChar w:fldCharType="begin"/>
      </w:r>
      <w:r w:rsidRPr="005527BD">
        <w:instrText xml:space="preserve"> SEQ level0 \*arabic \* MERGEFORMAT </w:instrText>
      </w:r>
      <w:r w:rsidRPr="005527BD">
        <w:fldChar w:fldCharType="separate"/>
      </w:r>
      <w:r w:rsidR="00F21D3F">
        <w:rPr>
          <w:noProof/>
        </w:rPr>
        <w:t>162</w:t>
      </w:r>
      <w:r w:rsidRPr="005527BD">
        <w:fldChar w:fldCharType="end"/>
      </w:r>
      <w:bookmarkEnd w:id="373"/>
      <w:r w:rsidRPr="005527BD">
        <w:t xml:space="preserve">. </w:t>
      </w:r>
      <w:r>
        <w:t>Въпросните</w:t>
      </w:r>
      <w:r w:rsidRPr="005527BD">
        <w:t xml:space="preserve"> </w:t>
      </w:r>
      <w:r w:rsidR="008523B7">
        <w:rPr>
          <w:lang w:val="bg-BG"/>
        </w:rPr>
        <w:t>правила</w:t>
      </w:r>
      <w:r>
        <w:t xml:space="preserve">, </w:t>
      </w:r>
      <w:r w:rsidR="008523B7">
        <w:rPr>
          <w:lang w:val="bg-BG"/>
        </w:rPr>
        <w:t xml:space="preserve">както са </w:t>
      </w:r>
      <w:r>
        <w:t xml:space="preserve">изменени през </w:t>
      </w:r>
      <w:r w:rsidR="008523B7">
        <w:rPr>
          <w:lang w:val="bg-BG"/>
        </w:rPr>
        <w:t xml:space="preserve">м. </w:t>
      </w:r>
      <w:r>
        <w:t xml:space="preserve">септември 2018 г., </w:t>
      </w:r>
      <w:r w:rsidRPr="005527BD">
        <w:t xml:space="preserve">не предвиждат никой да бъде уведомяван </w:t>
      </w:r>
      <w:r>
        <w:t xml:space="preserve">– </w:t>
      </w:r>
      <w:r w:rsidR="008523B7">
        <w:t xml:space="preserve">при </w:t>
      </w:r>
      <w:r w:rsidRPr="005527BD">
        <w:t xml:space="preserve">никакви обстоятелства и </w:t>
      </w:r>
      <w:r w:rsidR="007C7751">
        <w:rPr>
          <w:lang w:val="bg-BG"/>
        </w:rPr>
        <w:t>по никакъв начин</w:t>
      </w:r>
      <w:r w:rsidRPr="005527BD">
        <w:t xml:space="preserve"> </w:t>
      </w:r>
      <w:r>
        <w:t xml:space="preserve">– </w:t>
      </w:r>
      <w:r w:rsidRPr="005527BD">
        <w:t xml:space="preserve">за използването на </w:t>
      </w:r>
      <w:r>
        <w:t>„</w:t>
      </w:r>
      <w:r w:rsidR="00145B17">
        <w:t xml:space="preserve">служител </w:t>
      </w:r>
      <w:r w:rsidR="007C7751">
        <w:rPr>
          <w:lang w:val="bg-BG"/>
        </w:rPr>
        <w:t>на</w:t>
      </w:r>
      <w:r w:rsidR="00145B17">
        <w:t xml:space="preserve"> прикритие</w:t>
      </w:r>
      <w:r w:rsidRPr="005527BD">
        <w:t xml:space="preserve">“. </w:t>
      </w:r>
      <w:r>
        <w:t xml:space="preserve">Нито пък такова уведомление може да бъде направено от </w:t>
      </w:r>
      <w:r w:rsidRPr="00B24170">
        <w:t xml:space="preserve">Националното бюро за </w:t>
      </w:r>
      <w:r w:rsidR="00E91308">
        <w:rPr>
          <w:lang w:val="bg-BG"/>
        </w:rPr>
        <w:t>контрол</w:t>
      </w:r>
      <w:r>
        <w:t xml:space="preserve"> </w:t>
      </w:r>
      <w:r w:rsidR="00D553F1">
        <w:rPr>
          <w:lang w:val="bg-BG"/>
        </w:rPr>
        <w:t>на</w:t>
      </w:r>
      <w:r w:rsidRPr="00B24170">
        <w:t xml:space="preserve"> специалните </w:t>
      </w:r>
      <w:r w:rsidR="00AD265D">
        <w:rPr>
          <w:lang w:val="bg-BG"/>
        </w:rPr>
        <w:t xml:space="preserve">разузнавателни </w:t>
      </w:r>
      <w:r w:rsidRPr="00B24170">
        <w:t xml:space="preserve">средства </w:t>
      </w:r>
      <w:r>
        <w:t xml:space="preserve">(вж. </w:t>
      </w:r>
      <w:r w:rsidR="00374AD3">
        <w:rPr>
          <w:lang w:val="bg-BG"/>
        </w:rPr>
        <w:t xml:space="preserve">параграф </w:t>
      </w:r>
      <w:r>
        <w:fldChar w:fldCharType="begin"/>
      </w:r>
      <w:r>
        <w:instrText xml:space="preserve"> REF  L_C_A_8_m_int_C_victim_rem_2 \h  \* MERGEFORMAT </w:instrText>
      </w:r>
      <w:r>
        <w:fldChar w:fldCharType="separate"/>
      </w:r>
      <w:r w:rsidR="00F21D3F">
        <w:t>124</w:t>
      </w:r>
      <w:r>
        <w:fldChar w:fldCharType="end"/>
      </w:r>
      <w:r>
        <w:t xml:space="preserve"> по-горе). Не изглежда да има разпоредба за такова уведомяване и на друго място в българското законодателство. Не изглежда също така възможно лицата, които биха могли да бъдат засегнати от използването на такива </w:t>
      </w:r>
      <w:r w:rsidR="00636119">
        <w:t>служители</w:t>
      </w:r>
      <w:r>
        <w:t xml:space="preserve">, да получат информация за това използване съгласно разпоредбите, уреждащи достъпа до лични данни, обработвани от </w:t>
      </w:r>
      <w:r w:rsidRPr="00B032BF">
        <w:t>Агенцията (вж. параграфи</w:t>
      </w:r>
      <w:r w:rsidR="00374AD3">
        <w:rPr>
          <w:lang w:val="bg-BG"/>
        </w:rPr>
        <w:t xml:space="preserve"> </w:t>
      </w:r>
      <w:r w:rsidRPr="00B032BF">
        <w:fldChar w:fldCharType="begin"/>
      </w:r>
      <w:r w:rsidRPr="00B032BF">
        <w:instrText xml:space="preserve"> REF  L_C_A_8_m_int_C_victim_rem_3 \h  \* MERGEFORMAT </w:instrText>
      </w:r>
      <w:r w:rsidRPr="00B032BF">
        <w:fldChar w:fldCharType="separate"/>
      </w:r>
      <w:r w:rsidR="00F21D3F">
        <w:t>125</w:t>
      </w:r>
      <w:r w:rsidRPr="00B032BF">
        <w:fldChar w:fldCharType="end"/>
      </w:r>
      <w:r w:rsidRPr="00B032BF">
        <w:t>-</w:t>
      </w:r>
      <w:r w:rsidRPr="00B032BF">
        <w:fldChar w:fldCharType="begin"/>
      </w:r>
      <w:r w:rsidRPr="00B032BF">
        <w:instrText xml:space="preserve"> REF  L_C_A_8_m_int_C_victim_rem_5 \h  \* MERGEFORMAT </w:instrText>
      </w:r>
      <w:r w:rsidRPr="00B032BF">
        <w:fldChar w:fldCharType="separate"/>
      </w:r>
      <w:r w:rsidR="00F21D3F">
        <w:t>127</w:t>
      </w:r>
      <w:r w:rsidRPr="00B032BF">
        <w:fldChar w:fldCharType="end"/>
      </w:r>
      <w:r w:rsidRPr="00B032BF">
        <w:t xml:space="preserve"> по-горе), или съгласно общото законодателство за защита на данните (вж. параграф</w:t>
      </w:r>
      <w:r w:rsidR="00374AD3">
        <w:rPr>
          <w:lang w:val="bg-BG"/>
        </w:rPr>
        <w:t xml:space="preserve"> </w:t>
      </w:r>
      <w:r w:rsidRPr="00B032BF">
        <w:fldChar w:fldCharType="begin"/>
      </w:r>
      <w:r w:rsidRPr="00B032BF">
        <w:instrText xml:space="preserve"> REF  L_C_A_8_m_int_C_victim_rem_6 \h  \* MERGEFORMAT </w:instrText>
      </w:r>
      <w:r w:rsidRPr="00B032BF">
        <w:fldChar w:fldCharType="separate"/>
      </w:r>
      <w:r w:rsidR="00F21D3F">
        <w:t>128</w:t>
      </w:r>
      <w:r w:rsidRPr="00B032BF">
        <w:fldChar w:fldCharType="end"/>
      </w:r>
      <w:r w:rsidRPr="00B032BF">
        <w:t xml:space="preserve"> по-горе). Тази липса на уведомление или информация</w:t>
      </w:r>
      <w:r>
        <w:t xml:space="preserve">, макар и да не е непременно проблемна сама по себе си (тъй като </w:t>
      </w:r>
      <w:r w:rsidRPr="00C60235">
        <w:t xml:space="preserve">разкриването на факта, че </w:t>
      </w:r>
      <w:r>
        <w:t xml:space="preserve">в </w:t>
      </w:r>
      <w:r w:rsidRPr="00C60235">
        <w:t>дадена организация е бил разположен „</w:t>
      </w:r>
      <w:r w:rsidR="00145B17">
        <w:t xml:space="preserve">служител </w:t>
      </w:r>
      <w:r w:rsidR="005920E6">
        <w:rPr>
          <w:lang w:val="bg-BG"/>
        </w:rPr>
        <w:t xml:space="preserve">на </w:t>
      </w:r>
      <w:r w:rsidR="00145B17">
        <w:t>прикритие</w:t>
      </w:r>
      <w:r>
        <w:t xml:space="preserve">“, в много случаи неизбежно </w:t>
      </w:r>
      <w:r w:rsidRPr="00C60235">
        <w:t xml:space="preserve">би </w:t>
      </w:r>
      <w:r>
        <w:t xml:space="preserve">дало улики за самоличността на този </w:t>
      </w:r>
      <w:r w:rsidR="00636119">
        <w:t>служител</w:t>
      </w:r>
      <w:r>
        <w:t xml:space="preserve"> или дори би било равносилно </w:t>
      </w:r>
      <w:r w:rsidRPr="00C60235">
        <w:t xml:space="preserve">на разкриване на неговата </w:t>
      </w:r>
      <w:r>
        <w:t xml:space="preserve">или </w:t>
      </w:r>
      <w:r w:rsidRPr="00C60235">
        <w:t>нейната самоличност</w:t>
      </w:r>
      <w:r>
        <w:t>), от своя страна засяга възможностите на тези лица да търсят правна защита (вж. параграфи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L_C_A_8_m_int_C_victim_rem_11 \h  \* MERGEFORMAT </w:instrText>
      </w:r>
      <w:r>
        <w:fldChar w:fldCharType="separate"/>
      </w:r>
      <w:r w:rsidR="00F21D3F">
        <w:t>133</w:t>
      </w:r>
      <w:r>
        <w:fldChar w:fldCharType="end"/>
      </w:r>
      <w:r>
        <w:t>-</w:t>
      </w:r>
      <w:r>
        <w:fldChar w:fldCharType="begin"/>
      </w:r>
      <w:r>
        <w:instrText xml:space="preserve"> REF  L_C_A_8_m_int_C_victim_rem_12 \h  \* MERGEFORMAT </w:instrText>
      </w:r>
      <w:r>
        <w:fldChar w:fldCharType="separate"/>
      </w:r>
      <w:r w:rsidR="00F21D3F">
        <w:t>134</w:t>
      </w:r>
      <w:r>
        <w:fldChar w:fldCharType="end"/>
      </w:r>
      <w:r>
        <w:t xml:space="preserve"> по-горе).</w:t>
      </w:r>
    </w:p>
    <w:p w14:paraId="1898030C" w14:textId="77777777" w:rsidR="00304BC9" w:rsidRDefault="000F3485" w:rsidP="00304BC9">
      <w:pPr>
        <w:pStyle w:val="JuHalpha"/>
      </w:pPr>
      <w:bookmarkStart w:id="374" w:name="_Toc232688328"/>
      <w:r w:rsidRPr="00AA6854">
        <w:t>Средства за правна защита</w:t>
      </w:r>
      <w:bookmarkEnd w:id="374"/>
    </w:p>
    <w:bookmarkStart w:id="375" w:name="L_C_A_8_m_just_C_apl_pr_remedies_1"/>
    <w:p w14:paraId="1AB9AF6A" w14:textId="2F57F4C5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163</w:t>
      </w:r>
      <w:r>
        <w:fldChar w:fldCharType="end"/>
      </w:r>
      <w:bookmarkEnd w:id="375"/>
      <w:r w:rsidR="00374AD3">
        <w:t xml:space="preserve">. </w:t>
      </w:r>
      <w:r>
        <w:t>Както е отбелязано в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L_C_A_8_m_int_C_victim_rem_2 \h  \* MERGEFORMAT </w:instrText>
      </w:r>
      <w:r>
        <w:fldChar w:fldCharType="separate"/>
      </w:r>
      <w:r w:rsidR="00F21D3F">
        <w:t>124</w:t>
      </w:r>
      <w:r>
        <w:fldChar w:fldCharType="end"/>
      </w:r>
      <w:r>
        <w:t xml:space="preserve"> по-горе, специалното средство за правна защита, въведено през 2009 г. по отношение на „специалните </w:t>
      </w:r>
      <w:r w:rsidR="00BC2B29">
        <w:rPr>
          <w:lang w:val="bg-BG"/>
        </w:rPr>
        <w:t xml:space="preserve">разузнавателни </w:t>
      </w:r>
      <w:r w:rsidR="00BC2B29">
        <w:t>средства</w:t>
      </w:r>
      <w:r>
        <w:t xml:space="preserve">“ – иск за обезщетение за вреди </w:t>
      </w:r>
      <w:r w:rsidR="00BC2B29">
        <w:rPr>
          <w:lang w:val="bg-BG"/>
        </w:rPr>
        <w:t>в случай на</w:t>
      </w:r>
      <w:r>
        <w:t xml:space="preserve"> тяхното незаконно използване (вж. </w:t>
      </w:r>
      <w:r w:rsidR="00374AD3">
        <w:rPr>
          <w:i/>
          <w:iCs/>
          <w:lang w:val="bg-BG"/>
        </w:rPr>
        <w:t>Екимджиев</w:t>
      </w:r>
      <w:r w:rsidRPr="00160468">
        <w:rPr>
          <w:i/>
          <w:iCs/>
        </w:rPr>
        <w:t xml:space="preserve"> и др.</w:t>
      </w:r>
      <w:r>
        <w:t xml:space="preserve">, цитирано по-горе, </w:t>
      </w:r>
      <w:r w:rsidR="00BC2B29">
        <w:rPr>
          <w:rFonts w:cstheme="minorHAnsi"/>
          <w:lang w:val="bg-BG"/>
        </w:rPr>
        <w:t>§§</w:t>
      </w:r>
      <w:r>
        <w:t xml:space="preserve"> 136–144 и 265–272) – не се прилага по отношение на „</w:t>
      </w:r>
      <w:r w:rsidR="00636119">
        <w:t>служители</w:t>
      </w:r>
      <w:r>
        <w:t xml:space="preserve">те </w:t>
      </w:r>
      <w:r w:rsidR="00334158">
        <w:rPr>
          <w:lang w:val="bg-BG"/>
        </w:rPr>
        <w:t>на</w:t>
      </w:r>
      <w:r>
        <w:t xml:space="preserve"> прикритие“. </w:t>
      </w:r>
      <w:r w:rsidRPr="00D734B3">
        <w:t>Средството</w:t>
      </w:r>
      <w:r>
        <w:t xml:space="preserve"> за защита на личните данни съгласно </w:t>
      </w:r>
      <w:r w:rsidR="00334158">
        <w:t>чл.</w:t>
      </w:r>
      <w:r>
        <w:t xml:space="preserve"> 36, </w:t>
      </w:r>
      <w:r w:rsidR="00334158">
        <w:rPr>
          <w:lang w:val="bg-BG"/>
        </w:rPr>
        <w:t>ал.</w:t>
      </w:r>
      <w:r>
        <w:t xml:space="preserve"> 4 и 9 от </w:t>
      </w:r>
      <w:r w:rsidRPr="00D734B3">
        <w:t>Закона от</w:t>
      </w:r>
      <w:r>
        <w:t xml:space="preserve"> 2007 г. също не изглежда да е ефективно по отношение на тях. Същото важи и за възможностите за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>) подаване на жалба до Комисията за защита на личните данни,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>) ползване на другите общи средства за защита на личните данни съгласно Закона от 2002 г.,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>
        <w:t xml:space="preserve">) </w:t>
      </w:r>
      <w:r w:rsidR="00334158">
        <w:rPr>
          <w:lang w:val="bg-BG"/>
        </w:rPr>
        <w:t>обжалване по съдебен ред на</w:t>
      </w:r>
      <w:r>
        <w:t xml:space="preserve"> решенията на </w:t>
      </w:r>
      <w:r w:rsidR="00334158">
        <w:rPr>
          <w:lang w:val="bg-BG"/>
        </w:rPr>
        <w:t>председателя</w:t>
      </w:r>
      <w:r>
        <w:t xml:space="preserve"> на Агенцията и 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г</w:t>
      </w:r>
      <w:r w:rsidR="009178E0">
        <w:rPr>
          <w:noProof/>
        </w:rPr>
        <w:fldChar w:fldCharType="end"/>
      </w:r>
      <w:r>
        <w:t xml:space="preserve">) </w:t>
      </w:r>
      <w:r w:rsidR="00334158">
        <w:rPr>
          <w:lang w:val="bg-BG"/>
        </w:rPr>
        <w:t>ангажиране</w:t>
      </w:r>
      <w:r>
        <w:t xml:space="preserve"> на личната отговорност на „</w:t>
      </w:r>
      <w:r w:rsidR="00636119">
        <w:t>служители</w:t>
      </w:r>
      <w:r>
        <w:t xml:space="preserve">те </w:t>
      </w:r>
      <w:r w:rsidR="008D0C29">
        <w:rPr>
          <w:lang w:val="bg-BG"/>
        </w:rPr>
        <w:t>на</w:t>
      </w:r>
      <w:r>
        <w:t xml:space="preserve"> прикритие“ (вж. параграфи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L_C_A_8_m_int_C_victim_rem_3 \h  \* MERGEFORMAT </w:instrText>
      </w:r>
      <w:r>
        <w:fldChar w:fldCharType="separate"/>
      </w:r>
      <w:r w:rsidR="00F21D3F">
        <w:t>125</w:t>
      </w:r>
      <w:r>
        <w:fldChar w:fldCharType="end"/>
      </w:r>
      <w:r>
        <w:t xml:space="preserve"> –</w:t>
      </w:r>
      <w:r>
        <w:fldChar w:fldCharType="begin"/>
      </w:r>
      <w:r>
        <w:instrText xml:space="preserve"> REF  L_C_A_8_m_int_C_victim_rem_12 \h  \* MERGEFORMAT </w:instrText>
      </w:r>
      <w:r>
        <w:fldChar w:fldCharType="separate"/>
      </w:r>
      <w:r w:rsidR="00F21D3F">
        <w:t>134</w:t>
      </w:r>
      <w:r>
        <w:fldChar w:fldCharType="end"/>
      </w:r>
      <w:r>
        <w:t xml:space="preserve"> по-горе).</w:t>
      </w:r>
    </w:p>
    <w:bookmarkStart w:id="376" w:name="L_C_A_8_m_just_C_apl_pr_remedies_2"/>
    <w:p w14:paraId="608B36FE" w14:textId="6C8D9C98" w:rsidR="00304BC9" w:rsidRPr="008D0C29" w:rsidRDefault="000F3485" w:rsidP="00304BC9">
      <w:pPr>
        <w:pStyle w:val="JuPara"/>
        <w:rPr>
          <w:lang w:val="bg-BG"/>
        </w:rPr>
      </w:pPr>
      <w:r>
        <w:rPr>
          <w:rFonts w:ascii="TimesNewRomanPSMT" w:hAnsi="TimesNewRomanPSMT" w:cs="TimesNewRomanPSMT"/>
          <w:lang w:bidi="lo-LA"/>
        </w:rPr>
        <w:fldChar w:fldCharType="begin"/>
      </w:r>
      <w:r>
        <w:rPr>
          <w:rFonts w:ascii="TimesNewRomanPSMT" w:hAnsi="TimesNewRomanPSMT" w:cs="TimesNewRomanPSMT"/>
          <w:lang w:bidi="lo-LA"/>
        </w:rPr>
        <w:instrText xml:space="preserve"> SEQ level0 \*arabic \* MERGEFORMAT </w:instrText>
      </w:r>
      <w:r>
        <w:rPr>
          <w:rFonts w:ascii="TimesNewRomanPSMT" w:hAnsi="TimesNewRomanPSMT" w:cs="TimesNewRomanPSMT"/>
          <w:lang w:bidi="lo-LA"/>
        </w:rPr>
        <w:fldChar w:fldCharType="separate"/>
      </w:r>
      <w:r w:rsidR="00F21D3F">
        <w:rPr>
          <w:rFonts w:ascii="TimesNewRomanPSMT" w:hAnsi="TimesNewRomanPSMT" w:cs="TimesNewRomanPSMT"/>
          <w:noProof/>
          <w:lang w:bidi="lo-LA"/>
        </w:rPr>
        <w:t>164</w:t>
      </w:r>
      <w:r>
        <w:rPr>
          <w:rFonts w:ascii="TimesNewRomanPSMT" w:hAnsi="TimesNewRomanPSMT" w:cs="TimesNewRomanPSMT"/>
          <w:lang w:bidi="lo-LA"/>
        </w:rPr>
        <w:fldChar w:fldCharType="end"/>
      </w:r>
      <w:bookmarkEnd w:id="376"/>
      <w:r w:rsidR="00374AD3">
        <w:rPr>
          <w:rFonts w:cs="TimesNewRomanPSMT"/>
          <w:lang w:val="bg-BG" w:bidi="lo-LA"/>
        </w:rPr>
        <w:t xml:space="preserve">. </w:t>
      </w:r>
      <w:r w:rsidRPr="008D0C29">
        <w:rPr>
          <w:rFonts w:ascii="TimesNewRomanPSMT" w:hAnsi="TimesNewRomanPSMT" w:cs="TimesNewRomanPSMT"/>
          <w:lang w:val="bg-BG" w:bidi="lo-LA"/>
        </w:rPr>
        <w:t>От това следва, че българското законодателство не предвижда ефективни средства за защита по отношение на използването на „</w:t>
      </w:r>
      <w:r w:rsidR="00636119" w:rsidRPr="008D0C29">
        <w:rPr>
          <w:rFonts w:ascii="TimesNewRomanPSMT" w:hAnsi="TimesNewRomanPSMT" w:cs="TimesNewRomanPSMT"/>
          <w:lang w:val="bg-BG" w:bidi="lo-LA"/>
        </w:rPr>
        <w:t>служители</w:t>
      </w:r>
      <w:r w:rsidRPr="008D0C29">
        <w:rPr>
          <w:rFonts w:ascii="TimesNewRomanPSMT" w:hAnsi="TimesNewRomanPSMT" w:cs="TimesNewRomanPSMT"/>
          <w:lang w:val="bg-BG" w:bidi="lo-LA"/>
        </w:rPr>
        <w:t xml:space="preserve"> </w:t>
      </w:r>
      <w:r w:rsidR="008D0C29">
        <w:rPr>
          <w:rFonts w:cs="TimesNewRomanPSMT"/>
          <w:lang w:val="bg-BG" w:bidi="lo-LA"/>
        </w:rPr>
        <w:t>на</w:t>
      </w:r>
      <w:r w:rsidRPr="008D0C29">
        <w:rPr>
          <w:rFonts w:ascii="TimesNewRomanPSMT" w:hAnsi="TimesNewRomanPSMT" w:cs="TimesNewRomanPSMT"/>
          <w:lang w:val="bg-BG" w:bidi="lo-LA"/>
        </w:rPr>
        <w:t xml:space="preserve"> прикритие“.</w:t>
      </w:r>
    </w:p>
    <w:p w14:paraId="57C9A509" w14:textId="77777777" w:rsidR="00304BC9" w:rsidRDefault="000F3485" w:rsidP="00304BC9">
      <w:pPr>
        <w:pStyle w:val="JuHalpha"/>
      </w:pPr>
      <w:bookmarkStart w:id="377" w:name="_Toc232688329"/>
      <w:r>
        <w:t>Заключение</w:t>
      </w:r>
      <w:bookmarkEnd w:id="377"/>
    </w:p>
    <w:bookmarkStart w:id="378" w:name="L_C_A_8_m_just_C_conclusion"/>
    <w:p w14:paraId="6DCD2049" w14:textId="2CB4043F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165</w:t>
      </w:r>
      <w:r>
        <w:fldChar w:fldCharType="end"/>
      </w:r>
      <w:bookmarkEnd w:id="378"/>
      <w:r w:rsidR="00374AD3">
        <w:t xml:space="preserve">. </w:t>
      </w:r>
      <w:r>
        <w:t xml:space="preserve">В обобщение, разпоредбите, </w:t>
      </w:r>
      <w:r w:rsidRPr="00AA6854">
        <w:t xml:space="preserve">регулиращи </w:t>
      </w:r>
      <w:r>
        <w:t>използването на „</w:t>
      </w:r>
      <w:r w:rsidR="00636119">
        <w:t>служители</w:t>
      </w:r>
      <w:r>
        <w:t xml:space="preserve"> </w:t>
      </w:r>
      <w:r w:rsidR="00C777AD">
        <w:rPr>
          <w:lang w:val="bg-BG"/>
        </w:rPr>
        <w:t>на</w:t>
      </w:r>
      <w:r>
        <w:t xml:space="preserve"> прикритие“, </w:t>
      </w:r>
      <w:r w:rsidRPr="00AA6854">
        <w:t xml:space="preserve">не отговарят на минималните гаранции </w:t>
      </w:r>
      <w:r w:rsidRPr="00AA6854">
        <w:lastRenderedPageBreak/>
        <w:t>срещу произвол и злоупотреба, изисквани съгласно член 8 от Конвенцията, в следните аспекти:</w:t>
      </w:r>
    </w:p>
    <w:p w14:paraId="715C7E70" w14:textId="7DB693A5" w:rsidR="00304BC9" w:rsidRDefault="000F3485" w:rsidP="00304BC9">
      <w:pPr>
        <w:pStyle w:val="JuPara"/>
      </w:pPr>
      <w:r>
        <w:t>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 w:rsidR="00374AD3">
        <w:t xml:space="preserve">) </w:t>
      </w:r>
      <w:r>
        <w:t xml:space="preserve">широко формулираните основания, </w:t>
      </w:r>
      <w:r w:rsidR="00C777AD">
        <w:rPr>
          <w:lang w:val="bg-BG"/>
        </w:rPr>
        <w:t xml:space="preserve">въз основа </w:t>
      </w:r>
      <w:r>
        <w:t xml:space="preserve">на които могат да бъдат използвани такива </w:t>
      </w:r>
      <w:r w:rsidR="00636119">
        <w:t>служители</w:t>
      </w:r>
      <w:r>
        <w:t>, и областите, в които това е възможно, в съчетание с начина, по който се взема решение за това използване, могат да доведат до произвол и злоупотреби 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L_C_A_8_m_just_C_apl_pr_grounds_etc_1 \h  \* MERGEFORMAT </w:instrText>
      </w:r>
      <w:r>
        <w:fldChar w:fldCharType="separate"/>
      </w:r>
      <w:r w:rsidR="00F21D3F">
        <w:t>146</w:t>
      </w:r>
      <w:r>
        <w:fldChar w:fldCharType="end"/>
      </w:r>
      <w:r w:rsidR="0001232B">
        <w:t>-</w:t>
      </w:r>
      <w:r>
        <w:fldChar w:fldCharType="begin"/>
      </w:r>
      <w:r>
        <w:instrText xml:space="preserve"> REF  L_C_A_8_m_just_C_apl_pr_grounds_etc_3 \h  \* MERGEFORMAT </w:instrText>
      </w:r>
      <w:r>
        <w:fldChar w:fldCharType="separate"/>
      </w:r>
      <w:r w:rsidR="00F21D3F">
        <w:t>148</w:t>
      </w:r>
      <w:r>
        <w:fldChar w:fldCharType="end"/>
      </w:r>
      <w:r>
        <w:t xml:space="preserve"> по-горе);</w:t>
      </w:r>
    </w:p>
    <w:p w14:paraId="046B7A83" w14:textId="77777777" w:rsidR="00304BC9" w:rsidRDefault="000F3485" w:rsidP="00304BC9">
      <w:pPr>
        <w:pStyle w:val="JuPara"/>
      </w:pPr>
      <w:r>
        <w:t>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 w:rsidR="00374AD3">
        <w:t xml:space="preserve">) </w:t>
      </w:r>
      <w:r>
        <w:t xml:space="preserve">няма срокове, които да ограничават използването на такива </w:t>
      </w:r>
      <w:r w:rsidR="00636119">
        <w:t>служители</w:t>
      </w:r>
      <w:r>
        <w:t xml:space="preserve"> 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L_C_A_8_m_just_C_apl_pr_duration \h  \* MERGEFORMAT </w:instrText>
      </w:r>
      <w:r>
        <w:fldChar w:fldCharType="separate"/>
      </w:r>
      <w:r w:rsidR="00F21D3F">
        <w:t>149</w:t>
      </w:r>
      <w:r>
        <w:fldChar w:fldCharType="end"/>
      </w:r>
      <w:r>
        <w:t xml:space="preserve"> по-горе);</w:t>
      </w:r>
    </w:p>
    <w:p w14:paraId="2A47B5C1" w14:textId="77777777" w:rsidR="00304BC9" w:rsidRDefault="000F3485" w:rsidP="00304BC9">
      <w:pPr>
        <w:pStyle w:val="JuPara"/>
      </w:pPr>
      <w:r>
        <w:t>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в</w:t>
      </w:r>
      <w:r w:rsidR="009178E0">
        <w:rPr>
          <w:noProof/>
        </w:rPr>
        <w:fldChar w:fldCharType="end"/>
      </w:r>
      <w:r w:rsidR="00374AD3">
        <w:t xml:space="preserve">) </w:t>
      </w:r>
      <w:r>
        <w:t xml:space="preserve">процедурата за използване на такива </w:t>
      </w:r>
      <w:r w:rsidR="00636119">
        <w:t>служители</w:t>
      </w:r>
      <w:r>
        <w:t xml:space="preserve"> не изглежда способна да гарантира, че те ще бъдат използвани само когато това е „необходимо в едно демократично общество“ (вж. параграф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L_C_A_8_m_just_C_apl_pr_auth_pr_2 \h  \* MERGEFORMAT </w:instrText>
      </w:r>
      <w:r>
        <w:fldChar w:fldCharType="separate"/>
      </w:r>
      <w:r w:rsidR="00F21D3F">
        <w:t>151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L_C_A_8_m_just_C_apl_pr_auth_pr_4 \h  \* MERGEFORMAT </w:instrText>
      </w:r>
      <w:r>
        <w:fldChar w:fldCharType="separate"/>
      </w:r>
      <w:r w:rsidR="00F21D3F">
        <w:t>153</w:t>
      </w:r>
      <w:r>
        <w:fldChar w:fldCharType="end"/>
      </w:r>
      <w:r>
        <w:t xml:space="preserve"> по-горе);</w:t>
      </w:r>
    </w:p>
    <w:p w14:paraId="1C146F81" w14:textId="7305D295" w:rsidR="00304BC9" w:rsidRDefault="000F3485" w:rsidP="00304BC9">
      <w:pPr>
        <w:pStyle w:val="JuPara"/>
      </w:pPr>
      <w:r>
        <w:t>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г</w:t>
      </w:r>
      <w:r w:rsidR="009178E0">
        <w:rPr>
          <w:noProof/>
        </w:rPr>
        <w:fldChar w:fldCharType="end"/>
      </w:r>
      <w:r w:rsidR="00374AD3">
        <w:t xml:space="preserve">) </w:t>
      </w:r>
      <w:r>
        <w:t xml:space="preserve">не съществуват механизми за ефективен надзор върху използването на такива </w:t>
      </w:r>
      <w:r w:rsidR="00636119">
        <w:t>служители</w:t>
      </w:r>
      <w:r>
        <w:t xml:space="preserve">, което може да доведе до произвол и злоупотреби, както и до </w:t>
      </w:r>
      <w:r w:rsidRPr="00965D0C">
        <w:rPr>
          <w:rFonts w:cstheme="minorHAnsi"/>
        </w:rPr>
        <w:t xml:space="preserve">корупция или злоупотреба с власт от </w:t>
      </w:r>
      <w:r>
        <w:rPr>
          <w:rFonts w:cstheme="minorHAnsi"/>
        </w:rPr>
        <w:t>самите „</w:t>
      </w:r>
      <w:r w:rsidR="00636119">
        <w:rPr>
          <w:rFonts w:cstheme="minorHAnsi"/>
        </w:rPr>
        <w:t>служители</w:t>
      </w:r>
      <w:r w:rsidR="0001232B">
        <w:rPr>
          <w:rFonts w:cstheme="minorHAnsi"/>
        </w:rPr>
        <w:t xml:space="preserve"> на</w:t>
      </w:r>
      <w:r>
        <w:rPr>
          <w:rFonts w:cstheme="minorHAnsi"/>
        </w:rPr>
        <w:t xml:space="preserve"> прикритие“ </w:t>
      </w:r>
      <w:r>
        <w:t>(вж. параграфи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L_C_A_8_m_just_C_apl_pr_oversight_2 \h  \* MERGEFORMAT </w:instrText>
      </w:r>
      <w:r>
        <w:fldChar w:fldCharType="separate"/>
      </w:r>
      <w:r w:rsidR="00F21D3F">
        <w:t>156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L_C_A_8_m_just_C_apl_pr_oversight_6 \h  \* MERGEFORMAT </w:instrText>
      </w:r>
      <w:r>
        <w:fldChar w:fldCharType="separate"/>
      </w:r>
      <w:r w:rsidR="00F21D3F">
        <w:t>160</w:t>
      </w:r>
      <w:r>
        <w:fldChar w:fldCharType="end"/>
      </w:r>
      <w:r>
        <w:t xml:space="preserve"> по-горе); и</w:t>
      </w:r>
    </w:p>
    <w:p w14:paraId="570658CA" w14:textId="77777777" w:rsidR="00304BC9" w:rsidRDefault="000F3485" w:rsidP="00304BC9">
      <w:pPr>
        <w:pStyle w:val="JuPara"/>
      </w:pPr>
      <w:r>
        <w:t>(</w:t>
      </w:r>
      <w:r w:rsidR="009178E0">
        <w:fldChar w:fldCharType="begin"/>
      </w:r>
      <w:r w:rsidR="009178E0">
        <w:instrText xml:space="preserve"> SEQ level1 \*alphabetic \* MERGEFORMAT </w:instrText>
      </w:r>
      <w:r w:rsidR="009178E0">
        <w:fldChar w:fldCharType="separate"/>
      </w:r>
      <w:r w:rsidR="00F21D3F">
        <w:rPr>
          <w:noProof/>
        </w:rPr>
        <w:t>д</w:t>
      </w:r>
      <w:r w:rsidR="009178E0">
        <w:rPr>
          <w:noProof/>
        </w:rPr>
        <w:fldChar w:fldCharType="end"/>
      </w:r>
      <w:r w:rsidR="00374AD3">
        <w:t xml:space="preserve">) </w:t>
      </w:r>
      <w:r>
        <w:t xml:space="preserve">липсват средства за правна защита във връзка с незаконното или необосновано използване на такива </w:t>
      </w:r>
      <w:r w:rsidR="00636119">
        <w:t>служители</w:t>
      </w:r>
      <w:r>
        <w:t xml:space="preserve"> (вж. параграфи</w:t>
      </w:r>
      <w:r w:rsidR="00374AD3">
        <w:rPr>
          <w:lang w:val="bg-BG"/>
        </w:rPr>
        <w:t xml:space="preserve"> </w:t>
      </w:r>
      <w:r>
        <w:fldChar w:fldCharType="begin"/>
      </w:r>
      <w:r>
        <w:instrText xml:space="preserve"> REF  L_C_A_8_m_just_C_apl_pr_remedies_1 \h  \* MERGEFORMAT </w:instrText>
      </w:r>
      <w:r>
        <w:fldChar w:fldCharType="separate"/>
      </w:r>
      <w:r w:rsidR="00F21D3F">
        <w:t>163</w:t>
      </w:r>
      <w:r>
        <w:fldChar w:fldCharType="end"/>
      </w:r>
      <w:r>
        <w:t xml:space="preserve"> -</w:t>
      </w:r>
      <w:r>
        <w:fldChar w:fldCharType="begin"/>
      </w:r>
      <w:r>
        <w:instrText xml:space="preserve"> REF  L_C_A_8_m_just_C_apl_pr_remedies_2 \h  \* MERGEFORMAT </w:instrText>
      </w:r>
      <w:r>
        <w:fldChar w:fldCharType="separate"/>
      </w:r>
      <w:r w:rsidR="00F21D3F">
        <w:rPr>
          <w:rFonts w:ascii="TimesNewRomanPSMT" w:hAnsi="TimesNewRomanPSMT" w:cs="TimesNewRomanPSMT"/>
          <w:lang w:bidi="lo-LA"/>
        </w:rPr>
        <w:t>164</w:t>
      </w:r>
      <w:r>
        <w:fldChar w:fldCharType="end"/>
      </w:r>
      <w:r>
        <w:t xml:space="preserve"> по-горе).</w:t>
      </w:r>
    </w:p>
    <w:p w14:paraId="29892EAD" w14:textId="793754AD" w:rsidR="00304BC9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166</w:t>
      </w:r>
      <w:r>
        <w:rPr>
          <w:noProof/>
        </w:rPr>
        <w:fldChar w:fldCharType="end"/>
      </w:r>
      <w:r w:rsidR="00374AD3">
        <w:t xml:space="preserve">. </w:t>
      </w:r>
      <w:r w:rsidR="000F3485">
        <w:t xml:space="preserve">Вярно е, че няма доказателства, че </w:t>
      </w:r>
      <w:r w:rsidR="000F3485" w:rsidRPr="003B01C7">
        <w:t xml:space="preserve">тези недостатъци в правния режим са оказали реално въздействие </w:t>
      </w:r>
      <w:r w:rsidR="000F3485">
        <w:t>върху използването на „</w:t>
      </w:r>
      <w:r w:rsidR="00636119">
        <w:t>служители</w:t>
      </w:r>
      <w:r w:rsidR="000F3485">
        <w:t xml:space="preserve"> </w:t>
      </w:r>
      <w:r w:rsidR="00662DEB">
        <w:rPr>
          <w:lang w:val="bg-BG"/>
        </w:rPr>
        <w:t xml:space="preserve">на </w:t>
      </w:r>
      <w:r w:rsidR="000F3485">
        <w:t xml:space="preserve">прикритие“ в България. Но тъй като това използване по дефиниция е тайно и няма публично достъпна информация за него, на липсата на доказателства за произвол или злоупотреба не може да се придаде решаващо значение. Освен това, нормативната уредба </w:t>
      </w:r>
      <w:r w:rsidR="00662DEB">
        <w:rPr>
          <w:lang w:val="bg-BG"/>
        </w:rPr>
        <w:t>е</w:t>
      </w:r>
      <w:r w:rsidR="000F3485">
        <w:t xml:space="preserve"> изменена сравнително наскоро (през </w:t>
      </w:r>
      <w:r w:rsidR="00662DEB">
        <w:rPr>
          <w:lang w:val="bg-BG"/>
        </w:rPr>
        <w:t xml:space="preserve">м. </w:t>
      </w:r>
      <w:r w:rsidR="000F3485">
        <w:t>септември 2018 г.), за да се даде възможност „</w:t>
      </w:r>
      <w:r w:rsidR="00636119">
        <w:t>служители</w:t>
      </w:r>
      <w:r w:rsidR="000F3485">
        <w:t xml:space="preserve"> под прикритие“ да бъдат внедрени в частни организации и „свободни професии“.</w:t>
      </w:r>
    </w:p>
    <w:p w14:paraId="0ED06EE7" w14:textId="4E427342" w:rsidR="00304BC9" w:rsidRPr="00662DEB" w:rsidRDefault="009178E0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167</w:t>
      </w:r>
      <w:r>
        <w:rPr>
          <w:noProof/>
        </w:rPr>
        <w:fldChar w:fldCharType="end"/>
      </w:r>
      <w:r w:rsidR="00374AD3">
        <w:rPr>
          <w:noProof/>
          <w:lang w:val="bg-BG"/>
        </w:rPr>
        <w:t xml:space="preserve">. </w:t>
      </w:r>
      <w:r w:rsidR="000F3485" w:rsidRPr="00662DEB">
        <w:rPr>
          <w:lang w:val="bg-BG"/>
        </w:rPr>
        <w:t xml:space="preserve">Оттук следва, че българските </w:t>
      </w:r>
      <w:r w:rsidR="00662DEB">
        <w:rPr>
          <w:lang w:val="bg-BG"/>
        </w:rPr>
        <w:t>национални</w:t>
      </w:r>
      <w:r w:rsidR="000F3485" w:rsidRPr="00662DEB">
        <w:rPr>
          <w:lang w:val="bg-BG"/>
        </w:rPr>
        <w:t xml:space="preserve"> разпоредби относно „</w:t>
      </w:r>
      <w:r w:rsidR="00636119" w:rsidRPr="00662DEB">
        <w:rPr>
          <w:lang w:val="bg-BG"/>
        </w:rPr>
        <w:t>служители</w:t>
      </w:r>
      <w:r w:rsidR="000F3485" w:rsidRPr="00662DEB">
        <w:rPr>
          <w:lang w:val="bg-BG"/>
        </w:rPr>
        <w:t xml:space="preserve">те </w:t>
      </w:r>
      <w:r w:rsidR="00662DEB">
        <w:rPr>
          <w:lang w:val="bg-BG"/>
        </w:rPr>
        <w:t>на</w:t>
      </w:r>
      <w:r w:rsidR="000F3485" w:rsidRPr="00662DEB">
        <w:rPr>
          <w:lang w:val="bg-BG"/>
        </w:rPr>
        <w:t xml:space="preserve"> прикритие“ не отговарят на изискването за качество на закона и не са в състояние да ограничат намесата в правата, защитени по член 8 от Конвенцията, която произтича от използването на такива </w:t>
      </w:r>
      <w:r w:rsidR="00636119" w:rsidRPr="00662DEB">
        <w:rPr>
          <w:lang w:val="bg-BG"/>
        </w:rPr>
        <w:t>служители</w:t>
      </w:r>
      <w:r w:rsidR="000F3485" w:rsidRPr="00662DEB">
        <w:rPr>
          <w:lang w:val="bg-BG"/>
        </w:rPr>
        <w:t>, до това, което е „необходимо в едно демократично общество“.</w:t>
      </w:r>
    </w:p>
    <w:p w14:paraId="6D3B5567" w14:textId="77777777" w:rsidR="00304BC9" w:rsidRPr="00FE0C4F" w:rsidRDefault="00FE0C4F" w:rsidP="00304BC9">
      <w:pPr>
        <w:pStyle w:val="JuPara"/>
        <w:rPr>
          <w:lang w:val="bg-BG"/>
        </w:rPr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168</w:t>
      </w:r>
      <w:r>
        <w:rPr>
          <w:noProof/>
        </w:rPr>
        <w:fldChar w:fldCharType="end"/>
      </w:r>
      <w:r w:rsidR="00374AD3">
        <w:rPr>
          <w:noProof/>
          <w:lang w:val="bg-BG"/>
        </w:rPr>
        <w:t xml:space="preserve">. </w:t>
      </w:r>
      <w:r w:rsidR="000F3485" w:rsidRPr="00FE0C4F">
        <w:rPr>
          <w:lang w:val="bg-BG"/>
        </w:rPr>
        <w:t>Поради това е налице нарушение на член 8 от Конвенцията.</w:t>
      </w:r>
    </w:p>
    <w:p w14:paraId="1848472F" w14:textId="77777777" w:rsidR="00304BC9" w:rsidRPr="007C6978" w:rsidRDefault="000F3485" w:rsidP="00304BC9">
      <w:pPr>
        <w:pStyle w:val="JuHIRoman"/>
        <w:tabs>
          <w:tab w:val="left" w:pos="567"/>
          <w:tab w:val="left" w:pos="680"/>
        </w:tabs>
        <w:ind w:left="397" w:hanging="397"/>
      </w:pPr>
      <w:bookmarkStart w:id="379" w:name="_Toc175215011"/>
      <w:bookmarkStart w:id="380" w:name="_Toc232688330"/>
      <w:r w:rsidRPr="007C6978">
        <w:t>ПРИЛ</w:t>
      </w:r>
      <w:r w:rsidR="00374AD3">
        <w:rPr>
          <w:lang w:val="bg-BG"/>
        </w:rPr>
        <w:t xml:space="preserve">ОЖЕНИЕ </w:t>
      </w:r>
      <w:r w:rsidRPr="007C6978">
        <w:t>НА ЧЛЕН 41 ОТ КОНВЕНЦИЯТА</w:t>
      </w:r>
      <w:bookmarkEnd w:id="379"/>
      <w:bookmarkEnd w:id="380"/>
    </w:p>
    <w:p w14:paraId="27DF85CE" w14:textId="77777777" w:rsidR="00304BC9" w:rsidRPr="007C6978" w:rsidRDefault="009178E0" w:rsidP="00304BC9">
      <w:pPr>
        <w:pStyle w:val="JuPara"/>
        <w:keepNext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169</w:t>
      </w:r>
      <w:r>
        <w:rPr>
          <w:noProof/>
        </w:rPr>
        <w:fldChar w:fldCharType="end"/>
      </w:r>
      <w:r w:rsidR="000F3485" w:rsidRPr="007C6978">
        <w:t>. Член 41 от Конвенцията предвижда:</w:t>
      </w:r>
    </w:p>
    <w:p w14:paraId="451CFE5C" w14:textId="19BF3DBC" w:rsidR="00304BC9" w:rsidRPr="007C6978" w:rsidRDefault="000F3485" w:rsidP="00304BC9">
      <w:pPr>
        <w:pStyle w:val="JuQuot"/>
        <w:keepLines/>
      </w:pPr>
      <w:r w:rsidRPr="007C6978">
        <w:t>„</w:t>
      </w:r>
      <w:r w:rsidR="005157B9" w:rsidRPr="005157B9">
        <w:t xml:space="preserve"> 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обезщетение, Съдът, ако е необходимо, постановява предоставянето на справедливо обезщетение на потърпевшата страна. </w:t>
      </w:r>
      <w:r w:rsidRPr="007C6978">
        <w:t>“</w:t>
      </w:r>
    </w:p>
    <w:p w14:paraId="0456F70D" w14:textId="5D3C6B5D" w:rsidR="00304BC9" w:rsidRDefault="005157B9" w:rsidP="00304BC9">
      <w:pPr>
        <w:pStyle w:val="JuHA"/>
        <w:numPr>
          <w:ilvl w:val="2"/>
          <w:numId w:val="21"/>
        </w:numPr>
        <w:ind w:left="510" w:hanging="340"/>
      </w:pPr>
      <w:bookmarkStart w:id="381" w:name="_Toc232688331"/>
      <w:r>
        <w:rPr>
          <w:lang w:val="bg-BG"/>
        </w:rPr>
        <w:lastRenderedPageBreak/>
        <w:t>Вреди</w:t>
      </w:r>
      <w:bookmarkEnd w:id="381"/>
    </w:p>
    <w:p w14:paraId="17506938" w14:textId="42A793F7" w:rsidR="00304BC9" w:rsidRPr="002E7271" w:rsidRDefault="000F3485" w:rsidP="00304BC9">
      <w:pPr>
        <w:pStyle w:val="JuH1"/>
      </w:pPr>
      <w:bookmarkStart w:id="382" w:name="_Toc232688332"/>
      <w:r>
        <w:t xml:space="preserve">Искът на </w:t>
      </w:r>
      <w:r w:rsidR="005157B9">
        <w:rPr>
          <w:lang w:val="bg-BG"/>
        </w:rPr>
        <w:t>сдружението</w:t>
      </w:r>
      <w:r>
        <w:t xml:space="preserve"> и коментарите на правителството по него</w:t>
      </w:r>
      <w:bookmarkEnd w:id="382"/>
    </w:p>
    <w:p w14:paraId="02E1455E" w14:textId="04EDED64" w:rsidR="00304BC9" w:rsidRPr="0040384C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170</w:t>
      </w:r>
      <w:r>
        <w:rPr>
          <w:noProof/>
        </w:rPr>
        <w:fldChar w:fldCharType="end"/>
      </w:r>
      <w:r w:rsidR="000F3485" w:rsidRPr="0040384C">
        <w:t xml:space="preserve">. </w:t>
      </w:r>
      <w:r w:rsidR="00B57230">
        <w:rPr>
          <w:lang w:val="bg-BG"/>
        </w:rPr>
        <w:t>Сдружението-</w:t>
      </w:r>
      <w:r w:rsidR="00B57230">
        <w:t>жалбоподател</w:t>
      </w:r>
      <w:r w:rsidR="000F3485">
        <w:t xml:space="preserve"> претендира 4 000 евро (EUR) за неимуществени вред</w:t>
      </w:r>
      <w:r w:rsidR="00B57230">
        <w:t>и, които твърди, че е претърпяло</w:t>
      </w:r>
      <w:r w:rsidR="000F3485">
        <w:t xml:space="preserve"> в резултат на оспорените разпоредби.</w:t>
      </w:r>
    </w:p>
    <w:p w14:paraId="172EC738" w14:textId="26ADCDBB" w:rsidR="00304BC9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171</w:t>
      </w:r>
      <w:r>
        <w:rPr>
          <w:noProof/>
        </w:rPr>
        <w:fldChar w:fldCharType="end"/>
      </w:r>
      <w:r w:rsidR="00374AD3">
        <w:t xml:space="preserve">. </w:t>
      </w:r>
      <w:r w:rsidR="000F3485" w:rsidRPr="0040384C">
        <w:t xml:space="preserve">Правителството </w:t>
      </w:r>
      <w:r w:rsidR="000F3485" w:rsidRPr="00986D79">
        <w:t>оспор</w:t>
      </w:r>
      <w:r w:rsidR="00B57230">
        <w:rPr>
          <w:lang w:val="bg-BG"/>
        </w:rPr>
        <w:t>ва</w:t>
      </w:r>
      <w:r w:rsidR="000F3485" w:rsidRPr="00986D79">
        <w:t xml:space="preserve"> изцяло иска, като посоч</w:t>
      </w:r>
      <w:r w:rsidR="00B57230">
        <w:rPr>
          <w:lang w:val="bg-BG"/>
        </w:rPr>
        <w:t>ва</w:t>
      </w:r>
      <w:r w:rsidR="000F3485" w:rsidRPr="00986D79">
        <w:t xml:space="preserve">, че в </w:t>
      </w:r>
      <w:r w:rsidR="000F3485">
        <w:t xml:space="preserve">подобни </w:t>
      </w:r>
      <w:r w:rsidR="000F3485" w:rsidRPr="00986D79">
        <w:t xml:space="preserve">предишни дела не е било </w:t>
      </w:r>
      <w:r w:rsidR="000F3485">
        <w:t xml:space="preserve">присъждано обезщетение </w:t>
      </w:r>
      <w:r w:rsidR="000F3485" w:rsidRPr="00986D79">
        <w:t xml:space="preserve">за неимуществени вреди. </w:t>
      </w:r>
      <w:r w:rsidR="000F3485">
        <w:t>В подкрепа на това твърдение то изтък</w:t>
      </w:r>
      <w:r w:rsidR="00B57230">
        <w:rPr>
          <w:lang w:val="bg-BG"/>
        </w:rPr>
        <w:t>в</w:t>
      </w:r>
      <w:r w:rsidR="00B57230">
        <w:t>а, че искът</w:t>
      </w:r>
      <w:r w:rsidR="000F3485">
        <w:t xml:space="preserve"> е прекомерно висок, тъй като няма доказателства, че посочените разпоредби са довели до действителна намеса в правата на </w:t>
      </w:r>
      <w:r w:rsidR="00B57230">
        <w:rPr>
          <w:lang w:val="bg-BG"/>
        </w:rPr>
        <w:t>сдружението</w:t>
      </w:r>
      <w:r w:rsidR="000F3485">
        <w:t xml:space="preserve"> по член 8 от Конвенцията.</w:t>
      </w:r>
    </w:p>
    <w:p w14:paraId="789D7F4B" w14:textId="77777777" w:rsidR="00304BC9" w:rsidRDefault="000F3485" w:rsidP="00304BC9">
      <w:pPr>
        <w:pStyle w:val="JuH1"/>
      </w:pPr>
      <w:bookmarkStart w:id="383" w:name="_Toc232688333"/>
      <w:r>
        <w:t>Оценка на Съда</w:t>
      </w:r>
      <w:bookmarkEnd w:id="383"/>
    </w:p>
    <w:bookmarkStart w:id="384" w:name="L_A41_damage_C"/>
    <w:p w14:paraId="4D2949D2" w14:textId="4404BFFC" w:rsidR="00304BC9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172</w:t>
      </w:r>
      <w:r>
        <w:fldChar w:fldCharType="end"/>
      </w:r>
      <w:bookmarkEnd w:id="384"/>
      <w:r w:rsidR="00374AD3">
        <w:t>. </w:t>
      </w:r>
      <w:r w:rsidRPr="00FF3683">
        <w:t xml:space="preserve">Както свидетелстват прилагателното „справедливо“ и изразът „ако е необходимо“ в член 41 от Конвенцията, Съдът разполага с дискреция при упражняването на правомощието си да предостави </w:t>
      </w:r>
      <w:r>
        <w:t xml:space="preserve">такова </w:t>
      </w:r>
      <w:r w:rsidR="00F914F3">
        <w:rPr>
          <w:lang w:val="bg-BG"/>
        </w:rPr>
        <w:t>обезщетение</w:t>
      </w:r>
      <w:r>
        <w:t xml:space="preserve"> на </w:t>
      </w:r>
      <w:r w:rsidR="00F914F3">
        <w:rPr>
          <w:lang w:val="bg-BG"/>
        </w:rPr>
        <w:t>потърпевшат</w:t>
      </w:r>
      <w:r w:rsidRPr="00FF3683">
        <w:t xml:space="preserve">а страна (вж., като скорошен </w:t>
      </w:r>
      <w:r w:rsidR="00F914F3">
        <w:rPr>
          <w:lang w:val="bg-BG"/>
        </w:rPr>
        <w:t>пример</w:t>
      </w:r>
      <w:r w:rsidRPr="00FF3683">
        <w:t xml:space="preserve">, </w:t>
      </w:r>
      <w:r w:rsidR="00F914F3" w:rsidRPr="00D40FEA">
        <w:rPr>
          <w:i/>
          <w:iCs/>
        </w:rPr>
        <w:t xml:space="preserve">Molla Sali </w:t>
      </w:r>
      <w:r w:rsidRPr="00D40FEA">
        <w:rPr>
          <w:i/>
          <w:iCs/>
        </w:rPr>
        <w:t xml:space="preserve">срещу Гърция </w:t>
      </w:r>
      <w:r w:rsidRPr="00FF3683">
        <w:t xml:space="preserve">(справедливо </w:t>
      </w:r>
      <w:r w:rsidR="00F914F3">
        <w:rPr>
          <w:lang w:val="bg-BG"/>
        </w:rPr>
        <w:t>обезщетение</w:t>
      </w:r>
      <w:r w:rsidRPr="00FF3683">
        <w:t>) [</w:t>
      </w:r>
      <w:r w:rsidR="00002B6B">
        <w:rPr>
          <w:lang w:val="bg-BG"/>
        </w:rPr>
        <w:t>ГК</w:t>
      </w:r>
      <w:r w:rsidRPr="00FF3683">
        <w:t xml:space="preserve">], № 20452/14, </w:t>
      </w:r>
      <w:r w:rsidR="00F914F3">
        <w:rPr>
          <w:lang w:val="bg-BG"/>
        </w:rPr>
        <w:t>§</w:t>
      </w:r>
      <w:r w:rsidRPr="00FF3683">
        <w:t xml:space="preserve"> 32, 18 юни 2020 г.). В някои случаи публичното признаване на вредата, претърпяна от </w:t>
      </w:r>
      <w:r>
        <w:t>тази страна</w:t>
      </w:r>
      <w:r w:rsidRPr="00FF3683">
        <w:t xml:space="preserve">, в съдебно решение, което е задължително за държавата-ответник, </w:t>
      </w:r>
      <w:r>
        <w:t xml:space="preserve">само по себе си </w:t>
      </w:r>
      <w:r w:rsidRPr="00FF3683">
        <w:t xml:space="preserve">може </w:t>
      </w:r>
      <w:r>
        <w:t xml:space="preserve">да представлява достатъчно </w:t>
      </w:r>
      <w:r w:rsidRPr="00FF3683">
        <w:t>обезщетение</w:t>
      </w:r>
      <w:r>
        <w:t xml:space="preserve">. Това важи </w:t>
      </w:r>
      <w:r w:rsidRPr="00FF3683">
        <w:t>особено когато</w:t>
      </w:r>
      <w:r>
        <w:t>, както в настоящия случай, (</w:t>
      </w:r>
      <w:r w:rsidR="009178E0">
        <w:fldChar w:fldCharType="begin"/>
      </w:r>
      <w:r w:rsidR="009178E0">
        <w:instrText xml:space="preserve"> SEQ level1 \*alphabetic \r1 \* MERGEFORMAT </w:instrText>
      </w:r>
      <w:r w:rsidR="009178E0">
        <w:fldChar w:fldCharType="separate"/>
      </w:r>
      <w:r w:rsidR="00F21D3F">
        <w:rPr>
          <w:noProof/>
        </w:rPr>
        <w:t>а</w:t>
      </w:r>
      <w:r w:rsidR="009178E0">
        <w:rPr>
          <w:noProof/>
        </w:rPr>
        <w:fldChar w:fldCharType="end"/>
      </w:r>
      <w:r>
        <w:t xml:space="preserve">) констатацията за нарушение се основава единствено на заключението, че </w:t>
      </w:r>
      <w:r w:rsidRPr="00FF3683">
        <w:t xml:space="preserve">закон, </w:t>
      </w:r>
      <w:r w:rsidRPr="00C462F6">
        <w:t xml:space="preserve">процедура или практика не отговарят на стандартите на Конвенцията (ibid., </w:t>
      </w:r>
      <w:r w:rsidR="005F35BA">
        <w:rPr>
          <w:lang w:val="bg-BG"/>
        </w:rPr>
        <w:t>§</w:t>
      </w:r>
      <w:r w:rsidRPr="00C462F6">
        <w:t xml:space="preserve"> 33, с позоваване на </w:t>
      </w:r>
      <w:r w:rsidR="005F35BA" w:rsidRPr="00D40FEA">
        <w:rPr>
          <w:i/>
          <w:iCs/>
        </w:rPr>
        <w:t xml:space="preserve">Varnava and Others </w:t>
      </w:r>
      <w:r w:rsidRPr="00D40FEA">
        <w:rPr>
          <w:i/>
          <w:iCs/>
        </w:rPr>
        <w:t xml:space="preserve">срещу Турция </w:t>
      </w:r>
      <w:r w:rsidRPr="00FF3683">
        <w:t>[</w:t>
      </w:r>
      <w:r w:rsidR="00002B6B">
        <w:rPr>
          <w:lang w:val="bg-BG"/>
        </w:rPr>
        <w:t>ГК</w:t>
      </w:r>
      <w:r w:rsidRPr="00FF3683">
        <w:t>], №</w:t>
      </w:r>
      <w:r>
        <w:t xml:space="preserve"> </w:t>
      </w:r>
      <w:r w:rsidRPr="00FF3683">
        <w:t xml:space="preserve">16064/90 и 8 други, </w:t>
      </w:r>
      <w:r w:rsidR="00D67F70">
        <w:rPr>
          <w:lang w:val="bg-BG"/>
        </w:rPr>
        <w:t>§</w:t>
      </w:r>
      <w:r w:rsidRPr="00FF3683">
        <w:t xml:space="preserve"> 224, ECHR 2009)</w:t>
      </w:r>
      <w:r>
        <w:t>, без допълнително констатиране, че това несъответствие е засегнало жалбоподателя по някакъв осезаем начин, и (</w:t>
      </w:r>
      <w:r w:rsidR="009178E0">
        <w:fldChar w:fldCharType="begin"/>
      </w:r>
      <w:r w:rsidR="009178E0">
        <w:instrText xml:space="preserve"> SEQ level1 \*alphabetic \* MERGE</w:instrText>
      </w:r>
      <w:r w:rsidR="009178E0">
        <w:instrText xml:space="preserve">FORMAT </w:instrText>
      </w:r>
      <w:r w:rsidR="009178E0">
        <w:fldChar w:fldCharType="separate"/>
      </w:r>
      <w:r w:rsidR="00F21D3F">
        <w:rPr>
          <w:noProof/>
        </w:rPr>
        <w:t>б</w:t>
      </w:r>
      <w:r w:rsidR="009178E0">
        <w:rPr>
          <w:noProof/>
        </w:rPr>
        <w:fldChar w:fldCharType="end"/>
      </w:r>
      <w:r>
        <w:t xml:space="preserve">) </w:t>
      </w:r>
      <w:r w:rsidRPr="0038400F">
        <w:t xml:space="preserve">общите мерки биха представлявали най-подходящата </w:t>
      </w:r>
      <w:r>
        <w:t xml:space="preserve">форма на </w:t>
      </w:r>
      <w:r w:rsidRPr="0038400F">
        <w:t xml:space="preserve">обезщетение </w:t>
      </w:r>
      <w:r>
        <w:t xml:space="preserve">(вж. параграф 4 от Практическото указание относно исковете за справедливо обезщетение, изменено през </w:t>
      </w:r>
      <w:r w:rsidR="00D67F70">
        <w:rPr>
          <w:lang w:val="bg-BG"/>
        </w:rPr>
        <w:t xml:space="preserve">м. </w:t>
      </w:r>
      <w:r>
        <w:t>юни 2022 г.).</w:t>
      </w:r>
    </w:p>
    <w:bookmarkStart w:id="385" w:name="L_A41_damage_C_bis"/>
    <w:p w14:paraId="4401D495" w14:textId="5265045C" w:rsidR="00304BC9" w:rsidRPr="00FE0C4F" w:rsidRDefault="000F3485" w:rsidP="00304BC9">
      <w:pPr>
        <w:pStyle w:val="JuPara"/>
        <w:rPr>
          <w:lang w:val="bg-BG"/>
        </w:rPr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173</w:t>
      </w:r>
      <w:r>
        <w:fldChar w:fldCharType="end"/>
      </w:r>
      <w:bookmarkEnd w:id="385"/>
      <w:r w:rsidR="00002B6B">
        <w:rPr>
          <w:lang w:val="bg-BG"/>
        </w:rPr>
        <w:t xml:space="preserve">. </w:t>
      </w:r>
      <w:r w:rsidRPr="00094439">
        <w:rPr>
          <w:lang w:val="bg-BG"/>
        </w:rPr>
        <w:t xml:space="preserve">В настоящия случай не са представени доказателства, които да показват, че съществуването на </w:t>
      </w:r>
      <w:r w:rsidR="00094439">
        <w:rPr>
          <w:lang w:val="bg-BG"/>
        </w:rPr>
        <w:t>правилата</w:t>
      </w:r>
      <w:r w:rsidRPr="00094439">
        <w:rPr>
          <w:lang w:val="bg-BG"/>
        </w:rPr>
        <w:t xml:space="preserve"> относно „</w:t>
      </w:r>
      <w:r w:rsidR="00636119" w:rsidRPr="00094439">
        <w:rPr>
          <w:lang w:val="bg-BG"/>
        </w:rPr>
        <w:t>служители</w:t>
      </w:r>
      <w:r w:rsidR="00094439">
        <w:rPr>
          <w:lang w:val="bg-BG"/>
        </w:rPr>
        <w:t xml:space="preserve"> на прикритие</w:t>
      </w:r>
      <w:r w:rsidRPr="00094439">
        <w:rPr>
          <w:lang w:val="bg-BG"/>
        </w:rPr>
        <w:t xml:space="preserve">“, </w:t>
      </w:r>
      <w:r w:rsidR="00094439">
        <w:rPr>
          <w:lang w:val="bg-BG"/>
        </w:rPr>
        <w:t xml:space="preserve">както са </w:t>
      </w:r>
      <w:r w:rsidRPr="00094439">
        <w:rPr>
          <w:lang w:val="bg-BG"/>
        </w:rPr>
        <w:t xml:space="preserve">изменени през </w:t>
      </w:r>
      <w:r w:rsidR="00094439">
        <w:rPr>
          <w:lang w:val="bg-BG"/>
        </w:rPr>
        <w:t xml:space="preserve">м. </w:t>
      </w:r>
      <w:r w:rsidRPr="00094439">
        <w:rPr>
          <w:lang w:val="bg-BG"/>
        </w:rPr>
        <w:t>септември 2018 г., е причинило на сдружение</w:t>
      </w:r>
      <w:r w:rsidR="00094439">
        <w:rPr>
          <w:lang w:val="bg-BG"/>
        </w:rPr>
        <w:t>то-жалбоподател</w:t>
      </w:r>
      <w:r w:rsidRPr="00094439">
        <w:rPr>
          <w:lang w:val="bg-BG"/>
        </w:rPr>
        <w:t xml:space="preserve"> някаква осезаема вреда. </w:t>
      </w:r>
      <w:r w:rsidR="00094439">
        <w:rPr>
          <w:lang w:val="bg-BG"/>
        </w:rPr>
        <w:t>Сдружението</w:t>
      </w:r>
      <w:r w:rsidRPr="00094439">
        <w:rPr>
          <w:lang w:val="bg-BG"/>
        </w:rPr>
        <w:t xml:space="preserve"> дори не е посочило естеството на неимуществената вреда, която твърди, че е претърпяло поради това. </w:t>
      </w:r>
      <w:r w:rsidRPr="00E80511">
        <w:rPr>
          <w:lang w:val="bg-BG"/>
        </w:rPr>
        <w:t>Дори да се приеме, че тя действително е претърпяла някаква вреда от този вид поради самото съществуване на тези разпоредби,</w:t>
      </w:r>
      <w:bookmarkStart w:id="386" w:name="_Hlk171080886"/>
      <w:r w:rsidRPr="00E80511">
        <w:rPr>
          <w:lang w:val="bg-BG"/>
        </w:rPr>
        <w:t xml:space="preserve"> констатацията за нарушение на член 8 от Конвенцията ѝ осигурява достатъчно справедливо </w:t>
      </w:r>
      <w:bookmarkEnd w:id="386"/>
      <w:r w:rsidR="00E80511">
        <w:rPr>
          <w:lang w:val="bg-BG"/>
        </w:rPr>
        <w:t>обезщетение</w:t>
      </w:r>
      <w:r w:rsidRPr="00E80511">
        <w:rPr>
          <w:lang w:val="bg-BG"/>
        </w:rPr>
        <w:t xml:space="preserve"> в това отношение (вж. </w:t>
      </w:r>
      <w:r w:rsidR="00002B6B">
        <w:rPr>
          <w:i/>
          <w:iCs/>
          <w:lang w:val="bg-BG"/>
        </w:rPr>
        <w:t>Екимджиев</w:t>
      </w:r>
      <w:r w:rsidRPr="00FE0C4F">
        <w:rPr>
          <w:i/>
          <w:iCs/>
          <w:lang w:val="bg-BG"/>
        </w:rPr>
        <w:t xml:space="preserve"> и други</w:t>
      </w:r>
      <w:r w:rsidRPr="00FE0C4F">
        <w:rPr>
          <w:lang w:val="bg-BG"/>
        </w:rPr>
        <w:t xml:space="preserve">, цитирано по-горе, </w:t>
      </w:r>
      <w:r w:rsidR="00E80511">
        <w:rPr>
          <w:rFonts w:cstheme="minorHAnsi"/>
          <w:lang w:val="bg-BG"/>
        </w:rPr>
        <w:t>§</w:t>
      </w:r>
      <w:r w:rsidRPr="00FE0C4F">
        <w:rPr>
          <w:lang w:val="bg-BG"/>
        </w:rPr>
        <w:t xml:space="preserve"> 426, с допълнителни </w:t>
      </w:r>
      <w:r w:rsidRPr="00FE0C4F">
        <w:rPr>
          <w:lang w:val="bg-BG"/>
        </w:rPr>
        <w:lastRenderedPageBreak/>
        <w:t>препратки). Следователно не е необходимо да ѝ се присъди парично обезщетение за такава вреда.</w:t>
      </w:r>
    </w:p>
    <w:bookmarkStart w:id="387" w:name="L_A41_damage_C_ter"/>
    <w:p w14:paraId="1545230F" w14:textId="6453946D" w:rsidR="00304BC9" w:rsidRPr="0040384C" w:rsidRDefault="000F3485" w:rsidP="00304BC9">
      <w:pPr>
        <w:pStyle w:val="JuPara"/>
      </w:pPr>
      <w:r>
        <w:fldChar w:fldCharType="begin"/>
      </w:r>
      <w:r w:rsidRPr="00FE0C4F">
        <w:rPr>
          <w:lang w:val="bg-BG"/>
        </w:rPr>
        <w:instrText xml:space="preserve"> </w:instrText>
      </w:r>
      <w:r>
        <w:instrText>SEQ</w:instrText>
      </w:r>
      <w:r w:rsidRPr="00FE0C4F">
        <w:rPr>
          <w:lang w:val="bg-BG"/>
        </w:rPr>
        <w:instrText xml:space="preserve"> </w:instrText>
      </w:r>
      <w:r>
        <w:instrText>level</w:instrText>
      </w:r>
      <w:r w:rsidRPr="00FE0C4F">
        <w:rPr>
          <w:lang w:val="bg-BG"/>
        </w:rPr>
        <w:instrText>0 \*</w:instrText>
      </w:r>
      <w:r>
        <w:instrText>arabic</w:instrText>
      </w:r>
      <w:r w:rsidRPr="00FE0C4F">
        <w:rPr>
          <w:lang w:val="bg-BG"/>
        </w:rPr>
        <w:instrText xml:space="preserve"> \* </w:instrText>
      </w:r>
      <w:r>
        <w:instrText>MERGEFORMAT</w:instrText>
      </w:r>
      <w:r w:rsidRPr="00FE0C4F">
        <w:rPr>
          <w:lang w:val="bg-BG"/>
        </w:rPr>
        <w:instrText xml:space="preserve"> </w:instrText>
      </w:r>
      <w:r>
        <w:fldChar w:fldCharType="separate"/>
      </w:r>
      <w:r w:rsidR="00F21D3F" w:rsidRPr="00FE0C4F">
        <w:rPr>
          <w:noProof/>
          <w:lang w:val="bg-BG"/>
        </w:rPr>
        <w:t>174</w:t>
      </w:r>
      <w:r>
        <w:fldChar w:fldCharType="end"/>
      </w:r>
      <w:bookmarkEnd w:id="387"/>
      <w:r w:rsidR="00002B6B" w:rsidRPr="00FE0C4F">
        <w:rPr>
          <w:lang w:val="bg-BG"/>
        </w:rPr>
        <w:t xml:space="preserve">. </w:t>
      </w:r>
      <w:r w:rsidRPr="00FE0C4F">
        <w:rPr>
          <w:lang w:val="bg-BG"/>
        </w:rPr>
        <w:t xml:space="preserve">В същото време трябва да се подчертае, че съгласно член 46 от Конвенцията съдебното решение, в което Съдът констатира нарушение на Конвенцията или на протоколите към нея, налага на държавата-ответник задължението да избере, при надзор от страна на Комитета на министрите, общите и/или, ако е уместно, индивидуалните мерки, които трябва да бъдат предприети в нейния вътрешен правен ред, за да се сложи край на нарушението и да се предостави всяко възможно обезщетение за неговите последици, така че да се възстанови, доколкото е възможно, положението, което би съществувало, ако нарушението не беше настъпило. Освен това от Конвенцията, и по-специално от нейния член 1, следва, че с ратифицирането ѝ договарящите държави са поели задължението да гарантират, че вътрешното им законодателство ще бъде съвместимо с нея (вж. </w:t>
      </w:r>
      <w:r w:rsidR="00002B6B">
        <w:rPr>
          <w:i/>
          <w:iCs/>
          <w:lang w:val="bg-BG"/>
        </w:rPr>
        <w:t>Екимджиев</w:t>
      </w:r>
      <w:r w:rsidRPr="00C94D48">
        <w:rPr>
          <w:i/>
          <w:iCs/>
        </w:rPr>
        <w:t xml:space="preserve"> и други</w:t>
      </w:r>
      <w:r>
        <w:t xml:space="preserve">, цитирано по-горе, </w:t>
      </w:r>
      <w:r w:rsidR="00FC5A6A">
        <w:rPr>
          <w:rFonts w:cstheme="minorHAnsi"/>
          <w:lang w:val="bg-BG"/>
        </w:rPr>
        <w:t>§</w:t>
      </w:r>
      <w:r>
        <w:t xml:space="preserve"> 427).</w:t>
      </w:r>
    </w:p>
    <w:p w14:paraId="185EC281" w14:textId="690B7FA6" w:rsidR="00304BC9" w:rsidRPr="0040384C" w:rsidRDefault="009660D6" w:rsidP="00304BC9">
      <w:pPr>
        <w:pStyle w:val="JuHA"/>
        <w:numPr>
          <w:ilvl w:val="2"/>
          <w:numId w:val="21"/>
        </w:numPr>
        <w:ind w:left="510" w:hanging="340"/>
      </w:pPr>
      <w:bookmarkStart w:id="388" w:name="_Toc175215013"/>
      <w:bookmarkStart w:id="389" w:name="_Toc232688334"/>
      <w:r>
        <w:rPr>
          <w:lang w:val="bg-BG"/>
        </w:rPr>
        <w:t>Р</w:t>
      </w:r>
      <w:r w:rsidRPr="0040384C">
        <w:t xml:space="preserve">азходи </w:t>
      </w:r>
      <w:r w:rsidR="000F3485" w:rsidRPr="0040384C">
        <w:t xml:space="preserve">и </w:t>
      </w:r>
      <w:bookmarkEnd w:id="388"/>
      <w:r>
        <w:t>р</w:t>
      </w:r>
      <w:r w:rsidRPr="0040384C">
        <w:t>азноски</w:t>
      </w:r>
      <w:bookmarkEnd w:id="389"/>
    </w:p>
    <w:p w14:paraId="0658905B" w14:textId="0E070662" w:rsidR="00304BC9" w:rsidRPr="0040384C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175</w:t>
      </w:r>
      <w:r>
        <w:rPr>
          <w:noProof/>
        </w:rPr>
        <w:fldChar w:fldCharType="end"/>
      </w:r>
      <w:r w:rsidR="00002B6B">
        <w:t xml:space="preserve">. </w:t>
      </w:r>
      <w:r w:rsidR="00731497">
        <w:rPr>
          <w:lang w:val="bg-BG"/>
        </w:rPr>
        <w:t>Сдружението-</w:t>
      </w:r>
      <w:r w:rsidR="00731497">
        <w:t>жалбоподател</w:t>
      </w:r>
      <w:r w:rsidR="00CC7160">
        <w:t xml:space="preserve"> иска</w:t>
      </w:r>
      <w:r w:rsidR="000F3485" w:rsidRPr="009A53E0">
        <w:t xml:space="preserve"> възстановяване на 3 500 евро, за които твърди, че са били направени </w:t>
      </w:r>
      <w:r w:rsidR="000F3485" w:rsidRPr="004910AF">
        <w:t xml:space="preserve">по време </w:t>
      </w:r>
      <w:r w:rsidR="000F3485" w:rsidRPr="009A53E0">
        <w:t xml:space="preserve">на производството за съдебен контрол на оспорените </w:t>
      </w:r>
      <w:r w:rsidR="00731497">
        <w:rPr>
          <w:lang w:val="bg-BG"/>
        </w:rPr>
        <w:t>разпоредби</w:t>
      </w:r>
      <w:r w:rsidR="000F3485" w:rsidRPr="009A53E0">
        <w:t xml:space="preserve">, и 3 000 евро, за които твърди, че са били направени за услугите на адвоката, който </w:t>
      </w:r>
      <w:r w:rsidR="00731497">
        <w:rPr>
          <w:lang w:val="bg-BG"/>
        </w:rPr>
        <w:t xml:space="preserve">го </w:t>
      </w:r>
      <w:r w:rsidR="000F3485" w:rsidRPr="004910AF">
        <w:t xml:space="preserve">е </w:t>
      </w:r>
      <w:r w:rsidR="000F3485" w:rsidRPr="009A53E0">
        <w:t xml:space="preserve">представлявал пред Съда. </w:t>
      </w:r>
      <w:r w:rsidR="00731497">
        <w:rPr>
          <w:lang w:val="bg-BG"/>
        </w:rPr>
        <w:t>То</w:t>
      </w:r>
      <w:r w:rsidR="00731497">
        <w:t xml:space="preserve"> не представя</w:t>
      </w:r>
      <w:r w:rsidR="000F3485" w:rsidRPr="009A53E0">
        <w:t xml:space="preserve"> документи в подкрепа на тези искания.</w:t>
      </w:r>
    </w:p>
    <w:p w14:paraId="0EA69D19" w14:textId="0302F6B1" w:rsidR="00304BC9" w:rsidRDefault="009178E0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176</w:t>
      </w:r>
      <w:r>
        <w:rPr>
          <w:noProof/>
        </w:rPr>
        <w:fldChar w:fldCharType="end"/>
      </w:r>
      <w:r w:rsidR="00002B6B">
        <w:t xml:space="preserve">. </w:t>
      </w:r>
      <w:r w:rsidR="000F3485" w:rsidRPr="0040384C">
        <w:t xml:space="preserve">Правителството </w:t>
      </w:r>
      <w:r w:rsidR="000F3485">
        <w:t>посоч</w:t>
      </w:r>
      <w:r w:rsidR="00731497">
        <w:rPr>
          <w:lang w:val="bg-BG"/>
        </w:rPr>
        <w:t>ва</w:t>
      </w:r>
      <w:r w:rsidR="000F3485">
        <w:t>, че исканията не са нито подробно изброени, нито подкрепени с доказателства, и прикан</w:t>
      </w:r>
      <w:r w:rsidR="00A64ADA">
        <w:rPr>
          <w:lang w:val="bg-BG"/>
        </w:rPr>
        <w:t>ва</w:t>
      </w:r>
      <w:r w:rsidR="000F3485">
        <w:t xml:space="preserve"> Съда да ги отхвърли. </w:t>
      </w:r>
      <w:r w:rsidR="00A64ADA">
        <w:rPr>
          <w:lang w:val="bg-BG"/>
        </w:rPr>
        <w:t>Алтернативно</w:t>
      </w:r>
      <w:r w:rsidR="000F3485">
        <w:t xml:space="preserve">, то изтъкна, че искането, свързано с производството пред Съда, е прекомерно, тъй като обемът на </w:t>
      </w:r>
      <w:r w:rsidR="00A64ADA">
        <w:rPr>
          <w:lang w:val="bg-BG"/>
        </w:rPr>
        <w:t>становищата</w:t>
      </w:r>
      <w:r w:rsidR="000F3485">
        <w:t xml:space="preserve">, направени от името на </w:t>
      </w:r>
      <w:r w:rsidR="00A64ADA">
        <w:rPr>
          <w:lang w:val="bg-BG"/>
        </w:rPr>
        <w:t>сдружението</w:t>
      </w:r>
      <w:r w:rsidR="000F3485">
        <w:t>, и на съдебното досие не оправдава толкова високи разходи.</w:t>
      </w:r>
    </w:p>
    <w:bookmarkStart w:id="390" w:name="L_A41_costs_C"/>
    <w:p w14:paraId="28E577BD" w14:textId="7C143F81" w:rsidR="00304BC9" w:rsidRPr="0040384C" w:rsidRDefault="000F3485" w:rsidP="00304BC9">
      <w:pPr>
        <w:pStyle w:val="JuPara"/>
      </w:pPr>
      <w:r>
        <w:fldChar w:fldCharType="begin"/>
      </w:r>
      <w:r>
        <w:instrText xml:space="preserve"> SEQ level0 \*arabic \* MERGEFORMAT </w:instrText>
      </w:r>
      <w:r>
        <w:fldChar w:fldCharType="separate"/>
      </w:r>
      <w:r w:rsidR="00F21D3F">
        <w:rPr>
          <w:noProof/>
        </w:rPr>
        <w:t>177</w:t>
      </w:r>
      <w:r>
        <w:fldChar w:fldCharType="end"/>
      </w:r>
      <w:bookmarkEnd w:id="390"/>
      <w:r w:rsidR="00002B6B">
        <w:t>. </w:t>
      </w:r>
      <w:r w:rsidRPr="00972C01">
        <w:t xml:space="preserve">Съгласно съдебната практика на Съда, </w:t>
      </w:r>
      <w:r>
        <w:t xml:space="preserve">жалбоподателите имат </w:t>
      </w:r>
      <w:r w:rsidRPr="00972C01">
        <w:t xml:space="preserve">право на възстановяване на съдебните </w:t>
      </w:r>
      <w:r w:rsidR="00A64ADA" w:rsidRPr="00972C01">
        <w:t xml:space="preserve">разходи </w:t>
      </w:r>
      <w:r w:rsidRPr="00972C01">
        <w:t xml:space="preserve">и </w:t>
      </w:r>
      <w:r w:rsidR="00A64ADA" w:rsidRPr="00972C01">
        <w:t xml:space="preserve">разноски </w:t>
      </w:r>
      <w:r w:rsidRPr="00972C01">
        <w:t>само доколкото е доказано, че те са действително и неизбежно направени и са разумни по размер.</w:t>
      </w:r>
      <w:r>
        <w:t xml:space="preserve"> Тъй като </w:t>
      </w:r>
      <w:r w:rsidR="00A64ADA">
        <w:rPr>
          <w:lang w:val="bg-BG"/>
        </w:rPr>
        <w:t>сдружението</w:t>
      </w:r>
      <w:r>
        <w:t xml:space="preserve"> не е представило </w:t>
      </w:r>
      <w:r w:rsidRPr="00552050">
        <w:t>документи в подкрепа на иска</w:t>
      </w:r>
      <w:r>
        <w:t xml:space="preserve"> си, няма основание да се приеме, че то действително е направило разходите и разноските, чието възстановяване иска (вж. също параграфи 18 и 21 от Практическото указание относно исковете за справедливо обезщетение, изменено през </w:t>
      </w:r>
      <w:r w:rsidR="00EB556B">
        <w:rPr>
          <w:lang w:val="bg-BG"/>
        </w:rPr>
        <w:t xml:space="preserve">м. </w:t>
      </w:r>
      <w:r>
        <w:t xml:space="preserve">юни 2022 г.). </w:t>
      </w:r>
      <w:r w:rsidRPr="00552050">
        <w:t>При тези обстоятелства и като се има</w:t>
      </w:r>
      <w:r w:rsidR="00EB556B">
        <w:rPr>
          <w:lang w:val="bg-BG"/>
        </w:rPr>
        <w:t>т</w:t>
      </w:r>
      <w:r w:rsidRPr="00552050">
        <w:t xml:space="preserve"> предвид </w:t>
      </w:r>
      <w:r>
        <w:t xml:space="preserve">също така </w:t>
      </w:r>
      <w:r w:rsidRPr="00552050">
        <w:t xml:space="preserve">разпоредбите на член 60, параграфи 2 и 3 от </w:t>
      </w:r>
      <w:r w:rsidR="00EB556B">
        <w:rPr>
          <w:lang w:val="bg-BG"/>
        </w:rPr>
        <w:t>Правилника на Съда</w:t>
      </w:r>
      <w:r w:rsidRPr="00552050">
        <w:t>, Съдът не постановява обезщетение по този пункт</w:t>
      </w:r>
      <w:r>
        <w:t>.</w:t>
      </w:r>
    </w:p>
    <w:p w14:paraId="062F5538" w14:textId="77777777" w:rsidR="00304BC9" w:rsidRPr="0040384C" w:rsidRDefault="000F3485" w:rsidP="00304BC9">
      <w:pPr>
        <w:pStyle w:val="JuHHead"/>
        <w:numPr>
          <w:ilvl w:val="0"/>
          <w:numId w:val="21"/>
        </w:numPr>
      </w:pPr>
      <w:bookmarkStart w:id="391" w:name="_Toc232688335"/>
      <w:r w:rsidRPr="0040384C">
        <w:lastRenderedPageBreak/>
        <w:t>ПО ТЕЗИ ПРИЧИНИ СЪДЪТ, ЕДИНОДУШНО</w:t>
      </w:r>
      <w:bookmarkEnd w:id="391"/>
    </w:p>
    <w:p w14:paraId="60E50ABA" w14:textId="15860473" w:rsidR="00304BC9" w:rsidRPr="009A53E0" w:rsidRDefault="000F3485" w:rsidP="00304BC9">
      <w:pPr>
        <w:pStyle w:val="JuList"/>
        <w:keepLines/>
      </w:pPr>
      <w:r w:rsidRPr="0053256D">
        <w:rPr>
          <w:i/>
          <w:iCs/>
        </w:rPr>
        <w:t xml:space="preserve">Присъединява </w:t>
      </w:r>
      <w:r>
        <w:t>възраженията</w:t>
      </w:r>
      <w:r w:rsidRPr="009A53E0">
        <w:t xml:space="preserve"> на правителството, че </w:t>
      </w:r>
      <w:r w:rsidR="00EB556B">
        <w:rPr>
          <w:lang w:val="bg-BG"/>
        </w:rPr>
        <w:t>сдружението</w:t>
      </w:r>
      <w:r w:rsidRPr="009A53E0">
        <w:t xml:space="preserve">-заявител не е изчерпало </w:t>
      </w:r>
      <w:r w:rsidRPr="004910AF">
        <w:t xml:space="preserve">наличните </w:t>
      </w:r>
      <w:r w:rsidRPr="009A53E0">
        <w:t xml:space="preserve">вътрешни средства за защита </w:t>
      </w:r>
      <w:r>
        <w:t xml:space="preserve">и че не може да претендира, че е жертва на намеса в правата му по член 8 от Конвенцията </w:t>
      </w:r>
      <w:r w:rsidR="005A2056">
        <w:rPr>
          <w:lang w:val="bg-BG"/>
        </w:rPr>
        <w:t xml:space="preserve">към разглеждането </w:t>
      </w:r>
      <w:r w:rsidRPr="009A53E0">
        <w:t xml:space="preserve">по същество, и </w:t>
      </w:r>
      <w:r>
        <w:t xml:space="preserve">ги </w:t>
      </w:r>
      <w:r w:rsidRPr="009A53E0">
        <w:rPr>
          <w:i/>
          <w:iCs/>
        </w:rPr>
        <w:t>отхвърля</w:t>
      </w:r>
      <w:r w:rsidRPr="009A53E0">
        <w:t>;</w:t>
      </w:r>
    </w:p>
    <w:p w14:paraId="4DD9630D" w14:textId="77777777" w:rsidR="00304BC9" w:rsidRPr="0040384C" w:rsidRDefault="00002B6B" w:rsidP="00304BC9">
      <w:pPr>
        <w:pStyle w:val="JuList"/>
        <w:keepLines/>
      </w:pPr>
      <w:r>
        <w:rPr>
          <w:i/>
          <w:lang w:val="bg-BG"/>
        </w:rPr>
        <w:t>О</w:t>
      </w:r>
      <w:r w:rsidR="000F3485" w:rsidRPr="0040384C">
        <w:rPr>
          <w:i/>
        </w:rPr>
        <w:t xml:space="preserve">бявява </w:t>
      </w:r>
      <w:r w:rsidR="000F3485" w:rsidRPr="0040384C">
        <w:t>жалбата за допустима;</w:t>
      </w:r>
    </w:p>
    <w:p w14:paraId="27B9CFA0" w14:textId="77777777" w:rsidR="00304BC9" w:rsidRPr="007C6978" w:rsidRDefault="000F3485" w:rsidP="00304BC9">
      <w:pPr>
        <w:pStyle w:val="JuList"/>
        <w:keepLines/>
      </w:pPr>
      <w:r w:rsidRPr="007C6978">
        <w:rPr>
          <w:i/>
        </w:rPr>
        <w:t xml:space="preserve">Констатира, </w:t>
      </w:r>
      <w:r w:rsidRPr="007C6978">
        <w:t>че е налице нарушение на член</w:t>
      </w:r>
      <w:r>
        <w:t xml:space="preserve"> 8 </w:t>
      </w:r>
      <w:r w:rsidRPr="007C6978">
        <w:t>от Конвенцията;</w:t>
      </w:r>
    </w:p>
    <w:p w14:paraId="1E5F082A" w14:textId="55FDC17A" w:rsidR="00304BC9" w:rsidRPr="007C6978" w:rsidRDefault="000F3485" w:rsidP="00304BC9">
      <w:pPr>
        <w:pStyle w:val="JuList"/>
        <w:keepLines/>
      </w:pPr>
      <w:r w:rsidRPr="00B808B2">
        <w:rPr>
          <w:i/>
        </w:rPr>
        <w:t>Констатира</w:t>
      </w:r>
      <w:r w:rsidRPr="007C6978">
        <w:t xml:space="preserve">, че констатацията за нарушение </w:t>
      </w:r>
      <w:r>
        <w:t xml:space="preserve">на член 8 от Конвенцията представлява </w:t>
      </w:r>
      <w:r w:rsidRPr="007C6978">
        <w:t xml:space="preserve">достатъчно справедливо обезщетение </w:t>
      </w:r>
      <w:r>
        <w:t xml:space="preserve">по отношение на </w:t>
      </w:r>
      <w:r w:rsidRPr="007C6978">
        <w:t xml:space="preserve">всякакви неимуществени вреди, </w:t>
      </w:r>
      <w:r>
        <w:t xml:space="preserve">претърпени </w:t>
      </w:r>
      <w:r w:rsidRPr="007C6978">
        <w:t xml:space="preserve">от </w:t>
      </w:r>
      <w:r w:rsidR="005A2056">
        <w:rPr>
          <w:lang w:val="bg-BG"/>
        </w:rPr>
        <w:t>сдружението-жалбоподател</w:t>
      </w:r>
      <w:r w:rsidRPr="007C6978">
        <w:t>;</w:t>
      </w:r>
    </w:p>
    <w:p w14:paraId="3EC90155" w14:textId="39DEE966" w:rsidR="004D0EC7" w:rsidRPr="00AC38DE" w:rsidRDefault="000F3485" w:rsidP="00304BC9">
      <w:pPr>
        <w:pStyle w:val="JuList"/>
      </w:pPr>
      <w:r w:rsidRPr="007C6978">
        <w:rPr>
          <w:i/>
        </w:rPr>
        <w:t xml:space="preserve">Отхвърля </w:t>
      </w:r>
      <w:r>
        <w:t xml:space="preserve">останалата част от </w:t>
      </w:r>
      <w:r w:rsidRPr="007C6978">
        <w:t xml:space="preserve">искането </w:t>
      </w:r>
      <w:r>
        <w:t xml:space="preserve">на </w:t>
      </w:r>
      <w:r w:rsidR="005A2056">
        <w:t>жалбоподателя</w:t>
      </w:r>
      <w:r>
        <w:t xml:space="preserve"> </w:t>
      </w:r>
      <w:r w:rsidRPr="007C6978">
        <w:t>за справедливо обезщетение.</w:t>
      </w:r>
    </w:p>
    <w:p w14:paraId="4044FE0F" w14:textId="77777777" w:rsidR="008E3A08" w:rsidRPr="00AC38DE" w:rsidRDefault="000F3485" w:rsidP="007E2C8C">
      <w:pPr>
        <w:pStyle w:val="JuParaLast"/>
      </w:pPr>
      <w:r w:rsidRPr="00AC38DE">
        <w:t>Изготвено на английски език и нотифицирано писмено на</w:t>
      </w:r>
      <w:r w:rsidR="00304BC9">
        <w:t xml:space="preserve"> 17 февруари 2026 г</w:t>
      </w:r>
      <w:r w:rsidRPr="00AC38DE">
        <w:t>. съгласно член 77, параграфи 2 и 3 от Правилника на Съда.</w:t>
      </w:r>
    </w:p>
    <w:p w14:paraId="31D359AB" w14:textId="77777777" w:rsidR="007E79A4" w:rsidRPr="00314B21" w:rsidRDefault="000F3485" w:rsidP="007E79A4">
      <w:pPr>
        <w:pStyle w:val="JuSigned"/>
      </w:pPr>
      <w:r w:rsidRPr="00314B21">
        <w:tab/>
      </w:r>
      <w:bookmarkStart w:id="392" w:name="_Hlk132712498"/>
      <w:r w:rsidR="00304BC9" w:rsidRPr="00314B21">
        <w:t>Милан Блашко</w:t>
      </w:r>
      <w:r w:rsidRPr="00314B21">
        <w:tab/>
      </w:r>
      <w:r w:rsidR="00304BC9" w:rsidRPr="00314B21">
        <w:t>Йоанис Ктистакис</w:t>
      </w:r>
      <w:r w:rsidRPr="00314B21">
        <w:br/>
      </w:r>
      <w:r w:rsidRPr="00314B21">
        <w:tab/>
      </w:r>
      <w:r w:rsidR="00304BC9" w:rsidRPr="00314B21">
        <w:rPr>
          <w:iCs/>
        </w:rPr>
        <w:t>Регистратор</w:t>
      </w:r>
      <w:r w:rsidRPr="00314B21">
        <w:tab/>
        <w:t>Председател</w:t>
      </w:r>
      <w:bookmarkEnd w:id="392"/>
    </w:p>
    <w:sectPr w:rsidR="007E79A4" w:rsidRPr="00314B21" w:rsidSect="00314B21">
      <w:headerReference w:type="even" r:id="rId18"/>
      <w:headerReference w:type="default" r:id="rId19"/>
      <w:footerReference w:type="even" r:id="rId20"/>
      <w:footerReference w:type="default" r:id="rId21"/>
      <w:footnotePr>
        <w:numRestart w:val="eachSect"/>
      </w:footnotePr>
      <w:type w:val="oddPage"/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2F18B" w14:textId="77777777" w:rsidR="0039612E" w:rsidRDefault="0039612E">
      <w:r>
        <w:separator/>
      </w:r>
    </w:p>
  </w:endnote>
  <w:endnote w:type="continuationSeparator" w:id="0">
    <w:p w14:paraId="6B6E57FF" w14:textId="77777777" w:rsidR="0039612E" w:rsidRDefault="0039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0648" w14:textId="77777777" w:rsidR="00FE0C4F" w:rsidRPr="00150BFA" w:rsidRDefault="00FE0C4F" w:rsidP="0020718E">
    <w:pPr>
      <w:jc w:val="center"/>
    </w:pPr>
    <w:r>
      <w:rPr>
        <w:noProof/>
        <w:lang w:val="bg-BG" w:eastAsia="bg-BG"/>
      </w:rPr>
      <w:drawing>
        <wp:inline distT="0" distB="0" distL="0" distR="0" wp14:anchorId="05452AE6" wp14:editId="498B7C51">
          <wp:extent cx="771525" cy="619125"/>
          <wp:effectExtent l="0" t="0" r="9525" b="9525"/>
          <wp:docPr id="62" name="Picture 62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86087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4EE77" w14:textId="77777777" w:rsidR="00FE0C4F" w:rsidRPr="00E67565" w:rsidRDefault="00FE0C4F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F9302" w14:textId="77777777" w:rsidR="00FE0C4F" w:rsidRPr="00150BFA" w:rsidRDefault="00FE0C4F" w:rsidP="0020718E">
    <w:pPr>
      <w:jc w:val="center"/>
    </w:pPr>
    <w:r>
      <w:rPr>
        <w:noProof/>
        <w:lang w:val="bg-BG" w:eastAsia="bg-BG"/>
      </w:rPr>
      <w:drawing>
        <wp:inline distT="0" distB="0" distL="0" distR="0" wp14:anchorId="117C8620" wp14:editId="71322980">
          <wp:extent cx="771525" cy="619125"/>
          <wp:effectExtent l="0" t="0" r="9525" b="9525"/>
          <wp:docPr id="553265728" name="Picture 55326572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41962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78386" w14:textId="77777777" w:rsidR="00FE0C4F" w:rsidRPr="00E67565" w:rsidRDefault="00FE0C4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059B" w14:textId="7FB8D729" w:rsidR="00FE0C4F" w:rsidRPr="00314B21" w:rsidRDefault="00FE0C4F" w:rsidP="00314B21">
    <w:pPr>
      <w:pStyle w:val="JuHeader"/>
    </w:pPr>
    <w:r w:rsidRPr="00314B21">
      <w:fldChar w:fldCharType="begin"/>
    </w:r>
    <w:r w:rsidRPr="00314B21">
      <w:instrText xml:space="preserve"> PAGE  \* MERGEFORMAT </w:instrText>
    </w:r>
    <w:r w:rsidRPr="00314B21">
      <w:fldChar w:fldCharType="separate"/>
    </w:r>
    <w:r w:rsidR="009178E0">
      <w:rPr>
        <w:noProof/>
      </w:rPr>
      <w:t>ii</w:t>
    </w:r>
    <w:r w:rsidRPr="00314B21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A84C6" w14:textId="468C405E" w:rsidR="00FE0C4F" w:rsidRPr="00314B21" w:rsidRDefault="00FE0C4F" w:rsidP="00314B21">
    <w:pPr>
      <w:pStyle w:val="JuHeader"/>
    </w:pPr>
    <w:r w:rsidRPr="00314B21">
      <w:fldChar w:fldCharType="begin"/>
    </w:r>
    <w:r w:rsidRPr="00314B21">
      <w:instrText xml:space="preserve"> PAGE  \* MERGEFORMAT </w:instrText>
    </w:r>
    <w:r w:rsidRPr="00314B21">
      <w:fldChar w:fldCharType="separate"/>
    </w:r>
    <w:r w:rsidR="009178E0">
      <w:rPr>
        <w:noProof/>
      </w:rPr>
      <w:t>i</w:t>
    </w:r>
    <w:r w:rsidRPr="00314B21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8130C" w14:textId="77777777" w:rsidR="00FE0C4F" w:rsidRPr="00E67565" w:rsidRDefault="00FE0C4F" w:rsidP="00314B21">
    <w:pPr>
      <w:pStyle w:val="JuHeader"/>
      <w:rPr>
        <w:sz w:val="4"/>
        <w:szCs w:val="4"/>
      </w:rPr>
    </w:pPr>
    <w:r w:rsidRPr="00314B21">
      <w:fldChar w:fldCharType="begin"/>
    </w:r>
    <w:r w:rsidRPr="00314B21">
      <w:instrText xml:space="preserve"> PAGE  \* MERGEFORMAT </w:instrText>
    </w:r>
    <w:r w:rsidRPr="00314B21">
      <w:fldChar w:fldCharType="separate"/>
    </w:r>
    <w:r w:rsidRPr="00314B21">
      <w:t>1</w:t>
    </w:r>
    <w:r w:rsidRPr="00314B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2A708" w14:textId="55DB6E01" w:rsidR="00FE0C4F" w:rsidRDefault="00FE0C4F" w:rsidP="009A115C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9178E0">
      <w:rPr>
        <w:noProof/>
      </w:rPr>
      <w:t>28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7824" w14:textId="49C027B8" w:rsidR="00FE0C4F" w:rsidRPr="000B7195" w:rsidRDefault="00FE0C4F" w:rsidP="007D3701">
    <w:pPr>
      <w:pStyle w:val="JuHeader"/>
    </w:pPr>
    <w:r>
      <w:fldChar w:fldCharType="begin"/>
    </w:r>
    <w:r>
      <w:instrText xml:space="preserve"> PAGE  \* MERGEFORMAT </w:instrText>
    </w:r>
    <w:r>
      <w:fldChar w:fldCharType="separate"/>
    </w:r>
    <w:r w:rsidR="009178E0"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1F5FE" w14:textId="77777777" w:rsidR="0039612E" w:rsidRPr="00E67565" w:rsidRDefault="0039612E" w:rsidP="0098410D">
      <w:r w:rsidRPr="00E67565">
        <w:separator/>
      </w:r>
    </w:p>
  </w:footnote>
  <w:footnote w:type="continuationSeparator" w:id="0">
    <w:p w14:paraId="3D5F121D" w14:textId="77777777" w:rsidR="0039612E" w:rsidRPr="00E67565" w:rsidRDefault="0039612E" w:rsidP="0098410D">
      <w:r w:rsidRPr="00E67565">
        <w:continuationSeparator/>
      </w:r>
    </w:p>
  </w:footnote>
  <w:footnote w:id="1">
    <w:p w14:paraId="2C6F1654" w14:textId="1976E1CA" w:rsidR="00FE0C4F" w:rsidRPr="00AD7A73" w:rsidRDefault="00FE0C4F" w:rsidP="00304BC9">
      <w:pPr>
        <w:pStyle w:val="FootnoteText"/>
        <w:rPr>
          <w:lang w:val="en-US"/>
        </w:rPr>
      </w:pPr>
      <w:r w:rsidRPr="00304BC9">
        <w:rPr>
          <w:rStyle w:val="FootnoteReference"/>
        </w:rPr>
        <w:footnoteRef/>
      </w:r>
      <w:r w:rsidR="00EA4822">
        <w:rPr>
          <w:lang w:val="en-US"/>
        </w:rPr>
        <w:t>  През периода 2013-</w:t>
      </w:r>
      <w:r w:rsidR="003312EA">
        <w:rPr>
          <w:lang w:val="en-US"/>
        </w:rPr>
        <w:t>2015 г., когато Агенцията има</w:t>
      </w:r>
      <w:r w:rsidRPr="00304BC9">
        <w:rPr>
          <w:lang w:val="en-US"/>
        </w:rPr>
        <w:t xml:space="preserve"> – в допълнение към основната си задача за </w:t>
      </w:r>
      <w:r w:rsidRPr="00304BC9">
        <w:t xml:space="preserve">опазване на националната сигурност – </w:t>
      </w:r>
      <w:r w:rsidRPr="00304BC9">
        <w:rPr>
          <w:lang w:val="en-US"/>
        </w:rPr>
        <w:t xml:space="preserve">и задачата да разследва престъпления, свързани с националната сигурност </w:t>
      </w:r>
      <w:r w:rsidRPr="00304BC9">
        <w:t>(вж. параграф</w:t>
      </w:r>
      <w:r>
        <w:rPr>
          <w:lang w:val="bg-BG"/>
        </w:rPr>
        <w:t xml:space="preserve"> </w:t>
      </w:r>
      <w:r w:rsidRPr="00304BC9">
        <w:fldChar w:fldCharType="begin"/>
      </w:r>
      <w:r w:rsidRPr="00304BC9">
        <w:instrText xml:space="preserve"> REF  RLF_SANSA_SANS_tasks \h  \* MERGEFORMAT </w:instrText>
      </w:r>
      <w:r w:rsidRPr="00304BC9">
        <w:fldChar w:fldCharType="separate"/>
      </w:r>
      <w:r>
        <w:rPr>
          <w:noProof/>
        </w:rPr>
        <w:t>42</w:t>
      </w:r>
      <w:r w:rsidRPr="00304BC9">
        <w:fldChar w:fldCharType="end"/>
      </w:r>
      <w:r w:rsidRPr="00304BC9">
        <w:t xml:space="preserve"> </w:t>
      </w:r>
      <w:r w:rsidRPr="00304BC9">
        <w:rPr>
          <w:i/>
          <w:iCs/>
        </w:rPr>
        <w:t xml:space="preserve">в края </w:t>
      </w:r>
      <w:r w:rsidRPr="00304BC9">
        <w:t>по-долу</w:t>
      </w:r>
      <w:r w:rsidR="003312EA">
        <w:t>), тя може</w:t>
      </w:r>
      <w:r w:rsidR="003312EA">
        <w:rPr>
          <w:lang w:val="bg-BG"/>
        </w:rPr>
        <w:t xml:space="preserve">ла </w:t>
      </w:r>
      <w:r>
        <w:t>да използва и „служители</w:t>
      </w:r>
      <w:r>
        <w:rPr>
          <w:lang w:val="bg-BG"/>
        </w:rPr>
        <w:t xml:space="preserve"> под прикритие</w:t>
      </w:r>
      <w:r w:rsidRPr="00304BC9">
        <w:t xml:space="preserve">“. Използването им </w:t>
      </w:r>
      <w:r w:rsidR="003312EA">
        <w:rPr>
          <w:lang w:val="bg-BG"/>
        </w:rPr>
        <w:t>е било уредено</w:t>
      </w:r>
      <w:r w:rsidRPr="00304BC9">
        <w:t xml:space="preserve"> от </w:t>
      </w:r>
      <w:r>
        <w:rPr>
          <w:lang w:val="bg-BG"/>
        </w:rPr>
        <w:t>чл.</w:t>
      </w:r>
      <w:r w:rsidRPr="00304BC9">
        <w:t xml:space="preserve"> 62а–62л, </w:t>
      </w:r>
      <w:r>
        <w:rPr>
          <w:lang w:val="bg-BG"/>
        </w:rPr>
        <w:t>приети</w:t>
      </w:r>
      <w:r w:rsidRPr="00304BC9">
        <w:t xml:space="preserve"> през </w:t>
      </w:r>
      <w:r>
        <w:rPr>
          <w:lang w:val="bg-BG"/>
        </w:rPr>
        <w:t xml:space="preserve">м. </w:t>
      </w:r>
      <w:r w:rsidRPr="00304BC9">
        <w:t xml:space="preserve">декември 2013 г. и отменени през </w:t>
      </w:r>
      <w:r>
        <w:rPr>
          <w:lang w:val="bg-BG"/>
        </w:rPr>
        <w:t xml:space="preserve">м. </w:t>
      </w:r>
      <w:r w:rsidRPr="00304BC9">
        <w:t>юни 2015 г.</w:t>
      </w:r>
    </w:p>
  </w:footnote>
  <w:footnote w:id="2">
    <w:p w14:paraId="3CB84DB0" w14:textId="608E7C8F" w:rsidR="00FE0C4F" w:rsidRDefault="00FE0C4F" w:rsidP="00304BC9">
      <w:pPr>
        <w:pStyle w:val="FootnoteText"/>
      </w:pPr>
      <w:r w:rsidRPr="00304BC9">
        <w:rPr>
          <w:rStyle w:val="FootnoteReference"/>
        </w:rPr>
        <w:footnoteRef/>
      </w:r>
      <w:r w:rsidR="00F94CA2">
        <w:t>  Те понякога се наричат</w:t>
      </w:r>
      <w:r w:rsidRPr="00304BC9">
        <w:t> още „симулирани покупки“ или „тестови покупки“.</w:t>
      </w:r>
    </w:p>
  </w:footnote>
  <w:footnote w:id="3">
    <w:p w14:paraId="0589231F" w14:textId="2CDD865F" w:rsidR="00FE0C4F" w:rsidRDefault="00FE0C4F" w:rsidP="00304BC9">
      <w:pPr>
        <w:pStyle w:val="FootnoteText"/>
      </w:pPr>
      <w:r w:rsidRPr="00304BC9">
        <w:rPr>
          <w:rStyle w:val="FootnoteReference"/>
        </w:rPr>
        <w:footnoteRef/>
      </w:r>
      <w:r w:rsidRPr="00304BC9">
        <w:t xml:space="preserve">  Член 4, параграф 1 от </w:t>
      </w:r>
      <w:r w:rsidRPr="00D55434">
        <w:t>GDPR</w:t>
      </w:r>
      <w:r w:rsidRPr="00304BC9">
        <w:t xml:space="preserve"> определя „лични данни“ като „всяка информация, свързана с идентифицирано или </w:t>
      </w:r>
      <w:r w:rsidRPr="00132B1A">
        <w:t xml:space="preserve">физическо лице, което може да бъде идентифицирано </w:t>
      </w:r>
      <w:r w:rsidRPr="00304BC9">
        <w:t xml:space="preserve">(„субект на данни“); </w:t>
      </w:r>
      <w:r w:rsidRPr="00132B1A">
        <w:t xml:space="preserve">физическо лице, което може да бъде идентифицирано </w:t>
      </w:r>
      <w:r w:rsidRPr="00304BC9">
        <w:t xml:space="preserve">е лице,  което може да бъде идентифицирано, пряко или непряко, по-специално чрез позоваване на идентификатор като име, идентификационен номер, данни за местонахождение, онлайн идентификатор или </w:t>
      </w:r>
      <w:r>
        <w:rPr>
          <w:lang w:val="bg-BG"/>
        </w:rPr>
        <w:t>по</w:t>
      </w:r>
      <w:r w:rsidRPr="00304BC9">
        <w:t xml:space="preserve"> един или повече </w:t>
      </w:r>
      <w:r>
        <w:rPr>
          <w:lang w:val="bg-BG"/>
        </w:rPr>
        <w:t>признаци</w:t>
      </w:r>
      <w:r w:rsidRPr="00304BC9">
        <w:t xml:space="preserve">, специфични за физическата, физиологичната, генетичната, психическата, </w:t>
      </w:r>
      <w:r>
        <w:rPr>
          <w:lang w:val="bg-BG"/>
        </w:rPr>
        <w:t xml:space="preserve">умствена, </w:t>
      </w:r>
      <w:r w:rsidRPr="00304BC9">
        <w:t>икономическата, културната или социалната идентичност на това физическо лице“.</w:t>
      </w:r>
    </w:p>
  </w:footnote>
  <w:footnote w:id="4">
    <w:p w14:paraId="791508FE" w14:textId="203B00EB" w:rsidR="00FE0C4F" w:rsidRDefault="00FE0C4F" w:rsidP="00304BC9">
      <w:pPr>
        <w:pStyle w:val="FootnoteText"/>
      </w:pPr>
      <w:r w:rsidRPr="00304BC9">
        <w:rPr>
          <w:rStyle w:val="FootnoteReference"/>
        </w:rPr>
        <w:footnoteRef/>
      </w:r>
      <w:r w:rsidRPr="00304BC9">
        <w:t>  Обработката на лични данни за целите на правоприлагането от съдилищата и от прокуратурата и разследващите органи (които съгласно член 117</w:t>
      </w:r>
      <w:r w:rsidRPr="00304BC9">
        <w:rPr>
          <w:rFonts w:cstheme="minorHAnsi"/>
        </w:rPr>
        <w:t xml:space="preserve">, </w:t>
      </w:r>
      <w:r>
        <w:rPr>
          <w:rFonts w:cstheme="minorHAnsi"/>
          <w:lang w:val="bg-BG"/>
        </w:rPr>
        <w:t>ал.</w:t>
      </w:r>
      <w:r w:rsidRPr="00304BC9">
        <w:t xml:space="preserve"> 2 от Конституцията на България от 1991 г. също са част от съдебната власт) се контролира от Инспектората към Висшия съдебен съве</w:t>
      </w:r>
      <w:r w:rsidR="007C76BC">
        <w:t>т (чл.</w:t>
      </w:r>
      <w:r>
        <w:t xml:space="preserve"> 78, чл.</w:t>
      </w:r>
      <w:r w:rsidRPr="00304BC9">
        <w:t xml:space="preserve"> 2 от Закона от 2002 г.).</w:t>
      </w:r>
    </w:p>
  </w:footnote>
  <w:footnote w:id="5">
    <w:p w14:paraId="3706E2F9" w14:textId="77777777" w:rsidR="00FE0C4F" w:rsidRDefault="00FE0C4F" w:rsidP="00304BC9">
      <w:pPr>
        <w:pStyle w:val="FootnoteText"/>
      </w:pPr>
      <w:r w:rsidRPr="00304BC9">
        <w:rPr>
          <w:rStyle w:val="FootnoteReference"/>
        </w:rPr>
        <w:footnoteRef/>
      </w:r>
      <w:r w:rsidRPr="00304BC9">
        <w:t>  Вж. бележка под линия</w:t>
      </w:r>
      <w:r w:rsidRPr="00304BC9">
        <w:fldChar w:fldCharType="begin"/>
      </w:r>
      <w:r w:rsidRPr="00304BC9">
        <w:instrText xml:space="preserve"> NOTEREF  _Ref185407638 \h  \* MERGEFORMAT </w:instrText>
      </w:r>
      <w:r w:rsidRPr="00304BC9">
        <w:fldChar w:fldCharType="separate"/>
      </w:r>
      <w:r>
        <w:t>3</w:t>
      </w:r>
      <w:r w:rsidRPr="00304BC9">
        <w:fldChar w:fldCharType="end"/>
      </w:r>
      <w:r w:rsidRPr="00304BC9">
        <w:t xml:space="preserve"> по-горе.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8ABA" w14:textId="77777777" w:rsidR="00FE0C4F" w:rsidRPr="00A45145" w:rsidRDefault="00FE0C4F" w:rsidP="00A45145">
    <w:pPr>
      <w:jc w:val="center"/>
    </w:pPr>
    <w:r>
      <w:rPr>
        <w:noProof/>
        <w:lang w:val="bg-BG" w:eastAsia="bg-BG"/>
      </w:rPr>
      <w:drawing>
        <wp:inline distT="0" distB="0" distL="0" distR="0" wp14:anchorId="6104AD2B" wp14:editId="0B743C97">
          <wp:extent cx="2962275" cy="1219200"/>
          <wp:effectExtent l="0" t="0" r="9525" b="0"/>
          <wp:docPr id="61" name="Picture 6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450178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FE440" w14:textId="77777777" w:rsidR="00FE0C4F" w:rsidRPr="00E67565" w:rsidRDefault="00FE0C4F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CDFB0" w14:textId="77777777" w:rsidR="00FE0C4F" w:rsidRDefault="00FE0C4F" w:rsidP="00314B21">
    <w:pPr>
      <w:jc w:val="center"/>
    </w:pPr>
    <w:r>
      <w:rPr>
        <w:noProof/>
        <w:lang w:val="bg-BG" w:eastAsia="bg-BG"/>
      </w:rPr>
      <w:drawing>
        <wp:inline distT="0" distB="0" distL="0" distR="0" wp14:anchorId="072D0333" wp14:editId="64E071D9">
          <wp:extent cx="2962275" cy="1219200"/>
          <wp:effectExtent l="0" t="0" r="9525" b="0"/>
          <wp:docPr id="63" name="Picture 6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265748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E5A5F" w14:textId="77777777" w:rsidR="00FE0C4F" w:rsidRPr="00ED2791" w:rsidRDefault="00FE0C4F" w:rsidP="00314B21">
    <w:pPr>
      <w:jc w:val="center"/>
      <w:rPr>
        <w:lang w:val="bg-BG"/>
      </w:rPr>
    </w:pPr>
    <w:r>
      <w:rPr>
        <w:lang w:val="bg-BG"/>
      </w:rPr>
      <w:t>ЕВРОПЕЙСКИ СЪД ПО ПРАВАТА НА ЧОВЕКА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A5360" w14:textId="77777777" w:rsidR="00FE0C4F" w:rsidRPr="00314B21" w:rsidRDefault="00FE0C4F" w:rsidP="00314B21">
    <w:pPr>
      <w:pStyle w:val="JuHeader"/>
    </w:pPr>
    <w:r>
      <w:t xml:space="preserve">РЕШЕНИЕ ПО ДЕЛОТО </w:t>
    </w:r>
    <w:r>
      <w:rPr>
        <w:lang w:val="bg-BG"/>
      </w:rPr>
      <w:t>ЗЕЛЕН</w:t>
    </w:r>
    <w:r>
      <w:t xml:space="preserve"> АЛИАНС</w:t>
    </w:r>
    <w:r w:rsidRPr="00314B21">
      <w:t xml:space="preserve"> </w:t>
    </w:r>
    <w:r>
      <w:rPr>
        <w:lang w:val="bg-BG"/>
      </w:rPr>
      <w:t>с/у</w:t>
    </w:r>
    <w:r w:rsidRPr="00314B21">
      <w:t xml:space="preserve"> 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7DA1" w14:textId="77777777" w:rsidR="00FE0C4F" w:rsidRPr="00A45145" w:rsidRDefault="00FE0C4F" w:rsidP="00314B21">
    <w:pPr>
      <w:pStyle w:val="JuHeader"/>
    </w:pPr>
    <w:r>
      <w:t xml:space="preserve">РЕШЕНИЕ ПО ДЕЛОТО </w:t>
    </w:r>
    <w:r>
      <w:rPr>
        <w:lang w:val="bg-BG"/>
      </w:rPr>
      <w:t>ЗЕЛЕН</w:t>
    </w:r>
    <w:r>
      <w:t xml:space="preserve"> АЛИАНС</w:t>
    </w:r>
    <w:r w:rsidRPr="00314B21">
      <w:t xml:space="preserve"> </w:t>
    </w:r>
    <w:r>
      <w:rPr>
        <w:lang w:val="bg-BG"/>
      </w:rPr>
      <w:t>с/у</w:t>
    </w:r>
    <w:r w:rsidRPr="00314B21">
      <w:t xml:space="preserve"> БЪЛГАРИЯ</w:t>
    </w:r>
  </w:p>
  <w:p w14:paraId="21077AC8" w14:textId="77777777" w:rsidR="00FE0C4F" w:rsidRPr="00E67565" w:rsidRDefault="00FE0C4F" w:rsidP="00B14793">
    <w:pPr>
      <w:jc w:val="center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2EBCB" w14:textId="77777777" w:rsidR="00FE0C4F" w:rsidRPr="00E67565" w:rsidRDefault="00FE0C4F" w:rsidP="00314B21">
    <w:pPr>
      <w:pStyle w:val="JuHeader"/>
    </w:pPr>
    <w:r w:rsidRPr="00314B21">
      <w:t>РЕШЕНИЕ ПО ДЕЛОТО „ГРИЙН АЛИАНС“ СРЕЩУ БЪЛГАРИЯ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2011A" w14:textId="77777777" w:rsidR="00FE0C4F" w:rsidRPr="004D0EC7" w:rsidRDefault="00FE0C4F" w:rsidP="00E45801">
    <w:pPr>
      <w:pStyle w:val="JuHeader"/>
    </w:pPr>
    <w:r>
      <w:t xml:space="preserve">РЕШЕНИЕ ПО ДЕЛОТО </w:t>
    </w:r>
    <w:r>
      <w:rPr>
        <w:lang w:val="bg-BG"/>
      </w:rPr>
      <w:t xml:space="preserve">ЗЕЛЕН </w:t>
    </w:r>
    <w:r>
      <w:t xml:space="preserve">АЛИАНС </w:t>
    </w:r>
    <w:r>
      <w:rPr>
        <w:lang w:val="bg-BG"/>
      </w:rPr>
      <w:t>с/у</w:t>
    </w:r>
    <w:r>
      <w:t xml:space="preserve"> БЪЛГАРИЯ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072A" w14:textId="77777777" w:rsidR="00FE0C4F" w:rsidRPr="00882CD5" w:rsidRDefault="00FE0C4F" w:rsidP="007D3701">
    <w:pPr>
      <w:pStyle w:val="JuHeader"/>
    </w:pPr>
    <w:r w:rsidRPr="00882CD5">
      <w:t xml:space="preserve">РЕШЕНИЕ ПО ДЕЛОТО </w:t>
    </w:r>
    <w:r>
      <w:rPr>
        <w:lang w:val="bg-BG"/>
      </w:rPr>
      <w:t>ЗЕЛЕН</w:t>
    </w:r>
    <w:r>
      <w:t xml:space="preserve"> АЛИАНС </w:t>
    </w:r>
    <w:r>
      <w:rPr>
        <w:lang w:val="bg-BG"/>
      </w:rPr>
      <w:t>с/у</w:t>
    </w:r>
    <w:r>
      <w:t xml:space="preserve">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4F7F31"/>
    <w:multiLevelType w:val="hybridMultilevel"/>
    <w:tmpl w:val="AD8AF510"/>
    <w:lvl w:ilvl="0" w:tplc="876EF89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(%1)"/>
      <w:lvlJc w:val="left"/>
      <w:pPr>
        <w:ind w:left="1571" w:hanging="360"/>
      </w:pPr>
      <w:rPr>
        <w:rFonts w:hint="default"/>
      </w:rPr>
    </w:lvl>
    <w:lvl w:ilvl="1" w:tplc="2D0688C6" w:tentative="1">
      <w:start w:val="1"/>
      <w:numFmt w:val="lowerLetter"/>
      <w:lvlText w:val="%2."/>
      <w:lvlJc w:val="left"/>
      <w:pPr>
        <w:ind w:left="2291" w:hanging="360"/>
      </w:pPr>
    </w:lvl>
    <w:lvl w:ilvl="2" w:tplc="9A2AE2BC" w:tentative="1">
      <w:start w:val="1"/>
      <w:numFmt w:val="lowerRoman"/>
      <w:lvlText w:val="%3."/>
      <w:lvlJc w:val="right"/>
      <w:pPr>
        <w:ind w:left="3011" w:hanging="180"/>
      </w:pPr>
    </w:lvl>
    <w:lvl w:ilvl="3" w:tplc="D854B81C" w:tentative="1">
      <w:start w:val="1"/>
      <w:numFmt w:val="decimal"/>
      <w:lvlText w:val="%4."/>
      <w:lvlJc w:val="left"/>
      <w:pPr>
        <w:ind w:left="3731" w:hanging="360"/>
      </w:pPr>
    </w:lvl>
    <w:lvl w:ilvl="4" w:tplc="BB3C6C6A" w:tentative="1">
      <w:start w:val="1"/>
      <w:numFmt w:val="lowerLetter"/>
      <w:lvlText w:val="%5."/>
      <w:lvlJc w:val="left"/>
      <w:pPr>
        <w:ind w:left="4451" w:hanging="360"/>
      </w:pPr>
    </w:lvl>
    <w:lvl w:ilvl="5" w:tplc="7C680FA0" w:tentative="1">
      <w:start w:val="1"/>
      <w:numFmt w:val="lowerRoman"/>
      <w:lvlText w:val="%6."/>
      <w:lvlJc w:val="right"/>
      <w:pPr>
        <w:ind w:left="5171" w:hanging="180"/>
      </w:pPr>
    </w:lvl>
    <w:lvl w:ilvl="6" w:tplc="E766DB82">
      <w:start w:val="1"/>
      <w:numFmt w:val="decimal"/>
      <w:lvlText w:val="%7."/>
      <w:lvlJc w:val="left"/>
      <w:pPr>
        <w:ind w:left="5891" w:hanging="360"/>
      </w:pPr>
    </w:lvl>
    <w:lvl w:ilvl="7" w:tplc="B5868948" w:tentative="1">
      <w:start w:val="1"/>
      <w:numFmt w:val="lowerLetter"/>
      <w:lvlText w:val="%8."/>
      <w:lvlJc w:val="left"/>
      <w:pPr>
        <w:ind w:left="6611" w:hanging="360"/>
      </w:pPr>
    </w:lvl>
    <w:lvl w:ilvl="8" w:tplc="1C44CDA0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56B942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9" w15:restartNumberingAfterBreak="0">
    <w:nsid w:val="67FD1241"/>
    <w:multiLevelType w:val="hybridMultilevel"/>
    <w:tmpl w:val="F6D86CC2"/>
    <w:lvl w:ilvl="0" w:tplc="67C4575E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95EB5F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3AEAB0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786C1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C941A3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4BEF7F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4861BE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D194D66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C95EB03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6"/>
  </w:num>
  <w:num w:numId="5">
    <w:abstractNumId w:val="14"/>
  </w:num>
  <w:num w:numId="6">
    <w:abstractNumId w:val="17"/>
  </w:num>
  <w:num w:numId="7">
    <w:abstractNumId w:val="16"/>
  </w:num>
  <w:num w:numId="8">
    <w:abstractNumId w:val="17"/>
  </w:num>
  <w:num w:numId="9">
    <w:abstractNumId w:val="10"/>
  </w:num>
  <w:num w:numId="10">
    <w:abstractNumId w:val="9"/>
  </w:num>
  <w:num w:numId="11">
    <w:abstractNumId w:val="1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8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hideSpellingErrors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  <w:docVar w:name="Plural" w:val="0"/>
  </w:docVars>
  <w:rsids>
    <w:rsidRoot w:val="00304BC9"/>
    <w:rsid w:val="00002035"/>
    <w:rsid w:val="00002208"/>
    <w:rsid w:val="0000281B"/>
    <w:rsid w:val="00002B6B"/>
    <w:rsid w:val="000041F8"/>
    <w:rsid w:val="000042A8"/>
    <w:rsid w:val="00004308"/>
    <w:rsid w:val="00004597"/>
    <w:rsid w:val="00005BF0"/>
    <w:rsid w:val="0000617D"/>
    <w:rsid w:val="000063AB"/>
    <w:rsid w:val="00007154"/>
    <w:rsid w:val="00007777"/>
    <w:rsid w:val="000103AE"/>
    <w:rsid w:val="000115F9"/>
    <w:rsid w:val="00011D69"/>
    <w:rsid w:val="0001232B"/>
    <w:rsid w:val="000128A2"/>
    <w:rsid w:val="00012AD3"/>
    <w:rsid w:val="00012FF5"/>
    <w:rsid w:val="000141EA"/>
    <w:rsid w:val="00015C2D"/>
    <w:rsid w:val="00015F00"/>
    <w:rsid w:val="0001732E"/>
    <w:rsid w:val="00017652"/>
    <w:rsid w:val="0001768D"/>
    <w:rsid w:val="00022C1D"/>
    <w:rsid w:val="00023A39"/>
    <w:rsid w:val="0002507D"/>
    <w:rsid w:val="0002592F"/>
    <w:rsid w:val="00025DDD"/>
    <w:rsid w:val="00031428"/>
    <w:rsid w:val="000345E5"/>
    <w:rsid w:val="00034987"/>
    <w:rsid w:val="00036021"/>
    <w:rsid w:val="00041130"/>
    <w:rsid w:val="00041560"/>
    <w:rsid w:val="00041EFC"/>
    <w:rsid w:val="000540AF"/>
    <w:rsid w:val="00055964"/>
    <w:rsid w:val="00057055"/>
    <w:rsid w:val="000602DF"/>
    <w:rsid w:val="00061B05"/>
    <w:rsid w:val="00061FE4"/>
    <w:rsid w:val="000632D5"/>
    <w:rsid w:val="000644EE"/>
    <w:rsid w:val="000712E3"/>
    <w:rsid w:val="00071F34"/>
    <w:rsid w:val="00073868"/>
    <w:rsid w:val="00074274"/>
    <w:rsid w:val="0007780A"/>
    <w:rsid w:val="000778CB"/>
    <w:rsid w:val="00081EBD"/>
    <w:rsid w:val="00081F59"/>
    <w:rsid w:val="00082554"/>
    <w:rsid w:val="000827F7"/>
    <w:rsid w:val="000853BA"/>
    <w:rsid w:val="00085457"/>
    <w:rsid w:val="00091EDB"/>
    <w:rsid w:val="000925AD"/>
    <w:rsid w:val="00094439"/>
    <w:rsid w:val="0009647C"/>
    <w:rsid w:val="00096FE1"/>
    <w:rsid w:val="00097A62"/>
    <w:rsid w:val="000A24EB"/>
    <w:rsid w:val="000A2D8F"/>
    <w:rsid w:val="000A545B"/>
    <w:rsid w:val="000A660E"/>
    <w:rsid w:val="000B0140"/>
    <w:rsid w:val="000B0233"/>
    <w:rsid w:val="000B4488"/>
    <w:rsid w:val="000B48EB"/>
    <w:rsid w:val="000B686A"/>
    <w:rsid w:val="000B6923"/>
    <w:rsid w:val="000B7195"/>
    <w:rsid w:val="000B7A17"/>
    <w:rsid w:val="000C1073"/>
    <w:rsid w:val="000C14AA"/>
    <w:rsid w:val="000C4CF9"/>
    <w:rsid w:val="000C538D"/>
    <w:rsid w:val="000C5F3C"/>
    <w:rsid w:val="000C69FC"/>
    <w:rsid w:val="000C6DCC"/>
    <w:rsid w:val="000D3532"/>
    <w:rsid w:val="000D47AA"/>
    <w:rsid w:val="000D5157"/>
    <w:rsid w:val="000D552C"/>
    <w:rsid w:val="000D5E03"/>
    <w:rsid w:val="000D721F"/>
    <w:rsid w:val="000E069B"/>
    <w:rsid w:val="000E0E82"/>
    <w:rsid w:val="000E1DC5"/>
    <w:rsid w:val="000E223F"/>
    <w:rsid w:val="000E46B8"/>
    <w:rsid w:val="000E638F"/>
    <w:rsid w:val="000E7A3C"/>
    <w:rsid w:val="000E7D45"/>
    <w:rsid w:val="000F3485"/>
    <w:rsid w:val="000F3D91"/>
    <w:rsid w:val="000F52F4"/>
    <w:rsid w:val="000F6B9D"/>
    <w:rsid w:val="000F7851"/>
    <w:rsid w:val="00100070"/>
    <w:rsid w:val="00101505"/>
    <w:rsid w:val="001044CA"/>
    <w:rsid w:val="00104E23"/>
    <w:rsid w:val="00106439"/>
    <w:rsid w:val="00107E8D"/>
    <w:rsid w:val="00110DA8"/>
    <w:rsid w:val="001116B7"/>
    <w:rsid w:val="00111B0C"/>
    <w:rsid w:val="0011320E"/>
    <w:rsid w:val="00114C54"/>
    <w:rsid w:val="00120D6C"/>
    <w:rsid w:val="001257EC"/>
    <w:rsid w:val="00126F71"/>
    <w:rsid w:val="001317BE"/>
    <w:rsid w:val="00132B1A"/>
    <w:rsid w:val="00133D33"/>
    <w:rsid w:val="00134B6A"/>
    <w:rsid w:val="00134D64"/>
    <w:rsid w:val="00135A30"/>
    <w:rsid w:val="0013612C"/>
    <w:rsid w:val="00136FB5"/>
    <w:rsid w:val="0013735B"/>
    <w:rsid w:val="00137FF6"/>
    <w:rsid w:val="00141650"/>
    <w:rsid w:val="00144FDD"/>
    <w:rsid w:val="00145B17"/>
    <w:rsid w:val="0014773C"/>
    <w:rsid w:val="00150BFA"/>
    <w:rsid w:val="0015122E"/>
    <w:rsid w:val="00151570"/>
    <w:rsid w:val="00153596"/>
    <w:rsid w:val="00154767"/>
    <w:rsid w:val="00155C45"/>
    <w:rsid w:val="001561B6"/>
    <w:rsid w:val="00160468"/>
    <w:rsid w:val="001628DB"/>
    <w:rsid w:val="00162A12"/>
    <w:rsid w:val="00162C61"/>
    <w:rsid w:val="00166530"/>
    <w:rsid w:val="00170027"/>
    <w:rsid w:val="00171B57"/>
    <w:rsid w:val="00173453"/>
    <w:rsid w:val="001735E6"/>
    <w:rsid w:val="00175DDD"/>
    <w:rsid w:val="00176C38"/>
    <w:rsid w:val="00177C53"/>
    <w:rsid w:val="00182EBA"/>
    <w:rsid w:val="001832BD"/>
    <w:rsid w:val="00183761"/>
    <w:rsid w:val="0018432C"/>
    <w:rsid w:val="00186680"/>
    <w:rsid w:val="00187B5D"/>
    <w:rsid w:val="00191A37"/>
    <w:rsid w:val="0019232D"/>
    <w:rsid w:val="00194119"/>
    <w:rsid w:val="001943B5"/>
    <w:rsid w:val="00194872"/>
    <w:rsid w:val="00195134"/>
    <w:rsid w:val="00196B30"/>
    <w:rsid w:val="001A020C"/>
    <w:rsid w:val="001A145B"/>
    <w:rsid w:val="001A1EF7"/>
    <w:rsid w:val="001A2838"/>
    <w:rsid w:val="001A3C23"/>
    <w:rsid w:val="001A3E09"/>
    <w:rsid w:val="001A52BE"/>
    <w:rsid w:val="001A674C"/>
    <w:rsid w:val="001B3B24"/>
    <w:rsid w:val="001B408C"/>
    <w:rsid w:val="001B4E5F"/>
    <w:rsid w:val="001B75B5"/>
    <w:rsid w:val="001C055B"/>
    <w:rsid w:val="001C0F98"/>
    <w:rsid w:val="001C2A42"/>
    <w:rsid w:val="001C2BFD"/>
    <w:rsid w:val="001C7EA7"/>
    <w:rsid w:val="001D0C32"/>
    <w:rsid w:val="001D636E"/>
    <w:rsid w:val="001D63ED"/>
    <w:rsid w:val="001D6F3D"/>
    <w:rsid w:val="001D71A1"/>
    <w:rsid w:val="001D7348"/>
    <w:rsid w:val="001E035B"/>
    <w:rsid w:val="001E0961"/>
    <w:rsid w:val="001E2998"/>
    <w:rsid w:val="001E3EAE"/>
    <w:rsid w:val="001E4523"/>
    <w:rsid w:val="001E46C3"/>
    <w:rsid w:val="001E6857"/>
    <w:rsid w:val="001E6F32"/>
    <w:rsid w:val="001E6FA4"/>
    <w:rsid w:val="001F2145"/>
    <w:rsid w:val="001F257E"/>
    <w:rsid w:val="001F4513"/>
    <w:rsid w:val="001F59AE"/>
    <w:rsid w:val="001F6262"/>
    <w:rsid w:val="001F67B0"/>
    <w:rsid w:val="001F7B3D"/>
    <w:rsid w:val="00200A0E"/>
    <w:rsid w:val="00201241"/>
    <w:rsid w:val="00202752"/>
    <w:rsid w:val="0020335A"/>
    <w:rsid w:val="002052BC"/>
    <w:rsid w:val="002057B4"/>
    <w:rsid w:val="00205DAE"/>
    <w:rsid w:val="00205F9F"/>
    <w:rsid w:val="0020718E"/>
    <w:rsid w:val="002102E1"/>
    <w:rsid w:val="00210338"/>
    <w:rsid w:val="002115FC"/>
    <w:rsid w:val="00211944"/>
    <w:rsid w:val="00212196"/>
    <w:rsid w:val="0021412A"/>
    <w:rsid w:val="0021423C"/>
    <w:rsid w:val="00216F97"/>
    <w:rsid w:val="00220766"/>
    <w:rsid w:val="00226C89"/>
    <w:rsid w:val="00230D00"/>
    <w:rsid w:val="00231DF7"/>
    <w:rsid w:val="00231FD1"/>
    <w:rsid w:val="002339E0"/>
    <w:rsid w:val="00233CF8"/>
    <w:rsid w:val="0023575D"/>
    <w:rsid w:val="00235E0A"/>
    <w:rsid w:val="00237104"/>
    <w:rsid w:val="00237148"/>
    <w:rsid w:val="0024222D"/>
    <w:rsid w:val="002422B6"/>
    <w:rsid w:val="002426FE"/>
    <w:rsid w:val="0024335B"/>
    <w:rsid w:val="00244338"/>
    <w:rsid w:val="00244B0E"/>
    <w:rsid w:val="00244F6C"/>
    <w:rsid w:val="00245F1B"/>
    <w:rsid w:val="00245F7C"/>
    <w:rsid w:val="00246B89"/>
    <w:rsid w:val="002500FA"/>
    <w:rsid w:val="00252C4E"/>
    <w:rsid w:val="002532C5"/>
    <w:rsid w:val="00254DF2"/>
    <w:rsid w:val="00255AF3"/>
    <w:rsid w:val="00256F81"/>
    <w:rsid w:val="00260C03"/>
    <w:rsid w:val="00261A6E"/>
    <w:rsid w:val="00261E45"/>
    <w:rsid w:val="00262287"/>
    <w:rsid w:val="0026439A"/>
    <w:rsid w:val="0026540E"/>
    <w:rsid w:val="002654E3"/>
    <w:rsid w:val="00265852"/>
    <w:rsid w:val="00265BCA"/>
    <w:rsid w:val="0027114A"/>
    <w:rsid w:val="002728A1"/>
    <w:rsid w:val="00275123"/>
    <w:rsid w:val="0027549F"/>
    <w:rsid w:val="00275CB7"/>
    <w:rsid w:val="00280498"/>
    <w:rsid w:val="002812A4"/>
    <w:rsid w:val="00281B7C"/>
    <w:rsid w:val="00282240"/>
    <w:rsid w:val="00282BD8"/>
    <w:rsid w:val="00282EA7"/>
    <w:rsid w:val="00287AD5"/>
    <w:rsid w:val="00290A54"/>
    <w:rsid w:val="00291093"/>
    <w:rsid w:val="002930E1"/>
    <w:rsid w:val="002934D0"/>
    <w:rsid w:val="00293676"/>
    <w:rsid w:val="00293BD9"/>
    <w:rsid w:val="002948AD"/>
    <w:rsid w:val="00296E8D"/>
    <w:rsid w:val="00297CBF"/>
    <w:rsid w:val="002A01CC"/>
    <w:rsid w:val="002A507C"/>
    <w:rsid w:val="002A613A"/>
    <w:rsid w:val="002A61B1"/>
    <w:rsid w:val="002A6221"/>
    <w:rsid w:val="002A663C"/>
    <w:rsid w:val="002A6B46"/>
    <w:rsid w:val="002B005C"/>
    <w:rsid w:val="002B444B"/>
    <w:rsid w:val="002B5887"/>
    <w:rsid w:val="002B5B43"/>
    <w:rsid w:val="002B6EE6"/>
    <w:rsid w:val="002C0E27"/>
    <w:rsid w:val="002C3038"/>
    <w:rsid w:val="002C3040"/>
    <w:rsid w:val="002C4433"/>
    <w:rsid w:val="002C5ADD"/>
    <w:rsid w:val="002C7826"/>
    <w:rsid w:val="002C7AD0"/>
    <w:rsid w:val="002D022D"/>
    <w:rsid w:val="002D11F8"/>
    <w:rsid w:val="002D2066"/>
    <w:rsid w:val="002D24BB"/>
    <w:rsid w:val="002D2FA7"/>
    <w:rsid w:val="002D4401"/>
    <w:rsid w:val="002D47BA"/>
    <w:rsid w:val="002D491C"/>
    <w:rsid w:val="002D77B9"/>
    <w:rsid w:val="002E2A2A"/>
    <w:rsid w:val="002E46DA"/>
    <w:rsid w:val="002E7271"/>
    <w:rsid w:val="002E7764"/>
    <w:rsid w:val="002F04CE"/>
    <w:rsid w:val="002F1D0B"/>
    <w:rsid w:val="002F2496"/>
    <w:rsid w:val="002F2AF7"/>
    <w:rsid w:val="002F2B60"/>
    <w:rsid w:val="002F3B87"/>
    <w:rsid w:val="002F69C4"/>
    <w:rsid w:val="002F7D9E"/>
    <w:rsid w:val="002F7E1C"/>
    <w:rsid w:val="00300AE0"/>
    <w:rsid w:val="00301A75"/>
    <w:rsid w:val="00302F70"/>
    <w:rsid w:val="0030336F"/>
    <w:rsid w:val="0030375E"/>
    <w:rsid w:val="003039ED"/>
    <w:rsid w:val="00304BC9"/>
    <w:rsid w:val="0030773D"/>
    <w:rsid w:val="00310102"/>
    <w:rsid w:val="00311FDD"/>
    <w:rsid w:val="00312A30"/>
    <w:rsid w:val="003137AC"/>
    <w:rsid w:val="00314B21"/>
    <w:rsid w:val="003201D8"/>
    <w:rsid w:val="00320F72"/>
    <w:rsid w:val="00323CFB"/>
    <w:rsid w:val="003243AA"/>
    <w:rsid w:val="0032463E"/>
    <w:rsid w:val="00326224"/>
    <w:rsid w:val="003265B6"/>
    <w:rsid w:val="003312EA"/>
    <w:rsid w:val="0033337C"/>
    <w:rsid w:val="00334158"/>
    <w:rsid w:val="00336017"/>
    <w:rsid w:val="00337EE4"/>
    <w:rsid w:val="00340FFD"/>
    <w:rsid w:val="00345C41"/>
    <w:rsid w:val="00347B2F"/>
    <w:rsid w:val="003506B1"/>
    <w:rsid w:val="003511A9"/>
    <w:rsid w:val="00354AF0"/>
    <w:rsid w:val="00355877"/>
    <w:rsid w:val="00356AC7"/>
    <w:rsid w:val="00356C7E"/>
    <w:rsid w:val="003604B6"/>
    <w:rsid w:val="003609FA"/>
    <w:rsid w:val="00364421"/>
    <w:rsid w:val="00366185"/>
    <w:rsid w:val="00366B2A"/>
    <w:rsid w:val="003710C8"/>
    <w:rsid w:val="00374138"/>
    <w:rsid w:val="00374594"/>
    <w:rsid w:val="00374AD3"/>
    <w:rsid w:val="003750BE"/>
    <w:rsid w:val="00376657"/>
    <w:rsid w:val="003778B8"/>
    <w:rsid w:val="00381E5B"/>
    <w:rsid w:val="0038384C"/>
    <w:rsid w:val="0038400F"/>
    <w:rsid w:val="00385A36"/>
    <w:rsid w:val="00385F3D"/>
    <w:rsid w:val="0038740C"/>
    <w:rsid w:val="00387B9D"/>
    <w:rsid w:val="00387C70"/>
    <w:rsid w:val="00390294"/>
    <w:rsid w:val="00391F5B"/>
    <w:rsid w:val="0039364F"/>
    <w:rsid w:val="0039612E"/>
    <w:rsid w:val="00396686"/>
    <w:rsid w:val="003972FF"/>
    <w:rsid w:val="0039778E"/>
    <w:rsid w:val="003A25A2"/>
    <w:rsid w:val="003A2A92"/>
    <w:rsid w:val="003A3174"/>
    <w:rsid w:val="003A6C5F"/>
    <w:rsid w:val="003A776C"/>
    <w:rsid w:val="003B01C7"/>
    <w:rsid w:val="003B4941"/>
    <w:rsid w:val="003B6F6B"/>
    <w:rsid w:val="003B7554"/>
    <w:rsid w:val="003C2DA0"/>
    <w:rsid w:val="003C2ED2"/>
    <w:rsid w:val="003C5714"/>
    <w:rsid w:val="003C6B9F"/>
    <w:rsid w:val="003C6E2A"/>
    <w:rsid w:val="003C79A8"/>
    <w:rsid w:val="003D0299"/>
    <w:rsid w:val="003D1478"/>
    <w:rsid w:val="003D1673"/>
    <w:rsid w:val="003D18DC"/>
    <w:rsid w:val="003D719E"/>
    <w:rsid w:val="003E1590"/>
    <w:rsid w:val="003E29AD"/>
    <w:rsid w:val="003E4D51"/>
    <w:rsid w:val="003E55C5"/>
    <w:rsid w:val="003E6D80"/>
    <w:rsid w:val="003E7BCC"/>
    <w:rsid w:val="003F05FA"/>
    <w:rsid w:val="003F16E9"/>
    <w:rsid w:val="003F244A"/>
    <w:rsid w:val="003F2517"/>
    <w:rsid w:val="003F30B8"/>
    <w:rsid w:val="003F489E"/>
    <w:rsid w:val="003F4C45"/>
    <w:rsid w:val="003F531D"/>
    <w:rsid w:val="003F5E26"/>
    <w:rsid w:val="003F5F7B"/>
    <w:rsid w:val="003F68C2"/>
    <w:rsid w:val="003F7D64"/>
    <w:rsid w:val="00401722"/>
    <w:rsid w:val="0040384C"/>
    <w:rsid w:val="0040433A"/>
    <w:rsid w:val="004114B7"/>
    <w:rsid w:val="00412084"/>
    <w:rsid w:val="00412434"/>
    <w:rsid w:val="00413D9D"/>
    <w:rsid w:val="00414300"/>
    <w:rsid w:val="00414F27"/>
    <w:rsid w:val="00420703"/>
    <w:rsid w:val="00421E19"/>
    <w:rsid w:val="00425C67"/>
    <w:rsid w:val="00425CCE"/>
    <w:rsid w:val="00427E7A"/>
    <w:rsid w:val="004304AD"/>
    <w:rsid w:val="004309CE"/>
    <w:rsid w:val="004350DF"/>
    <w:rsid w:val="004355AC"/>
    <w:rsid w:val="00436C49"/>
    <w:rsid w:val="00437A6E"/>
    <w:rsid w:val="004403EE"/>
    <w:rsid w:val="00443BF6"/>
    <w:rsid w:val="00443D98"/>
    <w:rsid w:val="00445366"/>
    <w:rsid w:val="00447F5B"/>
    <w:rsid w:val="00453BAB"/>
    <w:rsid w:val="00455DBC"/>
    <w:rsid w:val="00457474"/>
    <w:rsid w:val="00460F20"/>
    <w:rsid w:val="00461DB0"/>
    <w:rsid w:val="00463926"/>
    <w:rsid w:val="00464AB7"/>
    <w:rsid w:val="00464C9A"/>
    <w:rsid w:val="004655F7"/>
    <w:rsid w:val="00471B3E"/>
    <w:rsid w:val="0047262A"/>
    <w:rsid w:val="00474F3D"/>
    <w:rsid w:val="00476C7C"/>
    <w:rsid w:val="00476F07"/>
    <w:rsid w:val="00477E3A"/>
    <w:rsid w:val="004824B4"/>
    <w:rsid w:val="004825FF"/>
    <w:rsid w:val="00483D57"/>
    <w:rsid w:val="00483E5F"/>
    <w:rsid w:val="00485FF9"/>
    <w:rsid w:val="0049049B"/>
    <w:rsid w:val="004907F0"/>
    <w:rsid w:val="004910AF"/>
    <w:rsid w:val="0049140B"/>
    <w:rsid w:val="004923A5"/>
    <w:rsid w:val="0049310E"/>
    <w:rsid w:val="00494057"/>
    <w:rsid w:val="004950E2"/>
    <w:rsid w:val="004962B2"/>
    <w:rsid w:val="00496BFB"/>
    <w:rsid w:val="004A15C7"/>
    <w:rsid w:val="004A3201"/>
    <w:rsid w:val="004A68B3"/>
    <w:rsid w:val="004A6B11"/>
    <w:rsid w:val="004A7044"/>
    <w:rsid w:val="004B013B"/>
    <w:rsid w:val="004B112B"/>
    <w:rsid w:val="004B18BE"/>
    <w:rsid w:val="004B21CD"/>
    <w:rsid w:val="004B444E"/>
    <w:rsid w:val="004B6F79"/>
    <w:rsid w:val="004C01E4"/>
    <w:rsid w:val="004C086C"/>
    <w:rsid w:val="004C1F56"/>
    <w:rsid w:val="004C27BC"/>
    <w:rsid w:val="004C6621"/>
    <w:rsid w:val="004D0EC7"/>
    <w:rsid w:val="004D15F3"/>
    <w:rsid w:val="004D1AFA"/>
    <w:rsid w:val="004D3B3D"/>
    <w:rsid w:val="004D4EF1"/>
    <w:rsid w:val="004D5311"/>
    <w:rsid w:val="004D5DCC"/>
    <w:rsid w:val="004D7E45"/>
    <w:rsid w:val="004E6B73"/>
    <w:rsid w:val="004E7067"/>
    <w:rsid w:val="004F10AF"/>
    <w:rsid w:val="004F11A4"/>
    <w:rsid w:val="004F2389"/>
    <w:rsid w:val="004F304D"/>
    <w:rsid w:val="004F4290"/>
    <w:rsid w:val="004F501C"/>
    <w:rsid w:val="004F61BE"/>
    <w:rsid w:val="004F6538"/>
    <w:rsid w:val="004F66B1"/>
    <w:rsid w:val="005009ED"/>
    <w:rsid w:val="00500CDD"/>
    <w:rsid w:val="00501FB6"/>
    <w:rsid w:val="00505F69"/>
    <w:rsid w:val="005074A4"/>
    <w:rsid w:val="00507DF0"/>
    <w:rsid w:val="005116E9"/>
    <w:rsid w:val="00511C07"/>
    <w:rsid w:val="005125CB"/>
    <w:rsid w:val="00512EC4"/>
    <w:rsid w:val="00514D3C"/>
    <w:rsid w:val="00515751"/>
    <w:rsid w:val="005157B9"/>
    <w:rsid w:val="00516849"/>
    <w:rsid w:val="0051725A"/>
    <w:rsid w:val="005173A6"/>
    <w:rsid w:val="00517BB8"/>
    <w:rsid w:val="00520354"/>
    <w:rsid w:val="005209DB"/>
    <w:rsid w:val="00520BAA"/>
    <w:rsid w:val="005217D8"/>
    <w:rsid w:val="00522122"/>
    <w:rsid w:val="00525208"/>
    <w:rsid w:val="005257A5"/>
    <w:rsid w:val="005264C0"/>
    <w:rsid w:val="00526A8A"/>
    <w:rsid w:val="00527FB1"/>
    <w:rsid w:val="0053039C"/>
    <w:rsid w:val="00530FE6"/>
    <w:rsid w:val="00531DF2"/>
    <w:rsid w:val="0053256D"/>
    <w:rsid w:val="0053315C"/>
    <w:rsid w:val="00537032"/>
    <w:rsid w:val="00537476"/>
    <w:rsid w:val="00541C44"/>
    <w:rsid w:val="005422F1"/>
    <w:rsid w:val="005442EE"/>
    <w:rsid w:val="00545DA6"/>
    <w:rsid w:val="00545DB7"/>
    <w:rsid w:val="00545FF0"/>
    <w:rsid w:val="0054716E"/>
    <w:rsid w:val="00547353"/>
    <w:rsid w:val="005474E7"/>
    <w:rsid w:val="00547DD6"/>
    <w:rsid w:val="005512A3"/>
    <w:rsid w:val="00552050"/>
    <w:rsid w:val="005527BD"/>
    <w:rsid w:val="00553AD1"/>
    <w:rsid w:val="00555028"/>
    <w:rsid w:val="005578CE"/>
    <w:rsid w:val="00561F76"/>
    <w:rsid w:val="00562781"/>
    <w:rsid w:val="005628E4"/>
    <w:rsid w:val="00562B6C"/>
    <w:rsid w:val="00563C69"/>
    <w:rsid w:val="005679E7"/>
    <w:rsid w:val="00570EFE"/>
    <w:rsid w:val="0057271C"/>
    <w:rsid w:val="00572845"/>
    <w:rsid w:val="0057345B"/>
    <w:rsid w:val="00581860"/>
    <w:rsid w:val="005822CF"/>
    <w:rsid w:val="005826DC"/>
    <w:rsid w:val="00583D77"/>
    <w:rsid w:val="00586DF1"/>
    <w:rsid w:val="00586E6F"/>
    <w:rsid w:val="00586EAE"/>
    <w:rsid w:val="005879A2"/>
    <w:rsid w:val="005910F9"/>
    <w:rsid w:val="00591F97"/>
    <w:rsid w:val="005920E6"/>
    <w:rsid w:val="00592772"/>
    <w:rsid w:val="00593182"/>
    <w:rsid w:val="00595533"/>
    <w:rsid w:val="0059571A"/>
    <w:rsid w:val="0059574A"/>
    <w:rsid w:val="005A0E41"/>
    <w:rsid w:val="005A1843"/>
    <w:rsid w:val="005A1B9B"/>
    <w:rsid w:val="005A1C5B"/>
    <w:rsid w:val="005A2056"/>
    <w:rsid w:val="005A2221"/>
    <w:rsid w:val="005A2E79"/>
    <w:rsid w:val="005A3AAF"/>
    <w:rsid w:val="005A476C"/>
    <w:rsid w:val="005A6751"/>
    <w:rsid w:val="005B092E"/>
    <w:rsid w:val="005B152C"/>
    <w:rsid w:val="005B1760"/>
    <w:rsid w:val="005B1EE0"/>
    <w:rsid w:val="005B2B24"/>
    <w:rsid w:val="005B37ED"/>
    <w:rsid w:val="005B4425"/>
    <w:rsid w:val="005B4B94"/>
    <w:rsid w:val="005B5765"/>
    <w:rsid w:val="005C11BB"/>
    <w:rsid w:val="005C2C62"/>
    <w:rsid w:val="005C3EE8"/>
    <w:rsid w:val="005D2F2A"/>
    <w:rsid w:val="005D34F9"/>
    <w:rsid w:val="005D4190"/>
    <w:rsid w:val="005D67A3"/>
    <w:rsid w:val="005D77D8"/>
    <w:rsid w:val="005E2988"/>
    <w:rsid w:val="005E3085"/>
    <w:rsid w:val="005E4594"/>
    <w:rsid w:val="005E7909"/>
    <w:rsid w:val="005F021E"/>
    <w:rsid w:val="005F0EB3"/>
    <w:rsid w:val="005F35BA"/>
    <w:rsid w:val="005F39DD"/>
    <w:rsid w:val="005F4AC8"/>
    <w:rsid w:val="005F51E1"/>
    <w:rsid w:val="005F5B3E"/>
    <w:rsid w:val="00600C83"/>
    <w:rsid w:val="00601A58"/>
    <w:rsid w:val="006062F7"/>
    <w:rsid w:val="0060630E"/>
    <w:rsid w:val="006104B1"/>
    <w:rsid w:val="00610518"/>
    <w:rsid w:val="006114E1"/>
    <w:rsid w:val="00611867"/>
    <w:rsid w:val="00611C80"/>
    <w:rsid w:val="00620692"/>
    <w:rsid w:val="006206E7"/>
    <w:rsid w:val="00623851"/>
    <w:rsid w:val="00623885"/>
    <w:rsid w:val="006242CA"/>
    <w:rsid w:val="00625CAB"/>
    <w:rsid w:val="006261FA"/>
    <w:rsid w:val="00627507"/>
    <w:rsid w:val="00631C8D"/>
    <w:rsid w:val="00633717"/>
    <w:rsid w:val="006344E1"/>
    <w:rsid w:val="00634F8C"/>
    <w:rsid w:val="00636119"/>
    <w:rsid w:val="00636C0D"/>
    <w:rsid w:val="0064012B"/>
    <w:rsid w:val="00643524"/>
    <w:rsid w:val="0064393B"/>
    <w:rsid w:val="00644898"/>
    <w:rsid w:val="00645CF2"/>
    <w:rsid w:val="006513A2"/>
    <w:rsid w:val="006533EE"/>
    <w:rsid w:val="00653BED"/>
    <w:rsid w:val="006545C4"/>
    <w:rsid w:val="00655894"/>
    <w:rsid w:val="006559AD"/>
    <w:rsid w:val="00660876"/>
    <w:rsid w:val="00660883"/>
    <w:rsid w:val="00661971"/>
    <w:rsid w:val="00661CE8"/>
    <w:rsid w:val="006623D9"/>
    <w:rsid w:val="00662DEB"/>
    <w:rsid w:val="006642A5"/>
    <w:rsid w:val="0066550C"/>
    <w:rsid w:val="00665BD2"/>
    <w:rsid w:val="00666DBB"/>
    <w:rsid w:val="00667FD5"/>
    <w:rsid w:val="0067034E"/>
    <w:rsid w:val="006716F2"/>
    <w:rsid w:val="00675AF2"/>
    <w:rsid w:val="00676F01"/>
    <w:rsid w:val="00682BF2"/>
    <w:rsid w:val="00683E89"/>
    <w:rsid w:val="0068573E"/>
    <w:rsid w:val="006859CE"/>
    <w:rsid w:val="00685B02"/>
    <w:rsid w:val="00690B14"/>
    <w:rsid w:val="00691270"/>
    <w:rsid w:val="00693339"/>
    <w:rsid w:val="00694BA8"/>
    <w:rsid w:val="006957BB"/>
    <w:rsid w:val="006962B8"/>
    <w:rsid w:val="006A037C"/>
    <w:rsid w:val="006A0C84"/>
    <w:rsid w:val="006A1B92"/>
    <w:rsid w:val="006A36F4"/>
    <w:rsid w:val="006A406F"/>
    <w:rsid w:val="006A4BCC"/>
    <w:rsid w:val="006A4E97"/>
    <w:rsid w:val="006A5D3A"/>
    <w:rsid w:val="006B07F3"/>
    <w:rsid w:val="006B0C75"/>
    <w:rsid w:val="006B1942"/>
    <w:rsid w:val="006C09B8"/>
    <w:rsid w:val="006C23D4"/>
    <w:rsid w:val="006C7BB0"/>
    <w:rsid w:val="006D31A7"/>
    <w:rsid w:val="006D3237"/>
    <w:rsid w:val="006D4B6F"/>
    <w:rsid w:val="006E1B45"/>
    <w:rsid w:val="006E2E37"/>
    <w:rsid w:val="006E3CF1"/>
    <w:rsid w:val="006E4631"/>
    <w:rsid w:val="006E68A3"/>
    <w:rsid w:val="006E7E80"/>
    <w:rsid w:val="006F1C2D"/>
    <w:rsid w:val="006F2E88"/>
    <w:rsid w:val="006F48CA"/>
    <w:rsid w:val="006F64DD"/>
    <w:rsid w:val="006F6603"/>
    <w:rsid w:val="006F712D"/>
    <w:rsid w:val="006F7B65"/>
    <w:rsid w:val="00704844"/>
    <w:rsid w:val="00710258"/>
    <w:rsid w:val="007136BF"/>
    <w:rsid w:val="00713A4D"/>
    <w:rsid w:val="00713FDD"/>
    <w:rsid w:val="00715127"/>
    <w:rsid w:val="00715E0E"/>
    <w:rsid w:val="00715E8E"/>
    <w:rsid w:val="007222FC"/>
    <w:rsid w:val="00723580"/>
    <w:rsid w:val="00723755"/>
    <w:rsid w:val="00726C67"/>
    <w:rsid w:val="00727C75"/>
    <w:rsid w:val="0073136C"/>
    <w:rsid w:val="00731497"/>
    <w:rsid w:val="00731F0F"/>
    <w:rsid w:val="00733250"/>
    <w:rsid w:val="0073429B"/>
    <w:rsid w:val="00735842"/>
    <w:rsid w:val="00737346"/>
    <w:rsid w:val="0074067D"/>
    <w:rsid w:val="00741404"/>
    <w:rsid w:val="00743A63"/>
    <w:rsid w:val="007449E5"/>
    <w:rsid w:val="0074750E"/>
    <w:rsid w:val="00747FF0"/>
    <w:rsid w:val="00751066"/>
    <w:rsid w:val="00751CBD"/>
    <w:rsid w:val="007543B6"/>
    <w:rsid w:val="0075566E"/>
    <w:rsid w:val="00757F11"/>
    <w:rsid w:val="00761FE1"/>
    <w:rsid w:val="0076341E"/>
    <w:rsid w:val="00763602"/>
    <w:rsid w:val="00764D4E"/>
    <w:rsid w:val="00765A1F"/>
    <w:rsid w:val="00765BF5"/>
    <w:rsid w:val="00767A14"/>
    <w:rsid w:val="00772D0C"/>
    <w:rsid w:val="00773F54"/>
    <w:rsid w:val="00775B16"/>
    <w:rsid w:val="00775B6D"/>
    <w:rsid w:val="00775BBA"/>
    <w:rsid w:val="00775CEC"/>
    <w:rsid w:val="00776D68"/>
    <w:rsid w:val="0077713A"/>
    <w:rsid w:val="00781140"/>
    <w:rsid w:val="007830ED"/>
    <w:rsid w:val="0078323E"/>
    <w:rsid w:val="007849C2"/>
    <w:rsid w:val="007849E9"/>
    <w:rsid w:val="00784F08"/>
    <w:rsid w:val="007850EE"/>
    <w:rsid w:val="00785B95"/>
    <w:rsid w:val="00790E96"/>
    <w:rsid w:val="007926FD"/>
    <w:rsid w:val="00793366"/>
    <w:rsid w:val="0079666C"/>
    <w:rsid w:val="00797535"/>
    <w:rsid w:val="007A2CF3"/>
    <w:rsid w:val="007A716F"/>
    <w:rsid w:val="007B270A"/>
    <w:rsid w:val="007B4182"/>
    <w:rsid w:val="007C014C"/>
    <w:rsid w:val="007C0695"/>
    <w:rsid w:val="007C3075"/>
    <w:rsid w:val="007C35D9"/>
    <w:rsid w:val="007C419A"/>
    <w:rsid w:val="007C4CC8"/>
    <w:rsid w:val="007C5426"/>
    <w:rsid w:val="007C548C"/>
    <w:rsid w:val="007C5798"/>
    <w:rsid w:val="007C6978"/>
    <w:rsid w:val="007C76BC"/>
    <w:rsid w:val="007C7751"/>
    <w:rsid w:val="007D0EDE"/>
    <w:rsid w:val="007D1ECD"/>
    <w:rsid w:val="007D3701"/>
    <w:rsid w:val="007D410D"/>
    <w:rsid w:val="007D4166"/>
    <w:rsid w:val="007D4832"/>
    <w:rsid w:val="007D6731"/>
    <w:rsid w:val="007E00CC"/>
    <w:rsid w:val="007E21B2"/>
    <w:rsid w:val="007E2C4E"/>
    <w:rsid w:val="007E2C8C"/>
    <w:rsid w:val="007E33A2"/>
    <w:rsid w:val="007E51BA"/>
    <w:rsid w:val="007E73D7"/>
    <w:rsid w:val="007E79A4"/>
    <w:rsid w:val="007F0079"/>
    <w:rsid w:val="007F1905"/>
    <w:rsid w:val="007F27E4"/>
    <w:rsid w:val="007F3437"/>
    <w:rsid w:val="007F5893"/>
    <w:rsid w:val="00800559"/>
    <w:rsid w:val="00800B9E"/>
    <w:rsid w:val="00800F97"/>
    <w:rsid w:val="00802C64"/>
    <w:rsid w:val="00805E52"/>
    <w:rsid w:val="008061D0"/>
    <w:rsid w:val="00807DDE"/>
    <w:rsid w:val="00810B38"/>
    <w:rsid w:val="00810CD7"/>
    <w:rsid w:val="00810F57"/>
    <w:rsid w:val="008204C7"/>
    <w:rsid w:val="00820992"/>
    <w:rsid w:val="00823602"/>
    <w:rsid w:val="00825117"/>
    <w:rsid w:val="008255F5"/>
    <w:rsid w:val="00825EC2"/>
    <w:rsid w:val="008265FB"/>
    <w:rsid w:val="00826890"/>
    <w:rsid w:val="0082743C"/>
    <w:rsid w:val="0083014E"/>
    <w:rsid w:val="0083214A"/>
    <w:rsid w:val="00834220"/>
    <w:rsid w:val="008343BF"/>
    <w:rsid w:val="00841221"/>
    <w:rsid w:val="008450F4"/>
    <w:rsid w:val="00845371"/>
    <w:rsid w:val="00845723"/>
    <w:rsid w:val="00847727"/>
    <w:rsid w:val="008519E7"/>
    <w:rsid w:val="00851EF9"/>
    <w:rsid w:val="008523B7"/>
    <w:rsid w:val="008529EC"/>
    <w:rsid w:val="008577FD"/>
    <w:rsid w:val="00860B03"/>
    <w:rsid w:val="00863D73"/>
    <w:rsid w:val="00863E52"/>
    <w:rsid w:val="0086497A"/>
    <w:rsid w:val="0086538E"/>
    <w:rsid w:val="00865EC2"/>
    <w:rsid w:val="00866C7F"/>
    <w:rsid w:val="00867066"/>
    <w:rsid w:val="00867559"/>
    <w:rsid w:val="008713A1"/>
    <w:rsid w:val="00872584"/>
    <w:rsid w:val="008754AB"/>
    <w:rsid w:val="00877C2C"/>
    <w:rsid w:val="0088060C"/>
    <w:rsid w:val="00882CD5"/>
    <w:rsid w:val="00883151"/>
    <w:rsid w:val="0088330A"/>
    <w:rsid w:val="00883EB6"/>
    <w:rsid w:val="00886072"/>
    <w:rsid w:val="00886412"/>
    <w:rsid w:val="00887691"/>
    <w:rsid w:val="00890417"/>
    <w:rsid w:val="00892790"/>
    <w:rsid w:val="00893576"/>
    <w:rsid w:val="00893E73"/>
    <w:rsid w:val="008A5BCD"/>
    <w:rsid w:val="008B02DC"/>
    <w:rsid w:val="008B0655"/>
    <w:rsid w:val="008B092C"/>
    <w:rsid w:val="008B2EC1"/>
    <w:rsid w:val="008B57CE"/>
    <w:rsid w:val="008B745F"/>
    <w:rsid w:val="008C1027"/>
    <w:rsid w:val="008C26DE"/>
    <w:rsid w:val="008C6275"/>
    <w:rsid w:val="008C79C8"/>
    <w:rsid w:val="008D0C29"/>
    <w:rsid w:val="008D1668"/>
    <w:rsid w:val="008D2225"/>
    <w:rsid w:val="008D4752"/>
    <w:rsid w:val="008D4B83"/>
    <w:rsid w:val="008D5A13"/>
    <w:rsid w:val="008E00AF"/>
    <w:rsid w:val="008E1572"/>
    <w:rsid w:val="008E1578"/>
    <w:rsid w:val="008E271C"/>
    <w:rsid w:val="008E3764"/>
    <w:rsid w:val="008E39AC"/>
    <w:rsid w:val="008E3A08"/>
    <w:rsid w:val="008E418E"/>
    <w:rsid w:val="008E5BC6"/>
    <w:rsid w:val="008E6217"/>
    <w:rsid w:val="008E6A25"/>
    <w:rsid w:val="008F2465"/>
    <w:rsid w:val="008F2554"/>
    <w:rsid w:val="008F3AEC"/>
    <w:rsid w:val="008F4D80"/>
    <w:rsid w:val="008F5193"/>
    <w:rsid w:val="008F6B36"/>
    <w:rsid w:val="008F6FF3"/>
    <w:rsid w:val="008F738B"/>
    <w:rsid w:val="00900804"/>
    <w:rsid w:val="00900B5E"/>
    <w:rsid w:val="009013A7"/>
    <w:rsid w:val="009017FB"/>
    <w:rsid w:val="009017FC"/>
    <w:rsid w:val="00901AAC"/>
    <w:rsid w:val="0090506B"/>
    <w:rsid w:val="009050C9"/>
    <w:rsid w:val="009066FC"/>
    <w:rsid w:val="009111C2"/>
    <w:rsid w:val="00911A66"/>
    <w:rsid w:val="009140A3"/>
    <w:rsid w:val="009144A2"/>
    <w:rsid w:val="0091510C"/>
    <w:rsid w:val="009178E0"/>
    <w:rsid w:val="009259AC"/>
    <w:rsid w:val="00926F38"/>
    <w:rsid w:val="00927BEB"/>
    <w:rsid w:val="00927FC9"/>
    <w:rsid w:val="00931475"/>
    <w:rsid w:val="0093285F"/>
    <w:rsid w:val="009333DC"/>
    <w:rsid w:val="00934301"/>
    <w:rsid w:val="00936CD1"/>
    <w:rsid w:val="0094131C"/>
    <w:rsid w:val="00941747"/>
    <w:rsid w:val="00941EFB"/>
    <w:rsid w:val="009426EC"/>
    <w:rsid w:val="0094314B"/>
    <w:rsid w:val="00947AFB"/>
    <w:rsid w:val="00947B62"/>
    <w:rsid w:val="00947CD6"/>
    <w:rsid w:val="00950796"/>
    <w:rsid w:val="00951AA3"/>
    <w:rsid w:val="00951D7D"/>
    <w:rsid w:val="00953DB3"/>
    <w:rsid w:val="00956D0C"/>
    <w:rsid w:val="00961FEE"/>
    <w:rsid w:val="0096267E"/>
    <w:rsid w:val="009630C7"/>
    <w:rsid w:val="00963717"/>
    <w:rsid w:val="00964B41"/>
    <w:rsid w:val="00965D0C"/>
    <w:rsid w:val="009660D6"/>
    <w:rsid w:val="00966EBF"/>
    <w:rsid w:val="00967190"/>
    <w:rsid w:val="00971A20"/>
    <w:rsid w:val="00972B55"/>
    <w:rsid w:val="00972C01"/>
    <w:rsid w:val="009730B5"/>
    <w:rsid w:val="009743B7"/>
    <w:rsid w:val="0097721F"/>
    <w:rsid w:val="009803D7"/>
    <w:rsid w:val="0098228B"/>
    <w:rsid w:val="009828DA"/>
    <w:rsid w:val="0098410D"/>
    <w:rsid w:val="00985BAB"/>
    <w:rsid w:val="00986B3C"/>
    <w:rsid w:val="00986D79"/>
    <w:rsid w:val="00990415"/>
    <w:rsid w:val="00996528"/>
    <w:rsid w:val="009A0E45"/>
    <w:rsid w:val="009A115C"/>
    <w:rsid w:val="009A29C7"/>
    <w:rsid w:val="009A4EB6"/>
    <w:rsid w:val="009A51E6"/>
    <w:rsid w:val="009A53E0"/>
    <w:rsid w:val="009A7FC1"/>
    <w:rsid w:val="009B1606"/>
    <w:rsid w:val="009B1B5F"/>
    <w:rsid w:val="009B1D46"/>
    <w:rsid w:val="009B294F"/>
    <w:rsid w:val="009B3C8C"/>
    <w:rsid w:val="009B6673"/>
    <w:rsid w:val="009B728A"/>
    <w:rsid w:val="009B7F6B"/>
    <w:rsid w:val="009C191B"/>
    <w:rsid w:val="009C2BD6"/>
    <w:rsid w:val="009C41EF"/>
    <w:rsid w:val="009C47B4"/>
    <w:rsid w:val="009C78AF"/>
    <w:rsid w:val="009D0B0D"/>
    <w:rsid w:val="009D0D75"/>
    <w:rsid w:val="009D57AA"/>
    <w:rsid w:val="009D5A94"/>
    <w:rsid w:val="009D6630"/>
    <w:rsid w:val="009D79BC"/>
    <w:rsid w:val="009E1F32"/>
    <w:rsid w:val="009E2CC2"/>
    <w:rsid w:val="009E311D"/>
    <w:rsid w:val="009E361C"/>
    <w:rsid w:val="009E47A2"/>
    <w:rsid w:val="009E5A97"/>
    <w:rsid w:val="009E776C"/>
    <w:rsid w:val="009E7A6F"/>
    <w:rsid w:val="009F05A4"/>
    <w:rsid w:val="009F0CAE"/>
    <w:rsid w:val="009F4C8F"/>
    <w:rsid w:val="009F757C"/>
    <w:rsid w:val="00A005DE"/>
    <w:rsid w:val="00A02972"/>
    <w:rsid w:val="00A032B6"/>
    <w:rsid w:val="00A05588"/>
    <w:rsid w:val="00A060A3"/>
    <w:rsid w:val="00A06672"/>
    <w:rsid w:val="00A06D94"/>
    <w:rsid w:val="00A11A5F"/>
    <w:rsid w:val="00A12C74"/>
    <w:rsid w:val="00A15601"/>
    <w:rsid w:val="00A16C98"/>
    <w:rsid w:val="00A1726E"/>
    <w:rsid w:val="00A204CF"/>
    <w:rsid w:val="00A2087C"/>
    <w:rsid w:val="00A209B6"/>
    <w:rsid w:val="00A215D2"/>
    <w:rsid w:val="00A21992"/>
    <w:rsid w:val="00A21D2B"/>
    <w:rsid w:val="00A22745"/>
    <w:rsid w:val="00A23D49"/>
    <w:rsid w:val="00A2407D"/>
    <w:rsid w:val="00A2595A"/>
    <w:rsid w:val="00A26782"/>
    <w:rsid w:val="00A27004"/>
    <w:rsid w:val="00A308CE"/>
    <w:rsid w:val="00A30C29"/>
    <w:rsid w:val="00A34DD6"/>
    <w:rsid w:val="00A35683"/>
    <w:rsid w:val="00A35A17"/>
    <w:rsid w:val="00A36819"/>
    <w:rsid w:val="00A36989"/>
    <w:rsid w:val="00A37473"/>
    <w:rsid w:val="00A41D86"/>
    <w:rsid w:val="00A43628"/>
    <w:rsid w:val="00A43825"/>
    <w:rsid w:val="00A45145"/>
    <w:rsid w:val="00A4699B"/>
    <w:rsid w:val="00A46CC7"/>
    <w:rsid w:val="00A46D2F"/>
    <w:rsid w:val="00A51D0F"/>
    <w:rsid w:val="00A53D91"/>
    <w:rsid w:val="00A54192"/>
    <w:rsid w:val="00A56A00"/>
    <w:rsid w:val="00A5713C"/>
    <w:rsid w:val="00A57147"/>
    <w:rsid w:val="00A6035E"/>
    <w:rsid w:val="00A607D1"/>
    <w:rsid w:val="00A6144C"/>
    <w:rsid w:val="00A646F3"/>
    <w:rsid w:val="00A6492C"/>
    <w:rsid w:val="00A64ADA"/>
    <w:rsid w:val="00A66617"/>
    <w:rsid w:val="00A671F8"/>
    <w:rsid w:val="00A673A4"/>
    <w:rsid w:val="00A724AE"/>
    <w:rsid w:val="00A724D9"/>
    <w:rsid w:val="00A73329"/>
    <w:rsid w:val="00A75DC1"/>
    <w:rsid w:val="00A77667"/>
    <w:rsid w:val="00A82359"/>
    <w:rsid w:val="00A82E67"/>
    <w:rsid w:val="00A83399"/>
    <w:rsid w:val="00A83F1C"/>
    <w:rsid w:val="00A85647"/>
    <w:rsid w:val="00A865D2"/>
    <w:rsid w:val="00A87C10"/>
    <w:rsid w:val="00A900C3"/>
    <w:rsid w:val="00A90BCD"/>
    <w:rsid w:val="00A91E18"/>
    <w:rsid w:val="00A92625"/>
    <w:rsid w:val="00A93A39"/>
    <w:rsid w:val="00A93D05"/>
    <w:rsid w:val="00A94C20"/>
    <w:rsid w:val="00A95D81"/>
    <w:rsid w:val="00AA0FB6"/>
    <w:rsid w:val="00AA1AFD"/>
    <w:rsid w:val="00AA1B09"/>
    <w:rsid w:val="00AA227F"/>
    <w:rsid w:val="00AA3BC7"/>
    <w:rsid w:val="00AA4770"/>
    <w:rsid w:val="00AA5A93"/>
    <w:rsid w:val="00AA6854"/>
    <w:rsid w:val="00AA754A"/>
    <w:rsid w:val="00AA7835"/>
    <w:rsid w:val="00AB099E"/>
    <w:rsid w:val="00AB4328"/>
    <w:rsid w:val="00AB4883"/>
    <w:rsid w:val="00AB72E5"/>
    <w:rsid w:val="00AC1E80"/>
    <w:rsid w:val="00AC38DE"/>
    <w:rsid w:val="00AC49FC"/>
    <w:rsid w:val="00AC4CD4"/>
    <w:rsid w:val="00AC6B68"/>
    <w:rsid w:val="00AD1DCF"/>
    <w:rsid w:val="00AD2365"/>
    <w:rsid w:val="00AD2371"/>
    <w:rsid w:val="00AD265D"/>
    <w:rsid w:val="00AD5BE8"/>
    <w:rsid w:val="00AD7A73"/>
    <w:rsid w:val="00AE0A2E"/>
    <w:rsid w:val="00AE2C64"/>
    <w:rsid w:val="00AE354C"/>
    <w:rsid w:val="00AE52C1"/>
    <w:rsid w:val="00AE7E7B"/>
    <w:rsid w:val="00AF0340"/>
    <w:rsid w:val="00AF10DC"/>
    <w:rsid w:val="00AF12C5"/>
    <w:rsid w:val="00AF4B07"/>
    <w:rsid w:val="00AF6186"/>
    <w:rsid w:val="00AF7A3A"/>
    <w:rsid w:val="00B007F0"/>
    <w:rsid w:val="00B00C25"/>
    <w:rsid w:val="00B018A8"/>
    <w:rsid w:val="00B02587"/>
    <w:rsid w:val="00B032BF"/>
    <w:rsid w:val="00B049D1"/>
    <w:rsid w:val="00B05EAD"/>
    <w:rsid w:val="00B102CE"/>
    <w:rsid w:val="00B1032E"/>
    <w:rsid w:val="00B117C3"/>
    <w:rsid w:val="00B118C1"/>
    <w:rsid w:val="00B14793"/>
    <w:rsid w:val="00B153A0"/>
    <w:rsid w:val="00B160DB"/>
    <w:rsid w:val="00B20836"/>
    <w:rsid w:val="00B235BB"/>
    <w:rsid w:val="00B24170"/>
    <w:rsid w:val="00B24B47"/>
    <w:rsid w:val="00B27A44"/>
    <w:rsid w:val="00B30BBF"/>
    <w:rsid w:val="00B33C03"/>
    <w:rsid w:val="00B404E4"/>
    <w:rsid w:val="00B4073A"/>
    <w:rsid w:val="00B421B2"/>
    <w:rsid w:val="00B4421F"/>
    <w:rsid w:val="00B44338"/>
    <w:rsid w:val="00B447BD"/>
    <w:rsid w:val="00B44E56"/>
    <w:rsid w:val="00B44FC4"/>
    <w:rsid w:val="00B45917"/>
    <w:rsid w:val="00B46543"/>
    <w:rsid w:val="00B47D33"/>
    <w:rsid w:val="00B5059A"/>
    <w:rsid w:val="00B5089E"/>
    <w:rsid w:val="00B52BE0"/>
    <w:rsid w:val="00B54133"/>
    <w:rsid w:val="00B55A8D"/>
    <w:rsid w:val="00B57230"/>
    <w:rsid w:val="00B57CB4"/>
    <w:rsid w:val="00B62A0F"/>
    <w:rsid w:val="00B6751D"/>
    <w:rsid w:val="00B6780E"/>
    <w:rsid w:val="00B701ED"/>
    <w:rsid w:val="00B738FC"/>
    <w:rsid w:val="00B73C4D"/>
    <w:rsid w:val="00B748F7"/>
    <w:rsid w:val="00B74FDE"/>
    <w:rsid w:val="00B77A54"/>
    <w:rsid w:val="00B8086C"/>
    <w:rsid w:val="00B808B2"/>
    <w:rsid w:val="00B81BCA"/>
    <w:rsid w:val="00B81C58"/>
    <w:rsid w:val="00B822B5"/>
    <w:rsid w:val="00B822F5"/>
    <w:rsid w:val="00B82454"/>
    <w:rsid w:val="00B85549"/>
    <w:rsid w:val="00B85C45"/>
    <w:rsid w:val="00B861B4"/>
    <w:rsid w:val="00B86DFE"/>
    <w:rsid w:val="00B90990"/>
    <w:rsid w:val="00B922FF"/>
    <w:rsid w:val="00B9281E"/>
    <w:rsid w:val="00B93925"/>
    <w:rsid w:val="00B93E9D"/>
    <w:rsid w:val="00B95187"/>
    <w:rsid w:val="00BA06C1"/>
    <w:rsid w:val="00BA11BF"/>
    <w:rsid w:val="00BA25E8"/>
    <w:rsid w:val="00BA2D55"/>
    <w:rsid w:val="00BA40FE"/>
    <w:rsid w:val="00BA417C"/>
    <w:rsid w:val="00BA57F3"/>
    <w:rsid w:val="00BA71B1"/>
    <w:rsid w:val="00BB0637"/>
    <w:rsid w:val="00BB345F"/>
    <w:rsid w:val="00BB68EA"/>
    <w:rsid w:val="00BC09F2"/>
    <w:rsid w:val="00BC0B99"/>
    <w:rsid w:val="00BC135B"/>
    <w:rsid w:val="00BC16F5"/>
    <w:rsid w:val="00BC1C27"/>
    <w:rsid w:val="00BC2B29"/>
    <w:rsid w:val="00BC37FE"/>
    <w:rsid w:val="00BC4483"/>
    <w:rsid w:val="00BC56A7"/>
    <w:rsid w:val="00BC6A8B"/>
    <w:rsid w:val="00BC6BBF"/>
    <w:rsid w:val="00BD1572"/>
    <w:rsid w:val="00BD28E3"/>
    <w:rsid w:val="00BD3FB2"/>
    <w:rsid w:val="00BD5B82"/>
    <w:rsid w:val="00BE14E3"/>
    <w:rsid w:val="00BE26B7"/>
    <w:rsid w:val="00BE3658"/>
    <w:rsid w:val="00BE3774"/>
    <w:rsid w:val="00BE41E5"/>
    <w:rsid w:val="00BE4CE2"/>
    <w:rsid w:val="00BE7658"/>
    <w:rsid w:val="00BF118F"/>
    <w:rsid w:val="00BF39C8"/>
    <w:rsid w:val="00BF4109"/>
    <w:rsid w:val="00BF4BE3"/>
    <w:rsid w:val="00BF4CC3"/>
    <w:rsid w:val="00C00901"/>
    <w:rsid w:val="00C043E6"/>
    <w:rsid w:val="00C054C7"/>
    <w:rsid w:val="00C05703"/>
    <w:rsid w:val="00C057B5"/>
    <w:rsid w:val="00C07067"/>
    <w:rsid w:val="00C07377"/>
    <w:rsid w:val="00C07A01"/>
    <w:rsid w:val="00C07D0E"/>
    <w:rsid w:val="00C115C3"/>
    <w:rsid w:val="00C118E6"/>
    <w:rsid w:val="00C12135"/>
    <w:rsid w:val="00C152D7"/>
    <w:rsid w:val="00C15547"/>
    <w:rsid w:val="00C1672D"/>
    <w:rsid w:val="00C22687"/>
    <w:rsid w:val="00C23485"/>
    <w:rsid w:val="00C241EB"/>
    <w:rsid w:val="00C24E3A"/>
    <w:rsid w:val="00C252CD"/>
    <w:rsid w:val="00C26A92"/>
    <w:rsid w:val="00C26B1C"/>
    <w:rsid w:val="00C27864"/>
    <w:rsid w:val="00C3177A"/>
    <w:rsid w:val="00C32E4D"/>
    <w:rsid w:val="00C333A0"/>
    <w:rsid w:val="00C36A81"/>
    <w:rsid w:val="00C36D5D"/>
    <w:rsid w:val="00C37365"/>
    <w:rsid w:val="00C37E13"/>
    <w:rsid w:val="00C4111E"/>
    <w:rsid w:val="00C41974"/>
    <w:rsid w:val="00C42AF1"/>
    <w:rsid w:val="00C44A2C"/>
    <w:rsid w:val="00C44A70"/>
    <w:rsid w:val="00C44F09"/>
    <w:rsid w:val="00C45619"/>
    <w:rsid w:val="00C462F6"/>
    <w:rsid w:val="00C467B1"/>
    <w:rsid w:val="00C477F7"/>
    <w:rsid w:val="00C509A6"/>
    <w:rsid w:val="00C53F4A"/>
    <w:rsid w:val="00C54125"/>
    <w:rsid w:val="00C5505C"/>
    <w:rsid w:val="00C55B54"/>
    <w:rsid w:val="00C56159"/>
    <w:rsid w:val="00C56300"/>
    <w:rsid w:val="00C56A87"/>
    <w:rsid w:val="00C60235"/>
    <w:rsid w:val="00C6098E"/>
    <w:rsid w:val="00C6152C"/>
    <w:rsid w:val="00C71424"/>
    <w:rsid w:val="00C7291C"/>
    <w:rsid w:val="00C72C98"/>
    <w:rsid w:val="00C74512"/>
    <w:rsid w:val="00C74810"/>
    <w:rsid w:val="00C75089"/>
    <w:rsid w:val="00C75DE8"/>
    <w:rsid w:val="00C777AD"/>
    <w:rsid w:val="00C8120B"/>
    <w:rsid w:val="00C83211"/>
    <w:rsid w:val="00C869CD"/>
    <w:rsid w:val="00C90D68"/>
    <w:rsid w:val="00C91E76"/>
    <w:rsid w:val="00C9247A"/>
    <w:rsid w:val="00C9324F"/>
    <w:rsid w:val="00C939FE"/>
    <w:rsid w:val="00C94D48"/>
    <w:rsid w:val="00C960AF"/>
    <w:rsid w:val="00C96675"/>
    <w:rsid w:val="00CA1E7F"/>
    <w:rsid w:val="00CA4BDA"/>
    <w:rsid w:val="00CA601E"/>
    <w:rsid w:val="00CB0B73"/>
    <w:rsid w:val="00CB13E3"/>
    <w:rsid w:val="00CB1F66"/>
    <w:rsid w:val="00CB232C"/>
    <w:rsid w:val="00CB2951"/>
    <w:rsid w:val="00CB38D0"/>
    <w:rsid w:val="00CB4277"/>
    <w:rsid w:val="00CB686C"/>
    <w:rsid w:val="00CB76C8"/>
    <w:rsid w:val="00CB7CC7"/>
    <w:rsid w:val="00CC04AC"/>
    <w:rsid w:val="00CC26A4"/>
    <w:rsid w:val="00CC26C3"/>
    <w:rsid w:val="00CC35A8"/>
    <w:rsid w:val="00CC5067"/>
    <w:rsid w:val="00CC5503"/>
    <w:rsid w:val="00CC7160"/>
    <w:rsid w:val="00CD11D3"/>
    <w:rsid w:val="00CD279F"/>
    <w:rsid w:val="00CD282B"/>
    <w:rsid w:val="00CD41A0"/>
    <w:rsid w:val="00CD447B"/>
    <w:rsid w:val="00CD4C35"/>
    <w:rsid w:val="00CD5BC6"/>
    <w:rsid w:val="00CD7369"/>
    <w:rsid w:val="00CD7C25"/>
    <w:rsid w:val="00CE0B0E"/>
    <w:rsid w:val="00CE3831"/>
    <w:rsid w:val="00CE4AA0"/>
    <w:rsid w:val="00CE587E"/>
    <w:rsid w:val="00CE5E58"/>
    <w:rsid w:val="00CE6611"/>
    <w:rsid w:val="00CF2397"/>
    <w:rsid w:val="00CF33FF"/>
    <w:rsid w:val="00CF4B0C"/>
    <w:rsid w:val="00D00ABB"/>
    <w:rsid w:val="00D02EEC"/>
    <w:rsid w:val="00D03551"/>
    <w:rsid w:val="00D04315"/>
    <w:rsid w:val="00D05D9B"/>
    <w:rsid w:val="00D06A63"/>
    <w:rsid w:val="00D07E0E"/>
    <w:rsid w:val="00D10CD6"/>
    <w:rsid w:val="00D11478"/>
    <w:rsid w:val="00D143CC"/>
    <w:rsid w:val="00D15ED0"/>
    <w:rsid w:val="00D1620D"/>
    <w:rsid w:val="00D164BF"/>
    <w:rsid w:val="00D21B3E"/>
    <w:rsid w:val="00D21FED"/>
    <w:rsid w:val="00D23048"/>
    <w:rsid w:val="00D24251"/>
    <w:rsid w:val="00D26895"/>
    <w:rsid w:val="00D26E72"/>
    <w:rsid w:val="00D31977"/>
    <w:rsid w:val="00D32746"/>
    <w:rsid w:val="00D343E2"/>
    <w:rsid w:val="00D361A2"/>
    <w:rsid w:val="00D3714D"/>
    <w:rsid w:val="00D37272"/>
    <w:rsid w:val="00D40FEA"/>
    <w:rsid w:val="00D44C2E"/>
    <w:rsid w:val="00D45414"/>
    <w:rsid w:val="00D45E58"/>
    <w:rsid w:val="00D46E21"/>
    <w:rsid w:val="00D50A0A"/>
    <w:rsid w:val="00D5215F"/>
    <w:rsid w:val="00D53548"/>
    <w:rsid w:val="00D53F80"/>
    <w:rsid w:val="00D54833"/>
    <w:rsid w:val="00D553F1"/>
    <w:rsid w:val="00D55434"/>
    <w:rsid w:val="00D5576B"/>
    <w:rsid w:val="00D563E0"/>
    <w:rsid w:val="00D566BD"/>
    <w:rsid w:val="00D57A4D"/>
    <w:rsid w:val="00D60AA7"/>
    <w:rsid w:val="00D63FFB"/>
    <w:rsid w:val="00D6435F"/>
    <w:rsid w:val="00D66471"/>
    <w:rsid w:val="00D669D4"/>
    <w:rsid w:val="00D67F70"/>
    <w:rsid w:val="00D70641"/>
    <w:rsid w:val="00D734B3"/>
    <w:rsid w:val="00D73721"/>
    <w:rsid w:val="00D74888"/>
    <w:rsid w:val="00D7488B"/>
    <w:rsid w:val="00D75877"/>
    <w:rsid w:val="00D75A6A"/>
    <w:rsid w:val="00D75E28"/>
    <w:rsid w:val="00D75E6F"/>
    <w:rsid w:val="00D7639E"/>
    <w:rsid w:val="00D772C2"/>
    <w:rsid w:val="00D772EC"/>
    <w:rsid w:val="00D8008E"/>
    <w:rsid w:val="00D80CE9"/>
    <w:rsid w:val="00D81804"/>
    <w:rsid w:val="00D82C45"/>
    <w:rsid w:val="00D838E2"/>
    <w:rsid w:val="00D8568B"/>
    <w:rsid w:val="00D908A8"/>
    <w:rsid w:val="00D941C9"/>
    <w:rsid w:val="00D977B6"/>
    <w:rsid w:val="00DA1223"/>
    <w:rsid w:val="00DA2062"/>
    <w:rsid w:val="00DA4A31"/>
    <w:rsid w:val="00DA68B4"/>
    <w:rsid w:val="00DA7B04"/>
    <w:rsid w:val="00DB36C2"/>
    <w:rsid w:val="00DC00A8"/>
    <w:rsid w:val="00DC169B"/>
    <w:rsid w:val="00DC2AB9"/>
    <w:rsid w:val="00DC63F0"/>
    <w:rsid w:val="00DC75BE"/>
    <w:rsid w:val="00DD37EA"/>
    <w:rsid w:val="00DD441B"/>
    <w:rsid w:val="00DD6EE5"/>
    <w:rsid w:val="00DD7C8D"/>
    <w:rsid w:val="00DE31EB"/>
    <w:rsid w:val="00DE386C"/>
    <w:rsid w:val="00DE4021"/>
    <w:rsid w:val="00DE4219"/>
    <w:rsid w:val="00DE44CC"/>
    <w:rsid w:val="00DE4D35"/>
    <w:rsid w:val="00DF098B"/>
    <w:rsid w:val="00DF11C4"/>
    <w:rsid w:val="00DF210C"/>
    <w:rsid w:val="00DF4B6A"/>
    <w:rsid w:val="00DF75CF"/>
    <w:rsid w:val="00E004C0"/>
    <w:rsid w:val="00E017DE"/>
    <w:rsid w:val="00E02C09"/>
    <w:rsid w:val="00E02D23"/>
    <w:rsid w:val="00E04D59"/>
    <w:rsid w:val="00E07DA1"/>
    <w:rsid w:val="00E07E41"/>
    <w:rsid w:val="00E123CB"/>
    <w:rsid w:val="00E13447"/>
    <w:rsid w:val="00E13B09"/>
    <w:rsid w:val="00E13FC5"/>
    <w:rsid w:val="00E162DB"/>
    <w:rsid w:val="00E20E13"/>
    <w:rsid w:val="00E21DBC"/>
    <w:rsid w:val="00E22DF4"/>
    <w:rsid w:val="00E23226"/>
    <w:rsid w:val="00E2520F"/>
    <w:rsid w:val="00E2544D"/>
    <w:rsid w:val="00E26CB6"/>
    <w:rsid w:val="00E27098"/>
    <w:rsid w:val="00E27264"/>
    <w:rsid w:val="00E275D7"/>
    <w:rsid w:val="00E27DBE"/>
    <w:rsid w:val="00E32AB1"/>
    <w:rsid w:val="00E32E68"/>
    <w:rsid w:val="00E340F6"/>
    <w:rsid w:val="00E36C71"/>
    <w:rsid w:val="00E40404"/>
    <w:rsid w:val="00E40782"/>
    <w:rsid w:val="00E4126A"/>
    <w:rsid w:val="00E42007"/>
    <w:rsid w:val="00E42A06"/>
    <w:rsid w:val="00E4568C"/>
    <w:rsid w:val="00E45801"/>
    <w:rsid w:val="00E459C6"/>
    <w:rsid w:val="00E461D9"/>
    <w:rsid w:val="00E46BDA"/>
    <w:rsid w:val="00E47589"/>
    <w:rsid w:val="00E539D3"/>
    <w:rsid w:val="00E55794"/>
    <w:rsid w:val="00E557AA"/>
    <w:rsid w:val="00E57488"/>
    <w:rsid w:val="00E63C14"/>
    <w:rsid w:val="00E63EC7"/>
    <w:rsid w:val="00E64915"/>
    <w:rsid w:val="00E64D3A"/>
    <w:rsid w:val="00E661D4"/>
    <w:rsid w:val="00E66E88"/>
    <w:rsid w:val="00E67565"/>
    <w:rsid w:val="00E67ACB"/>
    <w:rsid w:val="00E70091"/>
    <w:rsid w:val="00E70D2E"/>
    <w:rsid w:val="00E720F5"/>
    <w:rsid w:val="00E735BA"/>
    <w:rsid w:val="00E744E0"/>
    <w:rsid w:val="00E76D47"/>
    <w:rsid w:val="00E80511"/>
    <w:rsid w:val="00E827BC"/>
    <w:rsid w:val="00E838A6"/>
    <w:rsid w:val="00E849F7"/>
    <w:rsid w:val="00E86C1E"/>
    <w:rsid w:val="00E90302"/>
    <w:rsid w:val="00E90F9C"/>
    <w:rsid w:val="00E91308"/>
    <w:rsid w:val="00E91D05"/>
    <w:rsid w:val="00E9262D"/>
    <w:rsid w:val="00E94245"/>
    <w:rsid w:val="00E9555E"/>
    <w:rsid w:val="00E95C1E"/>
    <w:rsid w:val="00E97396"/>
    <w:rsid w:val="00EA185E"/>
    <w:rsid w:val="00EA31F6"/>
    <w:rsid w:val="00EA4822"/>
    <w:rsid w:val="00EA56CA"/>
    <w:rsid w:val="00EA592A"/>
    <w:rsid w:val="00EA6C41"/>
    <w:rsid w:val="00EA7B9D"/>
    <w:rsid w:val="00EB1360"/>
    <w:rsid w:val="00EB14E4"/>
    <w:rsid w:val="00EB2E9C"/>
    <w:rsid w:val="00EB2ED0"/>
    <w:rsid w:val="00EB32A5"/>
    <w:rsid w:val="00EB34ED"/>
    <w:rsid w:val="00EB3CD8"/>
    <w:rsid w:val="00EB447C"/>
    <w:rsid w:val="00EB5173"/>
    <w:rsid w:val="00EB556B"/>
    <w:rsid w:val="00EB6B07"/>
    <w:rsid w:val="00EB7BE0"/>
    <w:rsid w:val="00EC315E"/>
    <w:rsid w:val="00EC73E4"/>
    <w:rsid w:val="00ED077C"/>
    <w:rsid w:val="00ED10A9"/>
    <w:rsid w:val="00ED1190"/>
    <w:rsid w:val="00ED2791"/>
    <w:rsid w:val="00ED34AC"/>
    <w:rsid w:val="00ED6544"/>
    <w:rsid w:val="00EE0277"/>
    <w:rsid w:val="00EE1000"/>
    <w:rsid w:val="00EE2899"/>
    <w:rsid w:val="00EE3E00"/>
    <w:rsid w:val="00EE565B"/>
    <w:rsid w:val="00EE5897"/>
    <w:rsid w:val="00EE5DD2"/>
    <w:rsid w:val="00EF36C5"/>
    <w:rsid w:val="00EF3DB4"/>
    <w:rsid w:val="00EF51CB"/>
    <w:rsid w:val="00F00A79"/>
    <w:rsid w:val="00F00D13"/>
    <w:rsid w:val="00F00E86"/>
    <w:rsid w:val="00F01200"/>
    <w:rsid w:val="00F03AD5"/>
    <w:rsid w:val="00F04AFB"/>
    <w:rsid w:val="00F04F2B"/>
    <w:rsid w:val="00F06654"/>
    <w:rsid w:val="00F07C1E"/>
    <w:rsid w:val="00F105DB"/>
    <w:rsid w:val="00F132BC"/>
    <w:rsid w:val="00F13471"/>
    <w:rsid w:val="00F13D80"/>
    <w:rsid w:val="00F15B4D"/>
    <w:rsid w:val="00F16339"/>
    <w:rsid w:val="00F16A7C"/>
    <w:rsid w:val="00F16AAA"/>
    <w:rsid w:val="00F16CDF"/>
    <w:rsid w:val="00F1709C"/>
    <w:rsid w:val="00F1757E"/>
    <w:rsid w:val="00F17CB6"/>
    <w:rsid w:val="00F20823"/>
    <w:rsid w:val="00F21067"/>
    <w:rsid w:val="00F21161"/>
    <w:rsid w:val="00F21746"/>
    <w:rsid w:val="00F218EF"/>
    <w:rsid w:val="00F21BC7"/>
    <w:rsid w:val="00F21D3F"/>
    <w:rsid w:val="00F22465"/>
    <w:rsid w:val="00F25368"/>
    <w:rsid w:val="00F266A2"/>
    <w:rsid w:val="00F30BCD"/>
    <w:rsid w:val="00F32269"/>
    <w:rsid w:val="00F33118"/>
    <w:rsid w:val="00F332FC"/>
    <w:rsid w:val="00F3584E"/>
    <w:rsid w:val="00F35B7A"/>
    <w:rsid w:val="00F4076B"/>
    <w:rsid w:val="00F42D2C"/>
    <w:rsid w:val="00F45977"/>
    <w:rsid w:val="00F46052"/>
    <w:rsid w:val="00F505C6"/>
    <w:rsid w:val="00F55DA1"/>
    <w:rsid w:val="00F56A6F"/>
    <w:rsid w:val="00F56B27"/>
    <w:rsid w:val="00F5709C"/>
    <w:rsid w:val="00F60B85"/>
    <w:rsid w:val="00F63C2C"/>
    <w:rsid w:val="00F64D32"/>
    <w:rsid w:val="00F64DBD"/>
    <w:rsid w:val="00F64EF1"/>
    <w:rsid w:val="00F65782"/>
    <w:rsid w:val="00F72498"/>
    <w:rsid w:val="00F72B14"/>
    <w:rsid w:val="00F7349B"/>
    <w:rsid w:val="00F73B0F"/>
    <w:rsid w:val="00F75337"/>
    <w:rsid w:val="00F8765F"/>
    <w:rsid w:val="00F90767"/>
    <w:rsid w:val="00F914F3"/>
    <w:rsid w:val="00F9263C"/>
    <w:rsid w:val="00F94CA2"/>
    <w:rsid w:val="00F97983"/>
    <w:rsid w:val="00FA1637"/>
    <w:rsid w:val="00FA685B"/>
    <w:rsid w:val="00FB0C01"/>
    <w:rsid w:val="00FB0FCB"/>
    <w:rsid w:val="00FB1059"/>
    <w:rsid w:val="00FB3F96"/>
    <w:rsid w:val="00FB5934"/>
    <w:rsid w:val="00FB63D5"/>
    <w:rsid w:val="00FC18F2"/>
    <w:rsid w:val="00FC2A17"/>
    <w:rsid w:val="00FC38CF"/>
    <w:rsid w:val="00FC39B8"/>
    <w:rsid w:val="00FC39E5"/>
    <w:rsid w:val="00FC3A78"/>
    <w:rsid w:val="00FC5A6A"/>
    <w:rsid w:val="00FD0C3B"/>
    <w:rsid w:val="00FD1005"/>
    <w:rsid w:val="00FD1F7F"/>
    <w:rsid w:val="00FD2C15"/>
    <w:rsid w:val="00FD3F2D"/>
    <w:rsid w:val="00FD4878"/>
    <w:rsid w:val="00FD6C75"/>
    <w:rsid w:val="00FD7972"/>
    <w:rsid w:val="00FE0401"/>
    <w:rsid w:val="00FE0C4F"/>
    <w:rsid w:val="00FE3CEB"/>
    <w:rsid w:val="00FE71B3"/>
    <w:rsid w:val="00FF03F8"/>
    <w:rsid w:val="00FF23EF"/>
    <w:rsid w:val="00FF364A"/>
    <w:rsid w:val="00FF3683"/>
    <w:rsid w:val="00FF3B02"/>
    <w:rsid w:val="00FF42C5"/>
    <w:rsid w:val="00FF48F9"/>
    <w:rsid w:val="00FF5C6C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6F7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320E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8"/>
    <w:rsid w:val="002B5B4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2B5B43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2B5B4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2B5B4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2B5B4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2B5B4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2B5B43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2B5B43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2B5B4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2B5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2B5B43"/>
    <w:rPr>
      <w:rFonts w:ascii="Tahoma" w:hAnsi="Tahoma" w:cs="Tahoma"/>
      <w:sz w:val="16"/>
      <w:szCs w:val="16"/>
      <w:lang w:val="en-GB"/>
    </w:rPr>
  </w:style>
  <w:style w:type="character" w:styleId="BookTitle">
    <w:name w:val="Book Title"/>
    <w:uiPriority w:val="98"/>
    <w:qFormat/>
    <w:rsid w:val="002B5B43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2B5B43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2B5B43"/>
    <w:pPr>
      <w:jc w:val="both"/>
    </w:pPr>
  </w:style>
  <w:style w:type="character" w:styleId="Strong">
    <w:name w:val="Strong"/>
    <w:uiPriority w:val="98"/>
    <w:qFormat/>
    <w:rsid w:val="002B5B43"/>
    <w:rPr>
      <w:b/>
      <w:bCs/>
    </w:rPr>
  </w:style>
  <w:style w:type="paragraph" w:styleId="NoSpacing">
    <w:name w:val="No Spacing"/>
    <w:basedOn w:val="Normal"/>
    <w:link w:val="NoSpacingChar"/>
    <w:uiPriority w:val="98"/>
    <w:qFormat/>
    <w:rsid w:val="002B5B43"/>
  </w:style>
  <w:style w:type="character" w:customStyle="1" w:styleId="NoSpacingChar">
    <w:name w:val="No Spacing Char"/>
    <w:basedOn w:val="DefaultParagraphFont"/>
    <w:link w:val="NoSpacing"/>
    <w:uiPriority w:val="98"/>
    <w:rsid w:val="002B5B43"/>
    <w:rPr>
      <w:sz w:val="24"/>
      <w:szCs w:val="24"/>
      <w:lang w:val="en-GB"/>
    </w:rPr>
  </w:style>
  <w:style w:type="paragraph" w:customStyle="1" w:styleId="JuQuot">
    <w:name w:val="Ju_Quot"/>
    <w:aliases w:val="_Quote"/>
    <w:basedOn w:val="NormalJustified"/>
    <w:qFormat/>
    <w:rsid w:val="002B5B43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2B5B43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2B5B43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2B5B43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2B5B43"/>
    <w:pPr>
      <w:numPr>
        <w:ilvl w:val="2"/>
        <w:numId w:val="10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2B5B43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E45801"/>
    <w:pPr>
      <w:keepNext/>
      <w:keepLines/>
      <w:spacing w:after="240"/>
      <w:ind w:firstLine="0"/>
      <w:jc w:val="center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2B5B43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2B5B43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2B5B43"/>
    <w:pPr>
      <w:numPr>
        <w:numId w:val="4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2B5B43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qFormat/>
    <w:rsid w:val="002B5B4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rsid w:val="002B5B43"/>
    <w:rPr>
      <w:rFonts w:asciiTheme="majorHAnsi" w:eastAsiaTheme="majorEastAsia" w:hAnsiTheme="majorHAnsi" w:cstheme="majorBidi"/>
      <w:spacing w:val="5"/>
      <w:sz w:val="52"/>
      <w:szCs w:val="52"/>
      <w:lang w:val="en-GB" w:bidi="en-US"/>
    </w:rPr>
  </w:style>
  <w:style w:type="numbering" w:customStyle="1" w:styleId="ECHRA1StyleList">
    <w:name w:val="ECHR_A1_Style_List"/>
    <w:basedOn w:val="NoList"/>
    <w:uiPriority w:val="99"/>
    <w:rsid w:val="002B5B43"/>
    <w:pPr>
      <w:numPr>
        <w:numId w:val="5"/>
      </w:numPr>
    </w:pPr>
  </w:style>
  <w:style w:type="numbering" w:customStyle="1" w:styleId="ECHRA1StyleNumberedList">
    <w:name w:val="ECHR_A1_Style_Numbered_List"/>
    <w:basedOn w:val="NoList"/>
    <w:rsid w:val="002B5B43"/>
    <w:pPr>
      <w:numPr>
        <w:numId w:val="6"/>
      </w:numPr>
    </w:pPr>
  </w:style>
  <w:style w:type="table" w:customStyle="1" w:styleId="ECHRTable2019">
    <w:name w:val="ECHR_Table_2019"/>
    <w:basedOn w:val="TableNormal"/>
    <w:uiPriority w:val="99"/>
    <w:rsid w:val="002B5B43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2B5B43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2B5B43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2B5B43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2B5B43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2B5B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2B5B43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8"/>
    <w:rsid w:val="002B5B43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2B5B43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2B5B43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2B5B43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2B5B43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2B5B43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2B5B43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ECHR_Para_Spaced,_Para_Spaced"/>
    <w:basedOn w:val="NormalJustified"/>
    <w:uiPriority w:val="5"/>
    <w:qFormat/>
    <w:rsid w:val="002B5B43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2B5B43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2B5B43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paragraph" w:customStyle="1" w:styleId="JuInitialled">
    <w:name w:val="Ju_Initialled"/>
    <w:aliases w:val="_Right"/>
    <w:basedOn w:val="Normal"/>
    <w:uiPriority w:val="30"/>
    <w:qFormat/>
    <w:rsid w:val="002B5B43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2B5B43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2B5B43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2B5B43"/>
    <w:rPr>
      <w:caps w:val="0"/>
      <w:smallCaps/>
    </w:rPr>
  </w:style>
  <w:style w:type="character" w:styleId="SubtleEmphasis">
    <w:name w:val="Subtle Emphasis"/>
    <w:uiPriority w:val="98"/>
    <w:qFormat/>
    <w:rsid w:val="002B5B43"/>
    <w:rPr>
      <w:i/>
      <w:iCs/>
    </w:rPr>
  </w:style>
  <w:style w:type="table" w:customStyle="1" w:styleId="ECHRTable">
    <w:name w:val="ECHR_Table"/>
    <w:basedOn w:val="TableNormal"/>
    <w:rsid w:val="002B5B43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2B5B43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qFormat/>
    <w:rsid w:val="002B5B4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2B5B43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2B5B43"/>
    <w:rPr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8"/>
    <w:semiHidden/>
    <w:rsid w:val="002B5B43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2B5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2B5B43"/>
    <w:rPr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2B5B4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2B5B43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2B5B43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2B5B43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rsid w:val="002B5B43"/>
    <w:rPr>
      <w:color w:val="0072BC" w:themeColor="hyperlink"/>
      <w:u w:val="single"/>
    </w:rPr>
  </w:style>
  <w:style w:type="character" w:styleId="IntenseEmphasis">
    <w:name w:val="Intense Emphasis"/>
    <w:uiPriority w:val="98"/>
    <w:qFormat/>
    <w:rsid w:val="002B5B43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qFormat/>
    <w:rsid w:val="002B5B4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rsid w:val="002B5B43"/>
    <w:rPr>
      <w:b/>
      <w:bCs/>
      <w:i/>
      <w:iCs/>
      <w:sz w:val="24"/>
      <w:szCs w:val="24"/>
      <w:lang w:val="en-GB" w:bidi="en-US"/>
    </w:rPr>
  </w:style>
  <w:style w:type="character" w:styleId="IntenseReference">
    <w:name w:val="Intense Reference"/>
    <w:uiPriority w:val="98"/>
    <w:qFormat/>
    <w:rsid w:val="002B5B43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qFormat/>
    <w:rsid w:val="002B5B43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2B5B43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qFormat/>
    <w:rsid w:val="002B5B43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rsid w:val="002B5B43"/>
    <w:rPr>
      <w:i/>
      <w:iCs/>
      <w:sz w:val="24"/>
      <w:szCs w:val="24"/>
      <w:lang w:val="en-GB" w:bidi="en-US"/>
    </w:rPr>
  </w:style>
  <w:style w:type="character" w:styleId="SubtleReference">
    <w:name w:val="Subtle Reference"/>
    <w:uiPriority w:val="98"/>
    <w:qFormat/>
    <w:rsid w:val="002B5B43"/>
    <w:rPr>
      <w:smallCaps/>
    </w:rPr>
  </w:style>
  <w:style w:type="table" w:styleId="TableGrid">
    <w:name w:val="Table Grid"/>
    <w:basedOn w:val="TableNormal"/>
    <w:uiPriority w:val="59"/>
    <w:rsid w:val="002B5B43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314B21"/>
    <w:pPr>
      <w:keepNext/>
      <w:tabs>
        <w:tab w:val="right" w:leader="dot" w:pos="7371"/>
      </w:tabs>
      <w:spacing w:before="160" w:after="60" w:line="240" w:lineRule="exact"/>
      <w:ind w:left="340" w:hanging="340"/>
    </w:pPr>
    <w:rPr>
      <w:b/>
      <w:sz w:val="20"/>
    </w:rPr>
  </w:style>
  <w:style w:type="paragraph" w:styleId="TOC2">
    <w:name w:val="toc 2"/>
    <w:basedOn w:val="Normal"/>
    <w:next w:val="Normal"/>
    <w:uiPriority w:val="39"/>
    <w:rsid w:val="00314B21"/>
    <w:pPr>
      <w:keepNext/>
      <w:tabs>
        <w:tab w:val="right" w:leader="dot" w:pos="7371"/>
      </w:tabs>
      <w:spacing w:after="60" w:line="240" w:lineRule="exact"/>
      <w:ind w:left="680" w:hanging="340"/>
    </w:pPr>
    <w:rPr>
      <w:sz w:val="20"/>
    </w:rPr>
  </w:style>
  <w:style w:type="paragraph" w:styleId="TOC3">
    <w:name w:val="toc 3"/>
    <w:basedOn w:val="Normal"/>
    <w:next w:val="Normal"/>
    <w:uiPriority w:val="39"/>
    <w:rsid w:val="00314B21"/>
    <w:pPr>
      <w:keepNext/>
      <w:tabs>
        <w:tab w:val="right" w:leader="dot" w:pos="7371"/>
      </w:tabs>
      <w:spacing w:after="60" w:line="240" w:lineRule="exact"/>
      <w:ind w:left="1020" w:hanging="340"/>
    </w:pPr>
    <w:rPr>
      <w:sz w:val="20"/>
    </w:rPr>
  </w:style>
  <w:style w:type="paragraph" w:styleId="TOC4">
    <w:name w:val="toc 4"/>
    <w:basedOn w:val="Normal"/>
    <w:next w:val="Normal"/>
    <w:uiPriority w:val="39"/>
    <w:rsid w:val="00314B21"/>
    <w:pPr>
      <w:keepNext/>
      <w:tabs>
        <w:tab w:val="right" w:leader="dot" w:pos="7371"/>
      </w:tabs>
      <w:spacing w:after="60" w:line="240" w:lineRule="exact"/>
      <w:ind w:left="1361" w:hanging="340"/>
    </w:pPr>
    <w:rPr>
      <w:sz w:val="20"/>
    </w:rPr>
  </w:style>
  <w:style w:type="paragraph" w:styleId="TOC5">
    <w:name w:val="toc 5"/>
    <w:basedOn w:val="Normal"/>
    <w:next w:val="Normal"/>
    <w:uiPriority w:val="39"/>
    <w:rsid w:val="00314B21"/>
    <w:pPr>
      <w:tabs>
        <w:tab w:val="right" w:leader="dot" w:pos="7371"/>
      </w:tabs>
      <w:spacing w:after="60" w:line="240" w:lineRule="exact"/>
      <w:ind w:left="1701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314B21"/>
    <w:pPr>
      <w:keepNext/>
      <w:keepLines/>
      <w:spacing w:after="240"/>
      <w:contextualSpacing/>
      <w:jc w:val="center"/>
    </w:pPr>
    <w:rPr>
      <w:rFonts w:asciiTheme="majorHAnsi" w:hAnsiTheme="majorHAnsi"/>
      <w:b/>
      <w:color w:val="474747" w:themeColor="accent3" w:themeShade="BF"/>
      <w:sz w:val="20"/>
    </w:rPr>
  </w:style>
  <w:style w:type="table" w:customStyle="1" w:styleId="UGTable">
    <w:name w:val="UG_Table"/>
    <w:aliases w:val="ECHR_UG_Table"/>
    <w:basedOn w:val="TableNormal"/>
    <w:uiPriority w:val="99"/>
    <w:rsid w:val="002B5B43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2B5B43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2B5B43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2B5B43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2B5B43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2B5B43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2B5B43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qFormat/>
    <w:rsid w:val="002B5B43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rsid w:val="002B5B43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en-US"/>
    </w:rPr>
  </w:style>
  <w:style w:type="numbering" w:styleId="111111">
    <w:name w:val="Outline List 2"/>
    <w:basedOn w:val="NoList"/>
    <w:uiPriority w:val="99"/>
    <w:semiHidden/>
    <w:unhideWhenUsed/>
    <w:rsid w:val="002B5B43"/>
    <w:pPr>
      <w:numPr>
        <w:numId w:val="1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2B5B43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2B5B43"/>
    <w:pPr>
      <w:numPr>
        <w:numId w:val="2"/>
      </w:numPr>
    </w:pPr>
  </w:style>
  <w:style w:type="table" w:customStyle="1" w:styleId="ECHRTableSimpleBox">
    <w:name w:val="ECHR_Table_Simple_Box"/>
    <w:basedOn w:val="TableNormal"/>
    <w:uiPriority w:val="99"/>
    <w:rsid w:val="002B5B43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2B5B43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2B5B43"/>
    <w:pPr>
      <w:numPr>
        <w:numId w:val="3"/>
      </w:numPr>
    </w:pPr>
  </w:style>
  <w:style w:type="table" w:customStyle="1" w:styleId="ECHRTableForInternalUse">
    <w:name w:val="ECHR_Table_For_Internal_Use"/>
    <w:basedOn w:val="TableNormal"/>
    <w:uiPriority w:val="99"/>
    <w:rsid w:val="002B5B43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2B5B43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2B5B43"/>
  </w:style>
  <w:style w:type="paragraph" w:styleId="BlockText">
    <w:name w:val="Block Text"/>
    <w:basedOn w:val="Normal"/>
    <w:uiPriority w:val="98"/>
    <w:semiHidden/>
    <w:rsid w:val="002B5B43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2B5B43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2B5B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2B5B43"/>
    <w:rPr>
      <w:sz w:val="24"/>
      <w:szCs w:val="24"/>
      <w:lang w:val="en-GB"/>
    </w:rPr>
  </w:style>
  <w:style w:type="table" w:customStyle="1" w:styleId="ECHRTableOddBanded">
    <w:name w:val="ECHR_Table_Odd_Banded"/>
    <w:basedOn w:val="TableNormal"/>
    <w:uiPriority w:val="99"/>
    <w:rsid w:val="002B5B4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2B5B43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2B5B43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2B5B43"/>
    <w:pPr>
      <w:ind w:firstLine="284"/>
    </w:pPr>
    <w:rPr>
      <w:b/>
    </w:rPr>
  </w:style>
  <w:style w:type="character" w:styleId="PageNumber">
    <w:name w:val="page number"/>
    <w:uiPriority w:val="98"/>
    <w:semiHidden/>
    <w:rsid w:val="002B5B43"/>
    <w:rPr>
      <w:sz w:val="18"/>
    </w:rPr>
  </w:style>
  <w:style w:type="paragraph" w:styleId="ListBullet">
    <w:name w:val="List Bullet"/>
    <w:basedOn w:val="Normal"/>
    <w:uiPriority w:val="98"/>
    <w:semiHidden/>
    <w:rsid w:val="002B5B43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2B5B43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2B5B43"/>
    <w:rPr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8"/>
    <w:semiHidden/>
    <w:rsid w:val="002B5B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2B5B43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2B5B4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2B5B43"/>
    <w:rPr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8"/>
    <w:semiHidden/>
    <w:rsid w:val="002B5B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2B5B43"/>
    <w:rPr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2B5B4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2B5B43"/>
    <w:rPr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8"/>
    <w:semiHidden/>
    <w:rsid w:val="002B5B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2B5B43"/>
    <w:rPr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8"/>
    <w:semiHidden/>
    <w:rsid w:val="002B5B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2B5B43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98"/>
    <w:semiHidden/>
    <w:qFormat/>
    <w:rsid w:val="002B5B43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2B5B4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2B5B43"/>
    <w:rPr>
      <w:sz w:val="24"/>
      <w:szCs w:val="24"/>
      <w:lang w:val="en-GB"/>
    </w:rPr>
  </w:style>
  <w:style w:type="table" w:styleId="ColorfulGrid">
    <w:name w:val="Colorful Grid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2B5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2B5B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2B5B4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2B5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2B5B43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2B5B43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2B5B43"/>
  </w:style>
  <w:style w:type="character" w:customStyle="1" w:styleId="DateChar">
    <w:name w:val="Date Char"/>
    <w:basedOn w:val="DefaultParagraphFont"/>
    <w:link w:val="Date"/>
    <w:uiPriority w:val="98"/>
    <w:semiHidden/>
    <w:rsid w:val="002B5B43"/>
    <w:rPr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8"/>
    <w:semiHidden/>
    <w:rsid w:val="002B5B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2B5B4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8"/>
    <w:semiHidden/>
    <w:rsid w:val="002B5B43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2B5B43"/>
    <w:rPr>
      <w:sz w:val="24"/>
      <w:szCs w:val="24"/>
      <w:lang w:val="en-GB"/>
    </w:rPr>
  </w:style>
  <w:style w:type="character" w:styleId="EndnoteReference">
    <w:name w:val="endnote reference"/>
    <w:basedOn w:val="DefaultParagraphFont"/>
    <w:uiPriority w:val="98"/>
    <w:semiHidden/>
    <w:rsid w:val="002B5B43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2B5B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2B5B43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8"/>
    <w:semiHidden/>
    <w:rsid w:val="002B5B43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2B5B4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2B5B43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2B5B43"/>
  </w:style>
  <w:style w:type="paragraph" w:styleId="HTMLAddress">
    <w:name w:val="HTML Address"/>
    <w:basedOn w:val="Normal"/>
    <w:link w:val="HTMLAddressChar"/>
    <w:uiPriority w:val="98"/>
    <w:semiHidden/>
    <w:rsid w:val="002B5B4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2B5B43"/>
    <w:rPr>
      <w:i/>
      <w:iCs/>
      <w:sz w:val="24"/>
      <w:szCs w:val="24"/>
      <w:lang w:val="en-GB"/>
    </w:rPr>
  </w:style>
  <w:style w:type="character" w:styleId="HTMLCite">
    <w:name w:val="HTML Cite"/>
    <w:basedOn w:val="DefaultParagraphFont"/>
    <w:uiPriority w:val="98"/>
    <w:semiHidden/>
    <w:rsid w:val="002B5B43"/>
    <w:rPr>
      <w:i/>
      <w:iCs/>
    </w:rPr>
  </w:style>
  <w:style w:type="character" w:styleId="HTMLCode">
    <w:name w:val="HTML Code"/>
    <w:basedOn w:val="DefaultParagraphFont"/>
    <w:uiPriority w:val="98"/>
    <w:semiHidden/>
    <w:rsid w:val="002B5B4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2B5B43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2B5B4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2B5B4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2B5B43"/>
    <w:rPr>
      <w:rFonts w:ascii="Consolas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8"/>
    <w:semiHidden/>
    <w:rsid w:val="002B5B4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2B5B4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2B5B43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2B5B43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2B5B43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2B5B43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2B5B43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2B5B43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2B5B43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2B5B43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2B5B43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2B5B43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2B5B4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2B5B43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2B5B43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2B5B43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2B5B43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2B5B43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2B5B43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2B5B43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2B5B43"/>
  </w:style>
  <w:style w:type="paragraph" w:styleId="List">
    <w:name w:val="List"/>
    <w:basedOn w:val="Normal"/>
    <w:uiPriority w:val="98"/>
    <w:semiHidden/>
    <w:rsid w:val="002B5B43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2B5B43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2B5B43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2B5B43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2B5B43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2B5B4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2B5B4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2B5B4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2B5B4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2B5B4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2B5B4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2B5B4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2B5B4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2B5B4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2B5B4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2B5B4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2B5B4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2B5B43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2B5B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2B5B43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2B5B43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2B5B43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2B5B43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2B5B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2B5B4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8"/>
    <w:semiHidden/>
    <w:rsid w:val="002B5B4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2B5B4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2B5B43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2B5B43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8"/>
    <w:rsid w:val="002B5B43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2B5B4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2B5B43"/>
    <w:rPr>
      <w:rFonts w:ascii="Consolas" w:hAnsi="Consolas" w:cs="Consolas"/>
      <w:sz w:val="21"/>
      <w:szCs w:val="21"/>
      <w:lang w:val="en-GB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2B5B43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2B5B43"/>
    <w:rPr>
      <w:sz w:val="24"/>
      <w:szCs w:val="24"/>
      <w:lang w:val="en-GB"/>
    </w:rPr>
  </w:style>
  <w:style w:type="paragraph" w:styleId="Signature">
    <w:name w:val="Signature"/>
    <w:basedOn w:val="Normal"/>
    <w:link w:val="SignatureChar"/>
    <w:uiPriority w:val="98"/>
    <w:semiHidden/>
    <w:rsid w:val="002B5B4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2B5B43"/>
    <w:rPr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B5B43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B5B43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B5B43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2B5B43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2B5B43"/>
  </w:style>
  <w:style w:type="table" w:styleId="TableProfessional">
    <w:name w:val="Table Professional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B5B43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uiPriority w:val="39"/>
    <w:rsid w:val="00314B21"/>
    <w:pPr>
      <w:tabs>
        <w:tab w:val="right" w:leader="dot" w:pos="7371"/>
      </w:tabs>
      <w:spacing w:after="60" w:line="240" w:lineRule="exact"/>
      <w:ind w:left="2041" w:hanging="340"/>
    </w:pPr>
    <w:rPr>
      <w:sz w:val="20"/>
    </w:rPr>
  </w:style>
  <w:style w:type="paragraph" w:styleId="TOC7">
    <w:name w:val="toc 7"/>
    <w:basedOn w:val="Normal"/>
    <w:next w:val="Normal"/>
    <w:uiPriority w:val="39"/>
    <w:rsid w:val="00E45801"/>
    <w:pPr>
      <w:tabs>
        <w:tab w:val="right" w:leader="dot" w:pos="7371"/>
      </w:tabs>
      <w:spacing w:after="60" w:line="240" w:lineRule="exact"/>
      <w:ind w:left="2381" w:hanging="34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E45801"/>
    <w:pPr>
      <w:tabs>
        <w:tab w:val="left" w:pos="2721"/>
        <w:tab w:val="right" w:leader="dot" w:pos="7371"/>
      </w:tabs>
      <w:spacing w:after="100"/>
      <w:ind w:left="2721" w:hanging="340"/>
    </w:pPr>
    <w:rPr>
      <w:rFonts w:ascii="Times New Roman" w:hAnsi="Times New Roman" w:cs="Times New Roman"/>
      <w:noProof/>
      <w:sz w:val="18"/>
      <w:lang w:bidi="en-US"/>
    </w:rPr>
  </w:style>
  <w:style w:type="paragraph" w:styleId="TOC9">
    <w:name w:val="toc 9"/>
    <w:basedOn w:val="Normal"/>
    <w:next w:val="Normal"/>
    <w:autoRedefine/>
    <w:uiPriority w:val="39"/>
    <w:rsid w:val="002B5B43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2B5B43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2B5B43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2B5B43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rsid w:val="002B5B43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2B5B43"/>
    <w:pPr>
      <w:numPr>
        <w:numId w:val="7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2B5B43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2B5B43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2B5B43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2B5B43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2B5B43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2B5B43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2B5B43"/>
    <w:rPr>
      <w:rFonts w:ascii="Arial" w:hAnsi="Arial"/>
      <w:i/>
      <w:color w:val="002856"/>
      <w:sz w:val="32"/>
      <w:szCs w:val="24"/>
      <w:lang w:val="en-GB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2B5B43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2B5B43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2B5B43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2B5B43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2B5B43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2B5B43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2B5B43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2B5B43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2B5B43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2B5B43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2B5B43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2B5B43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2B5B43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2B5B43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2B5B43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2B5B43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2B5B43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2B5B43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2B5B43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2B5B43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2B5B43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2B5B43"/>
    <w:rPr>
      <w:sz w:val="4"/>
    </w:rPr>
  </w:style>
  <w:style w:type="table" w:customStyle="1" w:styleId="ECHRTableGrey">
    <w:name w:val="ECHR_Table_Grey"/>
    <w:basedOn w:val="TableNormal"/>
    <w:uiPriority w:val="99"/>
    <w:rsid w:val="002B5B43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2B5B43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304BC9"/>
    <w:rPr>
      <w:sz w:val="24"/>
      <w:szCs w:val="24"/>
      <w:lang w:val="en-GB"/>
    </w:rPr>
  </w:style>
  <w:style w:type="table" w:styleId="GridTable1Light">
    <w:name w:val="Grid Table 1 Light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JuList4">
    <w:name w:val="Ju_List_4"/>
    <w:aliases w:val="N_Bul_4"/>
    <w:basedOn w:val="JuListi"/>
    <w:uiPriority w:val="19"/>
    <w:rsid w:val="00304BC9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sz w:val="22"/>
      <w:lang w:val="fr-FR" w:eastAsia="fr-FR"/>
    </w:rPr>
  </w:style>
  <w:style w:type="table" w:styleId="GridTable1Light-Accent1">
    <w:name w:val="Grid Table 1 Light Accent 1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04BC9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04BC9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04BC9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04B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04BC9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04BC9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04BC9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04BC9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04BC9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04BC9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04B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04BC9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04BC9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04BC9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04BC9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04BC9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04BC9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10">
    <w:name w:val="Хаштаг1"/>
    <w:basedOn w:val="DefaultParagraphFont"/>
    <w:uiPriority w:val="99"/>
    <w:semiHidden/>
    <w:unhideWhenUsed/>
    <w:rsid w:val="00304BC9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04B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04BC9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04BC9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04BC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04BC9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04BC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04BC9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04BC9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04BC9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04BC9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04BC9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04BC9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04BC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04BC9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04BC9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04BC9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04BC9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04BC9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04BC9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1">
    <w:name w:val="Споменаване1"/>
    <w:basedOn w:val="DefaultParagraphFont"/>
    <w:uiPriority w:val="99"/>
    <w:semiHidden/>
    <w:unhideWhenUsed/>
    <w:rsid w:val="00304BC9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304BC9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4B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4B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04B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rsid w:val="00304B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12">
    <w:name w:val="Интелигентна хипервръзка1"/>
    <w:basedOn w:val="DefaultParagraphFont"/>
    <w:uiPriority w:val="99"/>
    <w:semiHidden/>
    <w:unhideWhenUsed/>
    <w:rsid w:val="00304BC9"/>
    <w:rPr>
      <w:u w:val="dotted"/>
    </w:rPr>
  </w:style>
  <w:style w:type="character" w:customStyle="1" w:styleId="13">
    <w:name w:val="Интелигентна връзка1"/>
    <w:basedOn w:val="DefaultParagraphFont"/>
    <w:uiPriority w:val="99"/>
    <w:semiHidden/>
    <w:unhideWhenUsed/>
    <w:rsid w:val="00304BC9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304BC9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paragraph" w:styleId="Revision">
    <w:name w:val="Revision"/>
    <w:hidden/>
    <w:uiPriority w:val="99"/>
    <w:semiHidden/>
    <w:rsid w:val="00304BC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00DE-F13D-4B66-B272-C4E72C32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22717</Words>
  <Characters>129492</Characters>
  <Application>Microsoft Office Word</Application>
  <DocSecurity>0</DocSecurity>
  <Lines>1079</Lines>
  <Paragraphs>303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Company/>
  <LinksUpToDate>false</LinksUpToDate>
  <CharactersWithSpaces>151906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keywords>, docId:3ED6EFC10F7F7321722BBF1F747DA594</cp:keywords>
  <cp:lastModifiedBy/>
  <cp:revision>1</cp:revision>
  <dcterms:created xsi:type="dcterms:W3CDTF">2026-06-15T05:49:00Z</dcterms:created>
  <dcterms:modified xsi:type="dcterms:W3CDTF">2026-06-18T12:17:00Z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1697898</vt:lpwstr>
  </property>
  <property fmtid="{D5CDD505-2E9C-101B-9397-08002B2CF9AE}" pid="3" name="cstLanguage">
    <vt:i4>2057</vt:i4>
  </property>
  <property fmtid="{D5CDD505-2E9C-101B-9397-08002B2CF9AE}" pid="4" name="eDOCS AutoSave">
    <vt:lpwstr/>
  </property>
  <property fmtid="{D5CDD505-2E9C-101B-9397-08002B2CF9AE}" pid="5" name="RegisteredNo">
    <vt:lpwstr>6580/22</vt:lpwstr>
  </property>
  <property fmtid="{D5CDD505-2E9C-101B-9397-08002B2CF9AE}" pid="6" name="_MarkAsFinal">
    <vt:bool>true</vt:bool>
  </property>
</Properties>
</file>