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9157F" w14:textId="4FC7BF17" w:rsidR="00242027" w:rsidRPr="00441A20" w:rsidRDefault="00441A20" w:rsidP="00441A20">
      <w:pPr>
        <w:shd w:val="clear" w:color="auto" w:fill="FFFFFF"/>
        <w:spacing w:after="150"/>
        <w:rPr>
          <w:bCs/>
          <w:i/>
          <w:iCs/>
          <w:lang w:val="bg-BG"/>
        </w:rPr>
      </w:pPr>
      <w:r w:rsidRPr="00441A20">
        <w:rPr>
          <w:bCs/>
          <w:i/>
          <w:iCs/>
          <w:lang w:val="bg-BG"/>
        </w:rPr>
        <w:t>Превод от френски език</w:t>
      </w:r>
    </w:p>
    <w:p w14:paraId="77272D07" w14:textId="30A62F12" w:rsidR="00441A20" w:rsidRPr="006A5AC8" w:rsidRDefault="00441A20" w:rsidP="00242027">
      <w:pPr>
        <w:shd w:val="clear" w:color="auto" w:fill="FFFFFF"/>
        <w:spacing w:after="150"/>
        <w:jc w:val="center"/>
        <w:rPr>
          <w:b/>
          <w:lang w:val="bg-BG"/>
        </w:rPr>
      </w:pPr>
      <w:r>
        <w:rPr>
          <w:noProof/>
          <w:lang w:val="en-US"/>
        </w:rPr>
        <w:drawing>
          <wp:inline distT="0" distB="0" distL="0" distR="0" wp14:anchorId="726885C0" wp14:editId="2EE00A24">
            <wp:extent cx="2962275" cy="1219200"/>
            <wp:effectExtent l="0" t="0" r="9525" b="0"/>
            <wp:docPr id="1" name="Picture 1" descr="R:\1_Graphics&amp;Web\Court_Graphic_Charter\2013\ECHR_Stationery\Documents_and_Letters\Cover_Pages_And_Docs\White_600_dpi\ECHR_CoverpageCS61_ECHR_Coverpage_Header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1_Graphics&amp;Web\Court_Graphic_Charter\2013\ECHR_Stationery\Documents_and_Letters\Cover_Pages_And_Docs\White_600_dpi\ECHR_CoverpageCS61_ECHR_Coverpage_Header_Blac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2275" cy="1219200"/>
                    </a:xfrm>
                    <a:prstGeom prst="rect">
                      <a:avLst/>
                    </a:prstGeom>
                    <a:noFill/>
                    <a:ln>
                      <a:noFill/>
                    </a:ln>
                  </pic:spPr>
                </pic:pic>
              </a:graphicData>
            </a:graphic>
          </wp:inline>
        </w:drawing>
      </w:r>
    </w:p>
    <w:p w14:paraId="0E0A5918" w14:textId="77777777" w:rsidR="00242027" w:rsidRPr="006A5AC8" w:rsidRDefault="00242027" w:rsidP="00242027">
      <w:pPr>
        <w:shd w:val="clear" w:color="auto" w:fill="FFFFFF"/>
        <w:spacing w:after="150"/>
        <w:jc w:val="center"/>
        <w:rPr>
          <w:b/>
          <w:lang w:val="bg-BG"/>
        </w:rPr>
      </w:pPr>
      <w:r w:rsidRPr="006A5AC8">
        <w:rPr>
          <w:b/>
          <w:lang w:val="bg-BG"/>
        </w:rPr>
        <w:t>ЕВРОПЕЙСКИ СЪД ПО ПРАВАТА НА ЧОВЕКА</w:t>
      </w:r>
    </w:p>
    <w:p w14:paraId="3E08AAC9" w14:textId="77777777" w:rsidR="00242027" w:rsidRPr="006A5AC8" w:rsidRDefault="00242027" w:rsidP="00242027">
      <w:pPr>
        <w:shd w:val="clear" w:color="auto" w:fill="FFFFFF"/>
        <w:spacing w:after="150"/>
        <w:jc w:val="center"/>
        <w:rPr>
          <w:rFonts w:ascii="Helvetica" w:eastAsia="Times New Roman" w:hAnsi="Helvetica" w:cs="Times New Roman"/>
          <w:color w:val="555555"/>
          <w:sz w:val="21"/>
          <w:szCs w:val="21"/>
          <w:lang w:val="bg-BG"/>
        </w:rPr>
      </w:pPr>
      <w:r w:rsidRPr="006A5AC8">
        <w:rPr>
          <w:rFonts w:ascii="Helvetica" w:eastAsia="Times New Roman" w:hAnsi="Helvetica" w:cs="Times New Roman"/>
          <w:b/>
          <w:bCs/>
          <w:color w:val="555555"/>
          <w:sz w:val="21"/>
          <w:szCs w:val="21"/>
          <w:lang w:val="bg-BG"/>
        </w:rPr>
        <w:t> </w:t>
      </w:r>
    </w:p>
    <w:p w14:paraId="6D8CBC48" w14:textId="77777777" w:rsidR="00242027" w:rsidRPr="006A5AC8" w:rsidRDefault="00242027" w:rsidP="00242027">
      <w:pPr>
        <w:tabs>
          <w:tab w:val="left" w:pos="5529"/>
        </w:tabs>
        <w:jc w:val="center"/>
        <w:rPr>
          <w:lang w:val="bg-BG"/>
        </w:rPr>
      </w:pPr>
      <w:r w:rsidRPr="006A5AC8">
        <w:rPr>
          <w:lang w:val="bg-BG"/>
        </w:rPr>
        <w:t>ПЕТИ СЪСТАВ</w:t>
      </w:r>
    </w:p>
    <w:p w14:paraId="4B1FF923" w14:textId="77777777" w:rsidR="0055090B" w:rsidRPr="006A5AC8" w:rsidRDefault="0055090B" w:rsidP="00EE31D5">
      <w:pPr>
        <w:tabs>
          <w:tab w:val="left" w:pos="5529"/>
        </w:tabs>
        <w:jc w:val="center"/>
        <w:rPr>
          <w:lang w:val="bg-BG"/>
        </w:rPr>
      </w:pPr>
    </w:p>
    <w:p w14:paraId="24A58B9C" w14:textId="77777777" w:rsidR="0055090B" w:rsidRPr="006A5AC8" w:rsidRDefault="0055090B" w:rsidP="00EE31D5">
      <w:pPr>
        <w:jc w:val="center"/>
        <w:rPr>
          <w:lang w:val="bg-BG"/>
        </w:rPr>
      </w:pPr>
    </w:p>
    <w:p w14:paraId="051DC636" w14:textId="77777777" w:rsidR="0055090B" w:rsidRPr="006A5AC8" w:rsidRDefault="0055090B" w:rsidP="00EE31D5">
      <w:pPr>
        <w:jc w:val="center"/>
        <w:rPr>
          <w:lang w:val="bg-BG"/>
        </w:rPr>
      </w:pPr>
    </w:p>
    <w:p w14:paraId="6249CA2D" w14:textId="77777777" w:rsidR="00C205D6" w:rsidRPr="006A5AC8" w:rsidRDefault="00C205D6" w:rsidP="00EE31D5">
      <w:pPr>
        <w:jc w:val="center"/>
        <w:rPr>
          <w:lang w:val="bg-BG"/>
        </w:rPr>
      </w:pPr>
    </w:p>
    <w:p w14:paraId="43DE01E8" w14:textId="77777777" w:rsidR="00C205D6" w:rsidRPr="006A5AC8" w:rsidRDefault="00C205D6" w:rsidP="00EE31D5">
      <w:pPr>
        <w:jc w:val="center"/>
        <w:rPr>
          <w:lang w:val="bg-BG"/>
        </w:rPr>
      </w:pPr>
    </w:p>
    <w:p w14:paraId="36FBE7CA" w14:textId="77777777" w:rsidR="0055090B" w:rsidRPr="006A5AC8" w:rsidRDefault="00242027" w:rsidP="00EE31D5">
      <w:pPr>
        <w:jc w:val="center"/>
        <w:outlineLvl w:val="0"/>
        <w:rPr>
          <w:b/>
          <w:lang w:val="bg-BG"/>
        </w:rPr>
      </w:pPr>
      <w:r w:rsidRPr="006A5AC8">
        <w:rPr>
          <w:b/>
          <w:lang w:val="bg-BG"/>
        </w:rPr>
        <w:t xml:space="preserve">ДЕЛО МУСТАФА срещу </w:t>
      </w:r>
      <w:r w:rsidR="007753D5" w:rsidRPr="006A5AC8">
        <w:rPr>
          <w:b/>
          <w:lang w:val="bg-BG"/>
        </w:rPr>
        <w:t>БЪЛГАРИЯ</w:t>
      </w:r>
    </w:p>
    <w:p w14:paraId="78F8074C" w14:textId="77777777" w:rsidR="0055090B" w:rsidRPr="006A5AC8" w:rsidRDefault="0055090B" w:rsidP="00EE31D5">
      <w:pPr>
        <w:jc w:val="center"/>
        <w:rPr>
          <w:lang w:val="bg-BG"/>
        </w:rPr>
      </w:pPr>
    </w:p>
    <w:p w14:paraId="5E3CE36C" w14:textId="77777777" w:rsidR="0055090B" w:rsidRPr="006A5AC8" w:rsidRDefault="0055090B" w:rsidP="00EE31D5">
      <w:pPr>
        <w:jc w:val="center"/>
        <w:rPr>
          <w:i/>
          <w:lang w:val="bg-BG"/>
        </w:rPr>
      </w:pPr>
      <w:r w:rsidRPr="006A5AC8">
        <w:rPr>
          <w:i/>
          <w:lang w:val="bg-BG"/>
        </w:rPr>
        <w:t>(</w:t>
      </w:r>
      <w:r w:rsidR="00242027" w:rsidRPr="006A5AC8">
        <w:rPr>
          <w:i/>
          <w:lang w:val="bg-BG"/>
        </w:rPr>
        <w:t>Жалба №</w:t>
      </w:r>
      <w:r w:rsidRPr="006A5AC8">
        <w:rPr>
          <w:i/>
          <w:lang w:val="bg-BG"/>
        </w:rPr>
        <w:t xml:space="preserve"> </w:t>
      </w:r>
      <w:r w:rsidR="005C5787" w:rsidRPr="006A5AC8">
        <w:rPr>
          <w:i/>
          <w:lang w:val="bg-BG"/>
        </w:rPr>
        <w:t>1230/17</w:t>
      </w:r>
      <w:r w:rsidRPr="006A5AC8">
        <w:rPr>
          <w:i/>
          <w:lang w:val="bg-BG"/>
        </w:rPr>
        <w:t>)</w:t>
      </w:r>
    </w:p>
    <w:p w14:paraId="60ED86F7" w14:textId="77777777" w:rsidR="0055090B" w:rsidRPr="006A5AC8" w:rsidRDefault="0055090B" w:rsidP="00EE31D5">
      <w:pPr>
        <w:jc w:val="center"/>
        <w:rPr>
          <w:lang w:val="bg-BG"/>
        </w:rPr>
      </w:pPr>
    </w:p>
    <w:p w14:paraId="69F566A0" w14:textId="77777777" w:rsidR="0055090B" w:rsidRPr="006A5AC8" w:rsidRDefault="0055090B" w:rsidP="00EE31D5">
      <w:pPr>
        <w:jc w:val="center"/>
        <w:rPr>
          <w:lang w:val="bg-BG"/>
        </w:rPr>
      </w:pPr>
    </w:p>
    <w:p w14:paraId="066EE929" w14:textId="77777777" w:rsidR="0055090B" w:rsidRPr="006A5AC8" w:rsidRDefault="0055090B" w:rsidP="00EE31D5">
      <w:pPr>
        <w:jc w:val="center"/>
        <w:rPr>
          <w:lang w:val="bg-BG"/>
        </w:rPr>
      </w:pPr>
    </w:p>
    <w:p w14:paraId="67F385FC" w14:textId="77777777" w:rsidR="0055090B" w:rsidRPr="006A5AC8" w:rsidRDefault="0055090B" w:rsidP="00EE31D5">
      <w:pPr>
        <w:jc w:val="center"/>
        <w:rPr>
          <w:lang w:val="bg-BG"/>
        </w:rPr>
      </w:pPr>
    </w:p>
    <w:p w14:paraId="04680851" w14:textId="77777777" w:rsidR="0055090B" w:rsidRPr="006A5AC8" w:rsidRDefault="0055090B" w:rsidP="00EE31D5">
      <w:pPr>
        <w:jc w:val="center"/>
        <w:rPr>
          <w:lang w:val="bg-BG"/>
        </w:rPr>
      </w:pPr>
    </w:p>
    <w:p w14:paraId="2613B0E4" w14:textId="77777777" w:rsidR="0055090B" w:rsidRPr="006A5AC8" w:rsidRDefault="00D249CC" w:rsidP="00EE31D5">
      <w:pPr>
        <w:jc w:val="center"/>
        <w:outlineLvl w:val="0"/>
        <w:rPr>
          <w:lang w:val="bg-BG"/>
        </w:rPr>
      </w:pPr>
      <w:r w:rsidRPr="006A5AC8">
        <w:rPr>
          <w:lang w:val="bg-BG"/>
        </w:rPr>
        <w:t>РЕШЕНИЕ</w:t>
      </w:r>
    </w:p>
    <w:p w14:paraId="5C75EDC6" w14:textId="77777777" w:rsidR="0055090B" w:rsidRPr="006A5AC8" w:rsidRDefault="0055090B" w:rsidP="00EE31D5">
      <w:pPr>
        <w:jc w:val="center"/>
        <w:rPr>
          <w:i/>
          <w:lang w:val="bg-BG"/>
        </w:rPr>
      </w:pPr>
    </w:p>
    <w:p w14:paraId="332FA1B1" w14:textId="221773BF" w:rsidR="00303E68" w:rsidRPr="006A5AC8" w:rsidRDefault="0097603F" w:rsidP="00EE31D5">
      <w:pPr>
        <w:pBdr>
          <w:top w:val="single" w:sz="4" w:space="1" w:color="auto"/>
          <w:left w:val="single" w:sz="4" w:space="4" w:color="auto"/>
          <w:bottom w:val="single" w:sz="4" w:space="1" w:color="auto"/>
          <w:right w:val="single" w:sz="4" w:space="4" w:color="auto"/>
        </w:pBdr>
        <w:jc w:val="both"/>
        <w:rPr>
          <w:rFonts w:ascii="Calibri" w:eastAsia="Times New Roman" w:hAnsi="Calibri" w:cs="Times New Roman"/>
          <w:color w:val="000000"/>
          <w:sz w:val="22"/>
          <w:lang w:val="bg-BG"/>
        </w:rPr>
      </w:pPr>
      <w:r w:rsidRPr="006A5AC8">
        <w:rPr>
          <w:rFonts w:ascii="Calibri" w:eastAsia="Times New Roman" w:hAnsi="Calibri" w:cs="Times New Roman"/>
          <w:color w:val="000000"/>
          <w:sz w:val="22"/>
          <w:lang w:val="bg-BG"/>
        </w:rPr>
        <w:t>Член</w:t>
      </w:r>
      <w:r w:rsidR="00B7330A">
        <w:rPr>
          <w:rFonts w:ascii="Calibri" w:eastAsia="Times New Roman" w:hAnsi="Calibri" w:cs="Times New Roman"/>
          <w:color w:val="000000"/>
          <w:sz w:val="22"/>
          <w:lang w:val="bg-BG"/>
        </w:rPr>
        <w:t xml:space="preserve"> 6, алинея</w:t>
      </w:r>
      <w:r w:rsidR="00303E68" w:rsidRPr="006A5AC8">
        <w:rPr>
          <w:rFonts w:ascii="Calibri" w:eastAsia="Times New Roman" w:hAnsi="Calibri" w:cs="Times New Roman"/>
          <w:color w:val="000000"/>
          <w:sz w:val="22"/>
          <w:lang w:val="bg-BG"/>
        </w:rPr>
        <w:t xml:space="preserve"> 1 (</w:t>
      </w:r>
      <w:r w:rsidRPr="006A5AC8">
        <w:rPr>
          <w:rFonts w:ascii="Calibri" w:eastAsia="Times New Roman" w:hAnsi="Calibri" w:cs="Times New Roman"/>
          <w:color w:val="000000"/>
          <w:sz w:val="22"/>
          <w:lang w:val="bg-BG"/>
        </w:rPr>
        <w:t>наказателен</w:t>
      </w:r>
      <w:r w:rsidR="00303E68" w:rsidRPr="006A5AC8">
        <w:rPr>
          <w:rFonts w:ascii="Calibri" w:eastAsia="Times New Roman" w:hAnsi="Calibri" w:cs="Times New Roman"/>
          <w:color w:val="000000"/>
          <w:sz w:val="22"/>
          <w:lang w:val="bg-BG"/>
        </w:rPr>
        <w:t xml:space="preserve">) • </w:t>
      </w:r>
      <w:r w:rsidRPr="006A5AC8">
        <w:rPr>
          <w:rFonts w:ascii="Calibri" w:eastAsia="Times New Roman" w:hAnsi="Calibri" w:cs="Times New Roman"/>
          <w:color w:val="000000"/>
          <w:sz w:val="22"/>
          <w:lang w:val="bg-BG"/>
        </w:rPr>
        <w:t>Независим съд</w:t>
      </w:r>
      <w:r w:rsidR="00303E68" w:rsidRPr="006A5AC8">
        <w:rPr>
          <w:rFonts w:ascii="Calibri" w:eastAsia="Times New Roman" w:hAnsi="Calibri" w:cs="Times New Roman"/>
          <w:color w:val="000000"/>
          <w:sz w:val="22"/>
          <w:lang w:val="bg-BG"/>
        </w:rPr>
        <w:t xml:space="preserve"> • </w:t>
      </w:r>
      <w:r w:rsidRPr="006A5AC8">
        <w:rPr>
          <w:rFonts w:ascii="Calibri" w:eastAsia="Times New Roman" w:hAnsi="Calibri" w:cs="Times New Roman"/>
          <w:color w:val="000000"/>
          <w:sz w:val="22"/>
          <w:lang w:val="bg-BG"/>
        </w:rPr>
        <w:t>Безпристрастен съд</w:t>
      </w:r>
      <w:r w:rsidR="00303E68" w:rsidRPr="006A5AC8">
        <w:rPr>
          <w:rFonts w:ascii="Calibri" w:eastAsia="Times New Roman" w:hAnsi="Calibri" w:cs="Times New Roman"/>
          <w:color w:val="000000"/>
          <w:sz w:val="22"/>
          <w:lang w:val="bg-BG"/>
        </w:rPr>
        <w:t xml:space="preserve"> • </w:t>
      </w:r>
      <w:r w:rsidRPr="006A5AC8">
        <w:rPr>
          <w:rFonts w:ascii="Calibri" w:eastAsia="Times New Roman" w:hAnsi="Calibri" w:cs="Times New Roman"/>
          <w:color w:val="000000"/>
          <w:sz w:val="22"/>
          <w:lang w:val="bg-BG"/>
        </w:rPr>
        <w:t>Обосновани съмнения на цивилен гражданин относно независимостта и безпристрастността</w:t>
      </w:r>
      <w:r w:rsidR="005E71F9" w:rsidRPr="006A5AC8">
        <w:rPr>
          <w:rFonts w:ascii="Calibri" w:eastAsia="Times New Roman" w:hAnsi="Calibri" w:cs="Times New Roman"/>
          <w:color w:val="000000"/>
          <w:sz w:val="22"/>
          <w:lang w:val="bg-BG"/>
        </w:rPr>
        <w:t xml:space="preserve"> </w:t>
      </w:r>
      <w:r w:rsidR="00BB54EB">
        <w:rPr>
          <w:rFonts w:ascii="Calibri" w:eastAsia="Times New Roman" w:hAnsi="Calibri" w:cs="Times New Roman"/>
          <w:color w:val="000000"/>
          <w:sz w:val="22"/>
          <w:lang w:val="bg-BG"/>
        </w:rPr>
        <w:t>на военните съдилища, които са разгледали</w:t>
      </w:r>
      <w:r w:rsidR="005E71F9" w:rsidRPr="006A5AC8">
        <w:rPr>
          <w:rFonts w:ascii="Calibri" w:eastAsia="Times New Roman" w:hAnsi="Calibri" w:cs="Times New Roman"/>
          <w:color w:val="000000"/>
          <w:sz w:val="22"/>
          <w:lang w:val="bg-BG"/>
        </w:rPr>
        <w:t xml:space="preserve"> наказателно</w:t>
      </w:r>
      <w:r w:rsidR="00BB54EB">
        <w:rPr>
          <w:rFonts w:ascii="Calibri" w:eastAsia="Times New Roman" w:hAnsi="Calibri" w:cs="Times New Roman"/>
          <w:color w:val="000000"/>
          <w:sz w:val="22"/>
          <w:lang w:val="bg-BG"/>
        </w:rPr>
        <w:t>то</w:t>
      </w:r>
      <w:r w:rsidR="005E71F9" w:rsidRPr="006A5AC8">
        <w:rPr>
          <w:rFonts w:ascii="Calibri" w:eastAsia="Times New Roman" w:hAnsi="Calibri" w:cs="Times New Roman"/>
          <w:color w:val="000000"/>
          <w:sz w:val="22"/>
          <w:lang w:val="bg-BG"/>
        </w:rPr>
        <w:t xml:space="preserve"> дело</w:t>
      </w:r>
      <w:r w:rsidR="00BB54EB">
        <w:rPr>
          <w:rFonts w:ascii="Calibri" w:eastAsia="Times New Roman" w:hAnsi="Calibri" w:cs="Times New Roman"/>
          <w:color w:val="000000"/>
          <w:sz w:val="22"/>
          <w:lang w:val="bg-BG"/>
        </w:rPr>
        <w:t>, по което е бил подсъдим</w:t>
      </w:r>
      <w:r w:rsidR="005E71F9" w:rsidRPr="006A5AC8">
        <w:rPr>
          <w:rFonts w:ascii="Calibri" w:eastAsia="Times New Roman" w:hAnsi="Calibri" w:cs="Times New Roman"/>
          <w:color w:val="000000"/>
          <w:sz w:val="22"/>
          <w:lang w:val="bg-BG"/>
        </w:rPr>
        <w:t>.</w:t>
      </w:r>
    </w:p>
    <w:p w14:paraId="455AD832" w14:textId="77777777" w:rsidR="0055090B" w:rsidRPr="006A5AC8" w:rsidRDefault="0055090B" w:rsidP="00EE31D5">
      <w:pPr>
        <w:jc w:val="center"/>
        <w:rPr>
          <w:lang w:val="bg-BG"/>
        </w:rPr>
      </w:pPr>
    </w:p>
    <w:p w14:paraId="4924C849" w14:textId="77777777" w:rsidR="00044DCE" w:rsidRPr="006A5AC8" w:rsidRDefault="00044DCE" w:rsidP="00EE31D5">
      <w:pPr>
        <w:jc w:val="center"/>
        <w:rPr>
          <w:lang w:val="bg-BG"/>
        </w:rPr>
      </w:pPr>
    </w:p>
    <w:p w14:paraId="2324755C" w14:textId="77777777" w:rsidR="0055090B" w:rsidRPr="006A5AC8" w:rsidRDefault="004D533E" w:rsidP="00EE31D5">
      <w:pPr>
        <w:jc w:val="center"/>
        <w:outlineLvl w:val="0"/>
        <w:rPr>
          <w:lang w:val="bg-BG"/>
        </w:rPr>
      </w:pPr>
      <w:r w:rsidRPr="006A5AC8">
        <w:rPr>
          <w:lang w:val="bg-BG"/>
        </w:rPr>
        <w:t>СТРАСБУРГ</w:t>
      </w:r>
    </w:p>
    <w:p w14:paraId="48B6FFEC" w14:textId="77777777" w:rsidR="00044DCE" w:rsidRPr="006A5AC8" w:rsidRDefault="00044DCE" w:rsidP="00EE31D5">
      <w:pPr>
        <w:jc w:val="center"/>
        <w:rPr>
          <w:lang w:val="bg-BG"/>
        </w:rPr>
      </w:pPr>
    </w:p>
    <w:p w14:paraId="7D6ABC6B" w14:textId="77777777" w:rsidR="00BB54EB" w:rsidRDefault="00D249CC" w:rsidP="00BB54EB">
      <w:pPr>
        <w:jc w:val="center"/>
        <w:rPr>
          <w:szCs w:val="24"/>
          <w:lang w:val="bg-BG"/>
        </w:rPr>
      </w:pPr>
      <w:r w:rsidRPr="006A5AC8">
        <w:rPr>
          <w:szCs w:val="24"/>
          <w:lang w:val="bg-BG"/>
        </w:rPr>
        <w:t>28 ноември</w:t>
      </w:r>
      <w:r w:rsidR="005C5787" w:rsidRPr="006A5AC8">
        <w:rPr>
          <w:szCs w:val="24"/>
          <w:lang w:val="bg-BG"/>
        </w:rPr>
        <w:t xml:space="preserve"> 2019</w:t>
      </w:r>
      <w:r w:rsidRPr="006A5AC8">
        <w:rPr>
          <w:szCs w:val="24"/>
          <w:lang w:val="bg-BG"/>
        </w:rPr>
        <w:t xml:space="preserve"> г.</w:t>
      </w:r>
    </w:p>
    <w:p w14:paraId="4CF61260" w14:textId="77777777" w:rsidR="00BB54EB" w:rsidRDefault="00BB54EB" w:rsidP="00BB54EB">
      <w:pPr>
        <w:jc w:val="center"/>
        <w:rPr>
          <w:lang w:val="bg-BG"/>
        </w:rPr>
      </w:pPr>
    </w:p>
    <w:p w14:paraId="2C56F969" w14:textId="02CB512E" w:rsidR="004D533E" w:rsidRPr="00BB54EB" w:rsidRDefault="004D533E" w:rsidP="00BB54EB">
      <w:pPr>
        <w:jc w:val="center"/>
        <w:rPr>
          <w:lang w:val="bg-BG"/>
        </w:rPr>
      </w:pPr>
      <w:r w:rsidRPr="006A5AC8">
        <w:rPr>
          <w:rFonts w:ascii="Times New Roman" w:eastAsiaTheme="minorHAnsi" w:hAnsi="Times New Roman" w:cs="Times New Roman"/>
          <w:i/>
          <w:color w:val="000000"/>
          <w:sz w:val="22"/>
          <w:szCs w:val="24"/>
          <w:lang w:val="bg-BG"/>
        </w:rPr>
        <w:t>Това решение ще стане окончателно при условията на чл. 44 § 2 от Конвенцията. Може да бъде предмет на редакционни промени</w:t>
      </w:r>
      <w:r w:rsidRPr="006A5AC8">
        <w:rPr>
          <w:i/>
          <w:sz w:val="22"/>
          <w:lang w:val="bg-BG"/>
        </w:rPr>
        <w:t>.</w:t>
      </w:r>
    </w:p>
    <w:p w14:paraId="1FAAF7E1" w14:textId="77777777" w:rsidR="004B4FFF" w:rsidRPr="006A5AC8" w:rsidRDefault="004B4FFF" w:rsidP="00EE31D5">
      <w:pPr>
        <w:rPr>
          <w:lang w:val="bg-BG"/>
        </w:rPr>
        <w:sectPr w:rsidR="004B4FFF" w:rsidRPr="006A5AC8" w:rsidSect="00441A20">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1906" w:h="16838" w:code="9"/>
          <w:pgMar w:top="2274" w:right="2274" w:bottom="2274" w:left="2274" w:header="1701" w:footer="720" w:gutter="0"/>
          <w:pgNumType w:start="1"/>
          <w:cols w:space="720"/>
          <w:noEndnote/>
          <w:titlePg/>
          <w:docGrid w:linePitch="326"/>
        </w:sectPr>
      </w:pPr>
    </w:p>
    <w:p w14:paraId="7CF43832" w14:textId="77777777" w:rsidR="0055090B" w:rsidRPr="006A5AC8" w:rsidRDefault="005E71F9" w:rsidP="00EE31D5">
      <w:pPr>
        <w:pStyle w:val="JuCase"/>
        <w:rPr>
          <w:lang w:val="bg-BG"/>
        </w:rPr>
      </w:pPr>
      <w:r w:rsidRPr="006A5AC8">
        <w:rPr>
          <w:lang w:val="bg-BG"/>
        </w:rPr>
        <w:lastRenderedPageBreak/>
        <w:t>По делото Мустафа срещу България</w:t>
      </w:r>
      <w:r w:rsidR="0055090B" w:rsidRPr="006A5AC8">
        <w:rPr>
          <w:lang w:val="bg-BG"/>
        </w:rPr>
        <w:t>,</w:t>
      </w:r>
    </w:p>
    <w:p w14:paraId="401CBE9D" w14:textId="6E592AE7" w:rsidR="0055090B" w:rsidRPr="006A5AC8" w:rsidRDefault="005E71F9" w:rsidP="00EE31D5">
      <w:pPr>
        <w:pStyle w:val="JuPara"/>
        <w:rPr>
          <w:lang w:val="bg-BG"/>
        </w:rPr>
      </w:pPr>
      <w:r w:rsidRPr="006A5AC8">
        <w:rPr>
          <w:lang w:val="bg-BG"/>
        </w:rPr>
        <w:t xml:space="preserve">Европейският съд по правата на човека (Пето отделение) </w:t>
      </w:r>
      <w:r w:rsidR="00D15EC4">
        <w:rPr>
          <w:lang w:val="bg-BG"/>
        </w:rPr>
        <w:t xml:space="preserve">заседаващ като </w:t>
      </w:r>
      <w:r w:rsidR="004576D3">
        <w:rPr>
          <w:lang w:val="bg-BG"/>
        </w:rPr>
        <w:t>К</w:t>
      </w:r>
      <w:r w:rsidR="00D15EC4">
        <w:rPr>
          <w:lang w:val="bg-BG"/>
        </w:rPr>
        <w:t xml:space="preserve">амара </w:t>
      </w:r>
      <w:r w:rsidRPr="006A5AC8">
        <w:rPr>
          <w:lang w:val="bg-BG"/>
        </w:rPr>
        <w:t>в състав</w:t>
      </w:r>
      <w:r w:rsidR="0055090B" w:rsidRPr="006A5AC8">
        <w:rPr>
          <w:lang w:val="bg-BG"/>
        </w:rPr>
        <w:t>:</w:t>
      </w:r>
    </w:p>
    <w:p w14:paraId="29C96EF8" w14:textId="77777777" w:rsidR="0055090B" w:rsidRPr="006A5AC8" w:rsidRDefault="00044DCE" w:rsidP="005E71F9">
      <w:pPr>
        <w:shd w:val="clear" w:color="auto" w:fill="FFFFFF"/>
        <w:ind w:firstLine="285"/>
        <w:rPr>
          <w:lang w:val="bg-BG"/>
        </w:rPr>
      </w:pPr>
      <w:r w:rsidRPr="006A5AC8">
        <w:rPr>
          <w:lang w:val="bg-BG"/>
        </w:rPr>
        <w:tab/>
      </w:r>
      <w:r w:rsidR="005E71F9" w:rsidRPr="006A5AC8">
        <w:rPr>
          <w:lang w:val="bg-BG"/>
        </w:rPr>
        <w:t xml:space="preserve">Анжелика </w:t>
      </w:r>
      <w:proofErr w:type="spellStart"/>
      <w:r w:rsidR="005E71F9" w:rsidRPr="006A5AC8">
        <w:rPr>
          <w:lang w:val="bg-BG"/>
        </w:rPr>
        <w:t>Нусбергер</w:t>
      </w:r>
      <w:proofErr w:type="spellEnd"/>
      <w:r w:rsidR="005E71F9" w:rsidRPr="006A5AC8">
        <w:rPr>
          <w:lang w:val="bg-BG"/>
        </w:rPr>
        <w:t xml:space="preserve"> (</w:t>
      </w:r>
      <w:proofErr w:type="spellStart"/>
      <w:r w:rsidRPr="006A5AC8">
        <w:rPr>
          <w:lang w:val="bg-BG"/>
        </w:rPr>
        <w:t>Angelika</w:t>
      </w:r>
      <w:proofErr w:type="spellEnd"/>
      <w:r w:rsidRPr="006A5AC8">
        <w:rPr>
          <w:lang w:val="bg-BG"/>
        </w:rPr>
        <w:t xml:space="preserve"> </w:t>
      </w:r>
      <w:proofErr w:type="spellStart"/>
      <w:r w:rsidRPr="006A5AC8">
        <w:rPr>
          <w:lang w:val="bg-BG"/>
        </w:rPr>
        <w:t>Nußberger</w:t>
      </w:r>
      <w:proofErr w:type="spellEnd"/>
      <w:r w:rsidR="005E71F9" w:rsidRPr="006A5AC8">
        <w:rPr>
          <w:lang w:val="bg-BG"/>
        </w:rPr>
        <w:t>)</w:t>
      </w:r>
      <w:r w:rsidRPr="006A5AC8">
        <w:rPr>
          <w:lang w:val="bg-BG"/>
        </w:rPr>
        <w:t>,</w:t>
      </w:r>
      <w:r w:rsidRPr="006A5AC8">
        <w:rPr>
          <w:i/>
          <w:lang w:val="bg-BG"/>
        </w:rPr>
        <w:t xml:space="preserve"> </w:t>
      </w:r>
      <w:r w:rsidR="005E71F9" w:rsidRPr="006A5AC8">
        <w:rPr>
          <w:i/>
          <w:lang w:val="bg-BG"/>
        </w:rPr>
        <w:t>председател</w:t>
      </w:r>
      <w:r w:rsidRPr="006A5AC8">
        <w:rPr>
          <w:i/>
          <w:lang w:val="bg-BG"/>
        </w:rPr>
        <w:t>,</w:t>
      </w:r>
      <w:r w:rsidRPr="006A5AC8">
        <w:rPr>
          <w:i/>
          <w:lang w:val="bg-BG"/>
        </w:rPr>
        <w:br/>
      </w:r>
      <w:r w:rsidRPr="006A5AC8">
        <w:rPr>
          <w:lang w:val="bg-BG"/>
        </w:rPr>
        <w:tab/>
      </w:r>
      <w:r w:rsidR="00955EA9" w:rsidRPr="006A5AC8">
        <w:rPr>
          <w:lang w:val="bg-BG"/>
        </w:rPr>
        <w:t xml:space="preserve">Габриел </w:t>
      </w:r>
      <w:proofErr w:type="spellStart"/>
      <w:r w:rsidR="00955EA9" w:rsidRPr="006A5AC8">
        <w:rPr>
          <w:lang w:val="bg-BG"/>
        </w:rPr>
        <w:t>Куцко-Стадлмайер</w:t>
      </w:r>
      <w:proofErr w:type="spellEnd"/>
      <w:r w:rsidR="00955EA9" w:rsidRPr="006A5AC8">
        <w:rPr>
          <w:lang w:val="bg-BG"/>
        </w:rPr>
        <w:t xml:space="preserve"> (</w:t>
      </w:r>
      <w:proofErr w:type="spellStart"/>
      <w:r w:rsidRPr="006A5AC8">
        <w:rPr>
          <w:lang w:val="bg-BG"/>
        </w:rPr>
        <w:t>Gabriele</w:t>
      </w:r>
      <w:proofErr w:type="spellEnd"/>
      <w:r w:rsidRPr="006A5AC8">
        <w:rPr>
          <w:lang w:val="bg-BG"/>
        </w:rPr>
        <w:t xml:space="preserve"> </w:t>
      </w:r>
      <w:proofErr w:type="spellStart"/>
      <w:r w:rsidRPr="006A5AC8">
        <w:rPr>
          <w:lang w:val="bg-BG"/>
        </w:rPr>
        <w:t>Kucsko-Stadlmayer</w:t>
      </w:r>
      <w:proofErr w:type="spellEnd"/>
      <w:r w:rsidR="00955EA9" w:rsidRPr="006A5AC8">
        <w:rPr>
          <w:lang w:val="bg-BG"/>
        </w:rPr>
        <w:t>)</w:t>
      </w:r>
      <w:r w:rsidRPr="006A5AC8">
        <w:rPr>
          <w:lang w:val="bg-BG"/>
        </w:rPr>
        <w:t>,</w:t>
      </w:r>
      <w:r w:rsidRPr="006A5AC8">
        <w:rPr>
          <w:i/>
          <w:lang w:val="bg-BG"/>
        </w:rPr>
        <w:br/>
      </w:r>
      <w:r w:rsidRPr="006A5AC8">
        <w:rPr>
          <w:lang w:val="bg-BG"/>
        </w:rPr>
        <w:tab/>
      </w:r>
      <w:proofErr w:type="spellStart"/>
      <w:r w:rsidR="005E71F9" w:rsidRPr="006A5AC8">
        <w:rPr>
          <w:lang w:val="bg-BG"/>
        </w:rPr>
        <w:t>Ганна</w:t>
      </w:r>
      <w:proofErr w:type="spellEnd"/>
      <w:r w:rsidR="005E71F9" w:rsidRPr="006A5AC8">
        <w:rPr>
          <w:lang w:val="bg-BG"/>
        </w:rPr>
        <w:t xml:space="preserve"> </w:t>
      </w:r>
      <w:proofErr w:type="spellStart"/>
      <w:r w:rsidR="005E71F9" w:rsidRPr="006A5AC8">
        <w:rPr>
          <w:lang w:val="bg-BG"/>
        </w:rPr>
        <w:t>Юдкивска</w:t>
      </w:r>
      <w:proofErr w:type="spellEnd"/>
      <w:r w:rsidR="005E71F9" w:rsidRPr="006A5AC8">
        <w:rPr>
          <w:lang w:val="bg-BG"/>
        </w:rPr>
        <w:t xml:space="preserve"> (</w:t>
      </w:r>
      <w:proofErr w:type="spellStart"/>
      <w:r w:rsidRPr="006A5AC8">
        <w:rPr>
          <w:lang w:val="bg-BG"/>
        </w:rPr>
        <w:t>Ganna</w:t>
      </w:r>
      <w:proofErr w:type="spellEnd"/>
      <w:r w:rsidRPr="006A5AC8">
        <w:rPr>
          <w:lang w:val="bg-BG"/>
        </w:rPr>
        <w:t xml:space="preserve"> </w:t>
      </w:r>
      <w:proofErr w:type="spellStart"/>
      <w:r w:rsidRPr="006A5AC8">
        <w:rPr>
          <w:lang w:val="bg-BG"/>
        </w:rPr>
        <w:t>Yudkivska</w:t>
      </w:r>
      <w:proofErr w:type="spellEnd"/>
      <w:r w:rsidR="005E71F9" w:rsidRPr="006A5AC8">
        <w:rPr>
          <w:lang w:val="bg-BG"/>
        </w:rPr>
        <w:t>)</w:t>
      </w:r>
      <w:r w:rsidRPr="006A5AC8">
        <w:rPr>
          <w:lang w:val="bg-BG"/>
        </w:rPr>
        <w:t>,</w:t>
      </w:r>
      <w:r w:rsidRPr="006A5AC8">
        <w:rPr>
          <w:i/>
          <w:lang w:val="bg-BG"/>
        </w:rPr>
        <w:br/>
      </w:r>
      <w:r w:rsidR="005E71F9" w:rsidRPr="006A5AC8">
        <w:rPr>
          <w:lang w:val="bg-BG"/>
        </w:rPr>
        <w:tab/>
        <w:t>Йонко Грозев (</w:t>
      </w:r>
      <w:proofErr w:type="spellStart"/>
      <w:r w:rsidR="005E71F9" w:rsidRPr="006A5AC8">
        <w:rPr>
          <w:lang w:val="bg-BG"/>
        </w:rPr>
        <w:t>Y</w:t>
      </w:r>
      <w:r w:rsidRPr="006A5AC8">
        <w:rPr>
          <w:lang w:val="bg-BG"/>
        </w:rPr>
        <w:t>onko</w:t>
      </w:r>
      <w:proofErr w:type="spellEnd"/>
      <w:r w:rsidRPr="006A5AC8">
        <w:rPr>
          <w:lang w:val="bg-BG"/>
        </w:rPr>
        <w:t xml:space="preserve"> </w:t>
      </w:r>
      <w:proofErr w:type="spellStart"/>
      <w:r w:rsidRPr="006A5AC8">
        <w:rPr>
          <w:lang w:val="bg-BG"/>
        </w:rPr>
        <w:t>Grozev</w:t>
      </w:r>
      <w:proofErr w:type="spellEnd"/>
      <w:r w:rsidR="005E71F9" w:rsidRPr="006A5AC8">
        <w:rPr>
          <w:lang w:val="bg-BG"/>
        </w:rPr>
        <w:t>)</w:t>
      </w:r>
      <w:r w:rsidRPr="006A5AC8">
        <w:rPr>
          <w:lang w:val="bg-BG"/>
        </w:rPr>
        <w:t>,</w:t>
      </w:r>
      <w:r w:rsidRPr="006A5AC8">
        <w:rPr>
          <w:i/>
          <w:lang w:val="bg-BG"/>
        </w:rPr>
        <w:br/>
      </w:r>
      <w:r w:rsidRPr="006A5AC8">
        <w:rPr>
          <w:lang w:val="bg-BG"/>
        </w:rPr>
        <w:tab/>
      </w:r>
      <w:proofErr w:type="spellStart"/>
      <w:r w:rsidR="005E71F9" w:rsidRPr="006A5AC8">
        <w:rPr>
          <w:lang w:val="bg-BG"/>
        </w:rPr>
        <w:t>Мартинш</w:t>
      </w:r>
      <w:proofErr w:type="spellEnd"/>
      <w:r w:rsidR="005E71F9" w:rsidRPr="006A5AC8">
        <w:rPr>
          <w:lang w:val="bg-BG"/>
        </w:rPr>
        <w:t xml:space="preserve"> </w:t>
      </w:r>
      <w:proofErr w:type="spellStart"/>
      <w:r w:rsidR="005E71F9" w:rsidRPr="006A5AC8">
        <w:rPr>
          <w:lang w:val="bg-BG"/>
        </w:rPr>
        <w:t>Митс</w:t>
      </w:r>
      <w:proofErr w:type="spellEnd"/>
      <w:r w:rsidR="005E71F9" w:rsidRPr="006A5AC8">
        <w:rPr>
          <w:lang w:val="bg-BG"/>
        </w:rPr>
        <w:t xml:space="preserve"> (</w:t>
      </w:r>
      <w:proofErr w:type="spellStart"/>
      <w:r w:rsidRPr="006A5AC8">
        <w:rPr>
          <w:lang w:val="bg-BG"/>
        </w:rPr>
        <w:t>Mārtiņš</w:t>
      </w:r>
      <w:proofErr w:type="spellEnd"/>
      <w:r w:rsidRPr="006A5AC8">
        <w:rPr>
          <w:lang w:val="bg-BG"/>
        </w:rPr>
        <w:t xml:space="preserve"> </w:t>
      </w:r>
      <w:proofErr w:type="spellStart"/>
      <w:r w:rsidRPr="006A5AC8">
        <w:rPr>
          <w:lang w:val="bg-BG"/>
        </w:rPr>
        <w:t>Mits</w:t>
      </w:r>
      <w:proofErr w:type="spellEnd"/>
      <w:r w:rsidR="005E71F9" w:rsidRPr="006A5AC8">
        <w:rPr>
          <w:lang w:val="bg-BG"/>
        </w:rPr>
        <w:t>)</w:t>
      </w:r>
      <w:r w:rsidRPr="006A5AC8">
        <w:rPr>
          <w:lang w:val="bg-BG"/>
        </w:rPr>
        <w:t>,</w:t>
      </w:r>
      <w:r w:rsidRPr="006A5AC8">
        <w:rPr>
          <w:i/>
          <w:lang w:val="bg-BG"/>
        </w:rPr>
        <w:br/>
      </w:r>
      <w:r w:rsidRPr="006A5AC8">
        <w:rPr>
          <w:lang w:val="bg-BG"/>
        </w:rPr>
        <w:tab/>
      </w:r>
      <w:r w:rsidR="005E71F9" w:rsidRPr="006A5AC8">
        <w:rPr>
          <w:lang w:val="bg-BG"/>
        </w:rPr>
        <w:t>Летиф Хюсеинов (</w:t>
      </w:r>
      <w:proofErr w:type="spellStart"/>
      <w:r w:rsidRPr="006A5AC8">
        <w:rPr>
          <w:lang w:val="bg-BG"/>
        </w:rPr>
        <w:t>Lәtif</w:t>
      </w:r>
      <w:proofErr w:type="spellEnd"/>
      <w:r w:rsidRPr="006A5AC8">
        <w:rPr>
          <w:lang w:val="bg-BG"/>
        </w:rPr>
        <w:t xml:space="preserve"> </w:t>
      </w:r>
      <w:proofErr w:type="spellStart"/>
      <w:r w:rsidRPr="006A5AC8">
        <w:rPr>
          <w:lang w:val="bg-BG"/>
        </w:rPr>
        <w:t>Hüseynov</w:t>
      </w:r>
      <w:proofErr w:type="spellEnd"/>
      <w:r w:rsidR="005E71F9" w:rsidRPr="006A5AC8">
        <w:rPr>
          <w:lang w:val="bg-BG"/>
        </w:rPr>
        <w:t>)</w:t>
      </w:r>
      <w:r w:rsidRPr="006A5AC8">
        <w:rPr>
          <w:lang w:val="bg-BG"/>
        </w:rPr>
        <w:t>,</w:t>
      </w:r>
      <w:r w:rsidRPr="006A5AC8">
        <w:rPr>
          <w:i/>
          <w:lang w:val="bg-BG"/>
        </w:rPr>
        <w:br/>
      </w:r>
      <w:r w:rsidRPr="006A5AC8">
        <w:rPr>
          <w:lang w:val="bg-BG"/>
        </w:rPr>
        <w:tab/>
      </w:r>
      <w:proofErr w:type="spellStart"/>
      <w:r w:rsidR="005E71F9" w:rsidRPr="006A5AC8">
        <w:rPr>
          <w:lang w:val="bg-BG"/>
        </w:rPr>
        <w:t>Ладо</w:t>
      </w:r>
      <w:proofErr w:type="spellEnd"/>
      <w:r w:rsidR="005E71F9" w:rsidRPr="006A5AC8">
        <w:rPr>
          <w:lang w:val="bg-BG"/>
        </w:rPr>
        <w:t xml:space="preserve"> </w:t>
      </w:r>
      <w:proofErr w:type="spellStart"/>
      <w:r w:rsidR="005E71F9" w:rsidRPr="006A5AC8">
        <w:rPr>
          <w:lang w:val="bg-BG"/>
        </w:rPr>
        <w:t>Чантуриа</w:t>
      </w:r>
      <w:proofErr w:type="spellEnd"/>
      <w:r w:rsidR="005E71F9" w:rsidRPr="006A5AC8">
        <w:rPr>
          <w:lang w:val="bg-BG"/>
        </w:rPr>
        <w:t xml:space="preserve"> (</w:t>
      </w:r>
      <w:proofErr w:type="spellStart"/>
      <w:r w:rsidRPr="006A5AC8">
        <w:rPr>
          <w:lang w:val="bg-BG"/>
        </w:rPr>
        <w:t>Lado</w:t>
      </w:r>
      <w:proofErr w:type="spellEnd"/>
      <w:r w:rsidRPr="006A5AC8">
        <w:rPr>
          <w:lang w:val="bg-BG"/>
        </w:rPr>
        <w:t xml:space="preserve"> </w:t>
      </w:r>
      <w:proofErr w:type="spellStart"/>
      <w:r w:rsidRPr="006A5AC8">
        <w:rPr>
          <w:lang w:val="bg-BG"/>
        </w:rPr>
        <w:t>Chanturia</w:t>
      </w:r>
      <w:proofErr w:type="spellEnd"/>
      <w:r w:rsidR="005E71F9" w:rsidRPr="006A5AC8">
        <w:rPr>
          <w:lang w:val="bg-BG"/>
        </w:rPr>
        <w:t>)</w:t>
      </w:r>
      <w:r w:rsidRPr="006A5AC8">
        <w:rPr>
          <w:lang w:val="bg-BG"/>
        </w:rPr>
        <w:t>,</w:t>
      </w:r>
      <w:r w:rsidRPr="006A5AC8">
        <w:rPr>
          <w:i/>
          <w:lang w:val="bg-BG"/>
        </w:rPr>
        <w:t xml:space="preserve"> </w:t>
      </w:r>
      <w:r w:rsidR="005E71F9" w:rsidRPr="006A5AC8">
        <w:rPr>
          <w:i/>
          <w:lang w:val="bg-BG"/>
        </w:rPr>
        <w:t>съдии</w:t>
      </w:r>
      <w:r w:rsidRPr="006A5AC8">
        <w:rPr>
          <w:i/>
          <w:lang w:val="bg-BG"/>
        </w:rPr>
        <w:t>,</w:t>
      </w:r>
      <w:r w:rsidRPr="006A5AC8">
        <w:rPr>
          <w:i/>
          <w:lang w:val="bg-BG"/>
        </w:rPr>
        <w:br/>
      </w:r>
      <w:r w:rsidR="005E71F9" w:rsidRPr="006A5AC8">
        <w:rPr>
          <w:lang w:val="bg-BG"/>
        </w:rPr>
        <w:t xml:space="preserve">и </w:t>
      </w:r>
      <w:proofErr w:type="spellStart"/>
      <w:r w:rsidR="005E71F9" w:rsidRPr="006A5AC8">
        <w:rPr>
          <w:lang w:val="bg-BG"/>
        </w:rPr>
        <w:t>Клаудиа</w:t>
      </w:r>
      <w:proofErr w:type="spellEnd"/>
      <w:r w:rsidR="005E71F9" w:rsidRPr="006A5AC8">
        <w:rPr>
          <w:lang w:val="bg-BG"/>
        </w:rPr>
        <w:t xml:space="preserve"> </w:t>
      </w:r>
      <w:proofErr w:type="spellStart"/>
      <w:r w:rsidR="005E71F9" w:rsidRPr="006A5AC8">
        <w:rPr>
          <w:lang w:val="bg-BG"/>
        </w:rPr>
        <w:t>Вестердик</w:t>
      </w:r>
      <w:proofErr w:type="spellEnd"/>
      <w:r w:rsidR="005E71F9" w:rsidRPr="006A5AC8">
        <w:rPr>
          <w:lang w:val="bg-BG"/>
        </w:rPr>
        <w:t xml:space="preserve"> (</w:t>
      </w:r>
      <w:proofErr w:type="spellStart"/>
      <w:r w:rsidR="005E71F9" w:rsidRPr="006A5AC8">
        <w:rPr>
          <w:lang w:val="bg-BG"/>
        </w:rPr>
        <w:t>Claudia</w:t>
      </w:r>
      <w:proofErr w:type="spellEnd"/>
      <w:r w:rsidR="005E71F9" w:rsidRPr="006A5AC8">
        <w:rPr>
          <w:lang w:val="bg-BG"/>
        </w:rPr>
        <w:t xml:space="preserve"> </w:t>
      </w:r>
      <w:proofErr w:type="spellStart"/>
      <w:r w:rsidR="005E71F9" w:rsidRPr="006A5AC8">
        <w:rPr>
          <w:lang w:val="bg-BG"/>
        </w:rPr>
        <w:t>Westerdiek</w:t>
      </w:r>
      <w:proofErr w:type="spellEnd"/>
      <w:r w:rsidR="005E71F9" w:rsidRPr="006A5AC8">
        <w:rPr>
          <w:lang w:val="bg-BG"/>
        </w:rPr>
        <w:t>), секретар на отделението</w:t>
      </w:r>
      <w:r w:rsidR="0055090B" w:rsidRPr="006A5AC8">
        <w:rPr>
          <w:lang w:val="bg-BG"/>
        </w:rPr>
        <w:t>,</w:t>
      </w:r>
    </w:p>
    <w:p w14:paraId="2FB2E315" w14:textId="77777777" w:rsidR="00955EA9" w:rsidRPr="006A5AC8" w:rsidRDefault="00955EA9" w:rsidP="005E71F9">
      <w:pPr>
        <w:shd w:val="clear" w:color="auto" w:fill="FFFFFF"/>
        <w:ind w:firstLine="285"/>
        <w:rPr>
          <w:lang w:val="bg-BG"/>
        </w:rPr>
      </w:pPr>
    </w:p>
    <w:p w14:paraId="7CBE5EF0" w14:textId="77777777" w:rsidR="007514DB" w:rsidRPr="006A5AC8" w:rsidRDefault="007514DB" w:rsidP="007514DB">
      <w:pPr>
        <w:shd w:val="clear" w:color="auto" w:fill="FFFFFF"/>
        <w:ind w:firstLine="284"/>
        <w:rPr>
          <w:lang w:val="bg-BG"/>
        </w:rPr>
      </w:pPr>
      <w:r w:rsidRPr="006A5AC8">
        <w:rPr>
          <w:lang w:val="bg-BG"/>
        </w:rPr>
        <w:t>След закрито заседание, проведено на 22 октомври 2019 г.,</w:t>
      </w:r>
    </w:p>
    <w:p w14:paraId="0A5F8699" w14:textId="6F29EA77" w:rsidR="00402604" w:rsidRPr="006A5AC8" w:rsidRDefault="007514DB" w:rsidP="00402604">
      <w:pPr>
        <w:pStyle w:val="JuPara"/>
        <w:rPr>
          <w:lang w:val="bg-BG"/>
        </w:rPr>
      </w:pPr>
      <w:r w:rsidRPr="006A5AC8">
        <w:rPr>
          <w:lang w:val="bg-BG"/>
        </w:rPr>
        <w:t>Постановява следното решение, което беше прието на посочената дата</w:t>
      </w:r>
      <w:r w:rsidR="0055090B" w:rsidRPr="006A5AC8">
        <w:rPr>
          <w:lang w:val="bg-BG"/>
        </w:rPr>
        <w:t>:</w:t>
      </w:r>
    </w:p>
    <w:p w14:paraId="7BD3E0AF" w14:textId="5C7C0D5C" w:rsidR="00402604" w:rsidRPr="00402604" w:rsidRDefault="002F1242" w:rsidP="00402604">
      <w:pPr>
        <w:pStyle w:val="JuHHead"/>
        <w:rPr>
          <w:lang w:val="bg-BG"/>
        </w:rPr>
      </w:pPr>
      <w:r>
        <w:rPr>
          <w:lang w:val="bg-BG"/>
        </w:rPr>
        <w:t>ПРОЦЕДУРА</w:t>
      </w:r>
    </w:p>
    <w:p w14:paraId="4BC0EC46" w14:textId="1E196A0D"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w:t>
      </w:r>
      <w:r w:rsidRPr="006A5AC8">
        <w:rPr>
          <w:lang w:val="bg-BG"/>
        </w:rPr>
        <w:fldChar w:fldCharType="end"/>
      </w:r>
      <w:r w:rsidRPr="006A5AC8">
        <w:rPr>
          <w:lang w:val="bg-BG"/>
        </w:rPr>
        <w:t>.  </w:t>
      </w:r>
      <w:r w:rsidR="00BE206C" w:rsidRPr="006A5AC8">
        <w:rPr>
          <w:lang w:val="bg-BG"/>
        </w:rPr>
        <w:t>Делото е образувано по жалба (№</w:t>
      </w:r>
      <w:r w:rsidRPr="006A5AC8">
        <w:rPr>
          <w:lang w:val="bg-BG"/>
        </w:rPr>
        <w:t xml:space="preserve"> 1230/17) </w:t>
      </w:r>
      <w:r w:rsidR="00BE206C" w:rsidRPr="006A5AC8">
        <w:rPr>
          <w:lang w:val="bg-BG"/>
        </w:rPr>
        <w:t>срещу Република България, подадена в Съда на 21 декември 2016 г. на основание член 34 от Конвенцията за защита правата на човека и основните свободи („Конвенцията”) от гражданин на същата държава, г-н Хюсеин Ахмед Мустафа („жалбоподател</w:t>
      </w:r>
      <w:r w:rsidR="000F4D8C" w:rsidRPr="006A5AC8">
        <w:rPr>
          <w:lang w:val="bg-BG"/>
        </w:rPr>
        <w:t>я</w:t>
      </w:r>
      <w:r w:rsidR="00086455" w:rsidRPr="006A5AC8">
        <w:rPr>
          <w:lang w:val="bg-BG"/>
        </w:rPr>
        <w:t>т</w:t>
      </w:r>
      <w:r w:rsidR="00BE206C" w:rsidRPr="006A5AC8">
        <w:rPr>
          <w:lang w:val="bg-BG"/>
        </w:rPr>
        <w:t>“)</w:t>
      </w:r>
      <w:r w:rsidRPr="006A5AC8">
        <w:rPr>
          <w:lang w:val="bg-BG"/>
        </w:rPr>
        <w:t>.</w:t>
      </w:r>
    </w:p>
    <w:p w14:paraId="433524CD"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w:t>
      </w:r>
      <w:r w:rsidRPr="006A5AC8">
        <w:rPr>
          <w:lang w:val="bg-BG"/>
        </w:rPr>
        <w:fldChar w:fldCharType="end"/>
      </w:r>
      <w:r w:rsidRPr="006A5AC8">
        <w:rPr>
          <w:lang w:val="bg-BG"/>
        </w:rPr>
        <w:t>.  </w:t>
      </w:r>
      <w:r w:rsidR="00BE206C" w:rsidRPr="006A5AC8">
        <w:rPr>
          <w:lang w:val="bg-BG"/>
        </w:rPr>
        <w:t xml:space="preserve">Жалбоподателят е представляван от </w:t>
      </w:r>
      <w:r w:rsidR="000F4D8C" w:rsidRPr="006A5AC8">
        <w:rPr>
          <w:lang w:val="bg-BG"/>
        </w:rPr>
        <w:t>г-жа Й.</w:t>
      </w:r>
      <w:r w:rsidR="000B4149" w:rsidRPr="006A5AC8">
        <w:rPr>
          <w:lang w:val="bg-BG"/>
        </w:rPr>
        <w:t xml:space="preserve"> Ч</w:t>
      </w:r>
      <w:r w:rsidR="000F4D8C" w:rsidRPr="006A5AC8">
        <w:rPr>
          <w:lang w:val="bg-BG"/>
        </w:rPr>
        <w:t xml:space="preserve">. </w:t>
      </w:r>
      <w:proofErr w:type="spellStart"/>
      <w:r w:rsidR="000F4D8C" w:rsidRPr="006A5AC8">
        <w:rPr>
          <w:lang w:val="bg-BG"/>
        </w:rPr>
        <w:t>Вандова</w:t>
      </w:r>
      <w:proofErr w:type="spellEnd"/>
      <w:r w:rsidR="000F4D8C" w:rsidRPr="006A5AC8">
        <w:rPr>
          <w:lang w:val="bg-BG"/>
        </w:rPr>
        <w:t>, адвокат в гр. София. Българското правителство („Правителството“) се представлява от правителствените агенти г-жа М. Димова и г-жа Б. Симеонова,</w:t>
      </w:r>
      <w:r w:rsidR="00BE206C" w:rsidRPr="006A5AC8">
        <w:rPr>
          <w:lang w:val="bg-BG"/>
        </w:rPr>
        <w:t xml:space="preserve"> </w:t>
      </w:r>
      <w:r w:rsidR="000F4D8C" w:rsidRPr="006A5AC8">
        <w:rPr>
          <w:lang w:val="bg-BG"/>
        </w:rPr>
        <w:t>от Министерството на правосъдието</w:t>
      </w:r>
      <w:r w:rsidRPr="006A5AC8">
        <w:rPr>
          <w:lang w:val="bg-BG"/>
        </w:rPr>
        <w:t>.</w:t>
      </w:r>
    </w:p>
    <w:p w14:paraId="68D1B179" w14:textId="77777777" w:rsidR="00E0541C"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w:t>
      </w:r>
      <w:r w:rsidRPr="006A5AC8">
        <w:rPr>
          <w:lang w:val="bg-BG"/>
        </w:rPr>
        <w:fldChar w:fldCharType="end"/>
      </w:r>
      <w:r w:rsidRPr="006A5AC8">
        <w:rPr>
          <w:lang w:val="bg-BG"/>
        </w:rPr>
        <w:t>.  </w:t>
      </w:r>
      <w:r w:rsidR="00E0541C" w:rsidRPr="006A5AC8">
        <w:rPr>
          <w:lang w:val="bg-BG"/>
        </w:rPr>
        <w:t xml:space="preserve">Жалбоподателят се оплаква по-специално, че военните съдилища не са изпълнили гаранциите за независимост и безпристрастност и че в следствие на това съдебният му процес пред същите </w:t>
      </w:r>
      <w:r w:rsidR="006D265B">
        <w:rPr>
          <w:lang w:val="bg-BG"/>
        </w:rPr>
        <w:t>съдилища</w:t>
      </w:r>
      <w:r w:rsidR="00E0541C" w:rsidRPr="006A5AC8">
        <w:rPr>
          <w:lang w:val="bg-BG"/>
        </w:rPr>
        <w:t xml:space="preserve"> не е спазил изискванията на член 6, алинея 1 от Конвенцията.</w:t>
      </w:r>
    </w:p>
    <w:p w14:paraId="4F926977" w14:textId="00FC9736" w:rsidR="00E0541C"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w:t>
      </w:r>
      <w:r w:rsidRPr="006A5AC8">
        <w:rPr>
          <w:lang w:val="bg-BG"/>
        </w:rPr>
        <w:fldChar w:fldCharType="end"/>
      </w:r>
      <w:r w:rsidRPr="006A5AC8">
        <w:rPr>
          <w:lang w:val="bg-BG"/>
        </w:rPr>
        <w:t>.  </w:t>
      </w:r>
      <w:r w:rsidR="00E0541C" w:rsidRPr="006A5AC8">
        <w:rPr>
          <w:lang w:val="bg-BG"/>
        </w:rPr>
        <w:t>На 26 април 2017 г. твърденията за нарушение на член 6</w:t>
      </w:r>
      <w:r w:rsidR="002F1242">
        <w:rPr>
          <w:lang w:val="bg-BG"/>
        </w:rPr>
        <w:t xml:space="preserve"> § </w:t>
      </w:r>
      <w:r w:rsidR="00E0541C" w:rsidRPr="006A5AC8">
        <w:rPr>
          <w:lang w:val="bg-BG"/>
        </w:rPr>
        <w:t xml:space="preserve">1 от Конвенцията относно </w:t>
      </w:r>
      <w:r w:rsidR="00402604">
        <w:rPr>
          <w:lang w:val="bg-BG"/>
        </w:rPr>
        <w:t>твърдян</w:t>
      </w:r>
      <w:r w:rsidR="003C7CF1">
        <w:rPr>
          <w:lang w:val="bg-BG"/>
        </w:rPr>
        <w:t>ата</w:t>
      </w:r>
      <w:r w:rsidR="009C24E7" w:rsidRPr="006A5AC8">
        <w:rPr>
          <w:lang w:val="bg-BG"/>
        </w:rPr>
        <w:t xml:space="preserve"> </w:t>
      </w:r>
      <w:r w:rsidR="003C7CF1">
        <w:rPr>
          <w:lang w:val="bg-BG"/>
        </w:rPr>
        <w:t>липса</w:t>
      </w:r>
      <w:r w:rsidR="003C7CF1" w:rsidRPr="006A5AC8">
        <w:rPr>
          <w:lang w:val="bg-BG"/>
        </w:rPr>
        <w:t xml:space="preserve"> </w:t>
      </w:r>
      <w:r w:rsidR="00E0541C" w:rsidRPr="006A5AC8">
        <w:rPr>
          <w:lang w:val="bg-BG"/>
        </w:rPr>
        <w:t xml:space="preserve">на независимост и безпристрастност на военните съдилища, са </w:t>
      </w:r>
      <w:r w:rsidR="003C7CF1">
        <w:rPr>
          <w:lang w:val="bg-BG"/>
        </w:rPr>
        <w:t>комуникирани</w:t>
      </w:r>
      <w:r w:rsidR="003C7CF1" w:rsidRPr="006A5AC8">
        <w:rPr>
          <w:lang w:val="bg-BG"/>
        </w:rPr>
        <w:t xml:space="preserve"> </w:t>
      </w:r>
      <w:r w:rsidR="00E0541C" w:rsidRPr="006A5AC8">
        <w:rPr>
          <w:lang w:val="bg-BG"/>
        </w:rPr>
        <w:t>на Правителството и жалбата в останалата си част е обявена за недопустима в съответствие с член 54, алинея 3 от Правилника на Съда</w:t>
      </w:r>
      <w:r w:rsidR="00470A61">
        <w:rPr>
          <w:lang w:val="bg-BG"/>
        </w:rPr>
        <w:t>.</w:t>
      </w:r>
    </w:p>
    <w:p w14:paraId="3EE4D365" w14:textId="77777777" w:rsidR="005C5787" w:rsidRPr="006A5AC8" w:rsidRDefault="00E0541C" w:rsidP="00EE31D5">
      <w:pPr>
        <w:pStyle w:val="JuHHead"/>
        <w:rPr>
          <w:lang w:val="bg-BG"/>
        </w:rPr>
      </w:pPr>
      <w:r w:rsidRPr="006A5AC8">
        <w:rPr>
          <w:lang w:val="bg-BG"/>
        </w:rPr>
        <w:t>ФАКТИТЕ</w:t>
      </w:r>
    </w:p>
    <w:p w14:paraId="6B8EA95F" w14:textId="77777777" w:rsidR="005C5787" w:rsidRPr="006A5AC8" w:rsidRDefault="00E0541C" w:rsidP="00EE31D5">
      <w:pPr>
        <w:pStyle w:val="JuHIRoman"/>
        <w:rPr>
          <w:lang w:val="bg-BG"/>
        </w:rPr>
      </w:pPr>
      <w:r w:rsidRPr="006A5AC8">
        <w:rPr>
          <w:lang w:val="bg-BG"/>
        </w:rPr>
        <w:t>обстоятелствата по делото</w:t>
      </w:r>
    </w:p>
    <w:p w14:paraId="5B049FFD"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w:t>
      </w:r>
      <w:r w:rsidRPr="006A5AC8">
        <w:rPr>
          <w:lang w:val="bg-BG"/>
        </w:rPr>
        <w:fldChar w:fldCharType="end"/>
      </w:r>
      <w:r w:rsidRPr="006A5AC8">
        <w:rPr>
          <w:lang w:val="bg-BG"/>
        </w:rPr>
        <w:t>.  </w:t>
      </w:r>
      <w:r w:rsidR="00A15E06" w:rsidRPr="006A5AC8">
        <w:rPr>
          <w:lang w:val="bg-BG"/>
        </w:rPr>
        <w:t xml:space="preserve">Жалбоподателят е роден през 1976 г. Живее в </w:t>
      </w:r>
      <w:r w:rsidR="000B4149" w:rsidRPr="006A5AC8">
        <w:rPr>
          <w:lang w:val="bg-BG"/>
        </w:rPr>
        <w:t xml:space="preserve">гр. </w:t>
      </w:r>
      <w:r w:rsidR="00A15E06" w:rsidRPr="006A5AC8">
        <w:rPr>
          <w:lang w:val="bg-BG"/>
        </w:rPr>
        <w:t>Бургас</w:t>
      </w:r>
      <w:r w:rsidRPr="006A5AC8">
        <w:rPr>
          <w:lang w:val="bg-BG"/>
        </w:rPr>
        <w:t>.</w:t>
      </w:r>
    </w:p>
    <w:bookmarkStart w:id="0" w:name="Para6"/>
    <w:p w14:paraId="5B7A9E20" w14:textId="2663F1FE" w:rsidR="000B4149" w:rsidRPr="006A5AC8" w:rsidRDefault="005C5787" w:rsidP="00EE31D5">
      <w:pPr>
        <w:pStyle w:val="JuPara"/>
        <w:rPr>
          <w:lang w:val="bg-BG"/>
        </w:rPr>
      </w:pPr>
      <w:r w:rsidRPr="006A5AC8">
        <w:rPr>
          <w:lang w:val="bg-BG"/>
        </w:rPr>
        <w:lastRenderedPageBreak/>
        <w:fldChar w:fldCharType="begin"/>
      </w:r>
      <w:r w:rsidRPr="006A5AC8">
        <w:rPr>
          <w:lang w:val="bg-BG"/>
        </w:rPr>
        <w:instrText xml:space="preserve"> SEQ level0 \*arabic </w:instrText>
      </w:r>
      <w:r w:rsidRPr="006A5AC8">
        <w:rPr>
          <w:lang w:val="bg-BG"/>
        </w:rPr>
        <w:fldChar w:fldCharType="separate"/>
      </w:r>
      <w:r w:rsidR="00CF0300">
        <w:rPr>
          <w:noProof/>
          <w:lang w:val="bg-BG"/>
        </w:rPr>
        <w:t>6</w:t>
      </w:r>
      <w:r w:rsidRPr="006A5AC8">
        <w:rPr>
          <w:lang w:val="bg-BG"/>
        </w:rPr>
        <w:fldChar w:fldCharType="end"/>
      </w:r>
      <w:bookmarkEnd w:id="0"/>
      <w:r w:rsidRPr="006A5AC8">
        <w:rPr>
          <w:lang w:val="bg-BG"/>
        </w:rPr>
        <w:t>.  </w:t>
      </w:r>
      <w:r w:rsidR="000B4149" w:rsidRPr="006A5AC8">
        <w:rPr>
          <w:lang w:val="bg-BG"/>
        </w:rPr>
        <w:t xml:space="preserve">С </w:t>
      </w:r>
      <w:r w:rsidR="005A56CA">
        <w:rPr>
          <w:lang w:val="bg-BG"/>
        </w:rPr>
        <w:t>постановление от</w:t>
      </w:r>
      <w:r w:rsidR="000B4149" w:rsidRPr="006A5AC8">
        <w:rPr>
          <w:lang w:val="bg-BG"/>
        </w:rPr>
        <w:t xml:space="preserve"> 1 ноември 2011 г. </w:t>
      </w:r>
      <w:r w:rsidR="005A56CA">
        <w:rPr>
          <w:lang w:val="bg-BG"/>
        </w:rPr>
        <w:t>на</w:t>
      </w:r>
      <w:r w:rsidR="005A56CA" w:rsidRPr="006A5AC8">
        <w:rPr>
          <w:lang w:val="bg-BG"/>
        </w:rPr>
        <w:t xml:space="preserve"> </w:t>
      </w:r>
      <w:r w:rsidR="000B4149" w:rsidRPr="006A5AC8">
        <w:rPr>
          <w:lang w:val="bg-BG"/>
        </w:rPr>
        <w:t xml:space="preserve">военен </w:t>
      </w:r>
      <w:r w:rsidR="005A56CA">
        <w:rPr>
          <w:lang w:val="bg-BG"/>
        </w:rPr>
        <w:t>прокурор</w:t>
      </w:r>
      <w:r w:rsidR="000B4149" w:rsidRPr="006A5AC8">
        <w:rPr>
          <w:lang w:val="bg-BG"/>
        </w:rPr>
        <w:t xml:space="preserve">, той е </w:t>
      </w:r>
      <w:r w:rsidR="005A56CA">
        <w:rPr>
          <w:lang w:val="bg-BG"/>
        </w:rPr>
        <w:t>привлечен в качеството на обвиняем за</w:t>
      </w:r>
      <w:r w:rsidR="00D33F96">
        <w:rPr>
          <w:lang w:val="bg-BG"/>
        </w:rPr>
        <w:t xml:space="preserve"> организиране и ръководене</w:t>
      </w:r>
      <w:r w:rsidR="000B4149" w:rsidRPr="006A5AC8">
        <w:rPr>
          <w:lang w:val="bg-BG"/>
        </w:rPr>
        <w:t xml:space="preserve"> на престъпна група с цел получаване на финансова изгода, както и за незаконен трансграничен трафик на стоки и предмети с висока стойност за търговски цели. Поради съществуващата </w:t>
      </w:r>
      <w:r w:rsidR="00394FDB">
        <w:rPr>
          <w:lang w:val="bg-BG"/>
        </w:rPr>
        <w:t>свързаност</w:t>
      </w:r>
      <w:r w:rsidR="000B4149" w:rsidRPr="006A5AC8">
        <w:rPr>
          <w:lang w:val="bg-BG"/>
        </w:rPr>
        <w:t xml:space="preserve"> между престъпленията, в които са обвинени предполагаемите членове на тази група</w:t>
      </w:r>
      <w:r w:rsidR="00394FDB">
        <w:rPr>
          <w:lang w:val="bg-BG"/>
        </w:rPr>
        <w:t>,</w:t>
      </w:r>
      <w:r w:rsidR="000B4149" w:rsidRPr="006A5AC8">
        <w:rPr>
          <w:lang w:val="bg-BG"/>
        </w:rPr>
        <w:t xml:space="preserve"> и тъй като към момента на извършване на деянията, в които са били обвинени, един от тях, В. Ч., е бил част от </w:t>
      </w:r>
      <w:r w:rsidR="00394FDB">
        <w:rPr>
          <w:lang w:val="bg-BG"/>
        </w:rPr>
        <w:t xml:space="preserve">състава на </w:t>
      </w:r>
      <w:r w:rsidR="000B4149" w:rsidRPr="006A5AC8">
        <w:rPr>
          <w:lang w:val="bg-BG"/>
        </w:rPr>
        <w:t>въоръжените сили, всички обвиняеми са били изправени пред Военен съд- Сливен („</w:t>
      </w:r>
      <w:r w:rsidR="00086455" w:rsidRPr="006A5AC8">
        <w:rPr>
          <w:lang w:val="bg-BG"/>
        </w:rPr>
        <w:t>в</w:t>
      </w:r>
      <w:r w:rsidR="000B4149" w:rsidRPr="006A5AC8">
        <w:rPr>
          <w:lang w:val="bg-BG"/>
        </w:rPr>
        <w:t>оенният съд</w:t>
      </w:r>
      <w:r w:rsidR="00394FDB">
        <w:rPr>
          <w:lang w:val="bg-BG"/>
        </w:rPr>
        <w:t>“</w:t>
      </w:r>
      <w:r w:rsidR="000B4149" w:rsidRPr="006A5AC8">
        <w:rPr>
          <w:lang w:val="bg-BG"/>
        </w:rPr>
        <w:t>).</w:t>
      </w:r>
    </w:p>
    <w:p w14:paraId="0A111D13" w14:textId="77777777" w:rsidR="00805146"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7</w:t>
      </w:r>
      <w:r w:rsidRPr="006A5AC8">
        <w:rPr>
          <w:lang w:val="bg-BG"/>
        </w:rPr>
        <w:fldChar w:fldCharType="end"/>
      </w:r>
      <w:r w:rsidRPr="006A5AC8">
        <w:rPr>
          <w:lang w:val="bg-BG"/>
        </w:rPr>
        <w:t>.  </w:t>
      </w:r>
      <w:r w:rsidR="00805146" w:rsidRPr="006A5AC8">
        <w:rPr>
          <w:lang w:val="bg-BG"/>
        </w:rPr>
        <w:t>На 19 ноември 2012 г. Военно-окръжна прокуратура- Сливен повдига обвинение срещу жалбоподателя и го изправя пред военния съд в същия град.</w:t>
      </w:r>
    </w:p>
    <w:bookmarkStart w:id="1" w:name="Para8"/>
    <w:p w14:paraId="4D952783" w14:textId="77777777" w:rsidR="00086455"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8</w:t>
      </w:r>
      <w:r w:rsidRPr="006A5AC8">
        <w:rPr>
          <w:lang w:val="bg-BG"/>
        </w:rPr>
        <w:fldChar w:fldCharType="end"/>
      </w:r>
      <w:bookmarkEnd w:id="1"/>
      <w:r w:rsidRPr="006A5AC8">
        <w:rPr>
          <w:lang w:val="bg-BG"/>
        </w:rPr>
        <w:t>.  </w:t>
      </w:r>
      <w:r w:rsidR="00086455" w:rsidRPr="006A5AC8">
        <w:rPr>
          <w:lang w:val="bg-BG"/>
        </w:rPr>
        <w:t>С решение от 8 април 2013 г. военният съд, заседаващ в състав от един военен съдия и двама съдебни заседатели, признава истинността на фактите, изложени от военната прокуратура в обвинителния акт и осъжда жалбоподателя на лишаване от свобода за срок от 5 години, както и на глоба от 20 000 български лева (BGN) (приблизително 10 226 евро (</w:t>
      </w:r>
      <w:r w:rsidR="00D0715F" w:rsidRPr="006A5AC8">
        <w:rPr>
          <w:lang w:val="bg-BG"/>
        </w:rPr>
        <w:t>EUR</w:t>
      </w:r>
      <w:r w:rsidR="00086455" w:rsidRPr="006A5AC8">
        <w:rPr>
          <w:lang w:val="bg-BG"/>
        </w:rPr>
        <w:t>)</w:t>
      </w:r>
      <w:r w:rsidR="00BD56A4" w:rsidRPr="006A5AC8">
        <w:rPr>
          <w:lang w:val="bg-BG"/>
        </w:rPr>
        <w:t>)</w:t>
      </w:r>
      <w:r w:rsidR="00086455" w:rsidRPr="006A5AC8">
        <w:rPr>
          <w:lang w:val="bg-BG"/>
        </w:rPr>
        <w:t>. На 30 октомври 2013 г., след като е сезиран</w:t>
      </w:r>
      <w:r w:rsidR="0012793D" w:rsidRPr="006A5AC8">
        <w:rPr>
          <w:lang w:val="bg-BG"/>
        </w:rPr>
        <w:t>, В</w:t>
      </w:r>
      <w:r w:rsidR="00086455" w:rsidRPr="006A5AC8">
        <w:rPr>
          <w:lang w:val="bg-BG"/>
        </w:rPr>
        <w:t>оенн</w:t>
      </w:r>
      <w:r w:rsidR="0012793D" w:rsidRPr="006A5AC8">
        <w:rPr>
          <w:lang w:val="bg-BG"/>
        </w:rPr>
        <w:t>о-апелативният</w:t>
      </w:r>
      <w:r w:rsidR="00086455" w:rsidRPr="006A5AC8">
        <w:rPr>
          <w:lang w:val="bg-BG"/>
        </w:rPr>
        <w:t xml:space="preserve"> съд, който заседава в състава от трима военни съдии, потвърждава решението на военния съд.</w:t>
      </w:r>
    </w:p>
    <w:p w14:paraId="6E199C9C" w14:textId="6C112868" w:rsidR="002F6BF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9</w:t>
      </w:r>
      <w:r w:rsidRPr="006A5AC8">
        <w:rPr>
          <w:lang w:val="bg-BG"/>
        </w:rPr>
        <w:fldChar w:fldCharType="end"/>
      </w:r>
      <w:r w:rsidRPr="006A5AC8">
        <w:rPr>
          <w:lang w:val="bg-BG"/>
        </w:rPr>
        <w:t>.  </w:t>
      </w:r>
      <w:r w:rsidR="002F6BF7" w:rsidRPr="006A5AC8">
        <w:rPr>
          <w:lang w:val="bg-BG"/>
        </w:rPr>
        <w:t xml:space="preserve">Жалбоподателят подава касационна жалба. С решение от 15 юли 2014 г. Върховният касационен съд отменя решението на </w:t>
      </w:r>
      <w:r w:rsidR="0012793D" w:rsidRPr="006A5AC8">
        <w:rPr>
          <w:lang w:val="bg-BG"/>
        </w:rPr>
        <w:t>Военно-апелативния съд</w:t>
      </w:r>
      <w:r w:rsidR="002F6BF7" w:rsidRPr="006A5AC8">
        <w:rPr>
          <w:lang w:val="bg-BG"/>
        </w:rPr>
        <w:t xml:space="preserve"> за три групи големи процесуални нарушения. По-специално той отбеляза противоречие между мотивите и разпоредителната част на решението на </w:t>
      </w:r>
      <w:r w:rsidR="00EC74D4" w:rsidRPr="006A5AC8">
        <w:rPr>
          <w:lang w:val="bg-BG"/>
        </w:rPr>
        <w:t>Военно-апелативния съд</w:t>
      </w:r>
      <w:r w:rsidR="002F6BF7" w:rsidRPr="006A5AC8">
        <w:rPr>
          <w:lang w:val="bg-BG"/>
        </w:rPr>
        <w:t xml:space="preserve">, неправилна преценка на част от доказателствата и липса на правни </w:t>
      </w:r>
      <w:r w:rsidR="00C679EA">
        <w:rPr>
          <w:lang w:val="bg-BG"/>
        </w:rPr>
        <w:t>съображения</w:t>
      </w:r>
      <w:r w:rsidR="002F6BF7" w:rsidRPr="006A5AC8">
        <w:rPr>
          <w:lang w:val="bg-BG"/>
        </w:rPr>
        <w:t xml:space="preserve">. Върховният касационен съд </w:t>
      </w:r>
      <w:r w:rsidR="0062522D">
        <w:rPr>
          <w:lang w:val="bg-BG"/>
        </w:rPr>
        <w:t>връща делото</w:t>
      </w:r>
      <w:r w:rsidR="002F6BF7" w:rsidRPr="006A5AC8">
        <w:rPr>
          <w:lang w:val="bg-BG"/>
        </w:rPr>
        <w:t xml:space="preserve"> за допълнително разглеждане от страна на </w:t>
      </w:r>
      <w:r w:rsidR="00EC74D4" w:rsidRPr="006A5AC8">
        <w:rPr>
          <w:lang w:val="bg-BG"/>
        </w:rPr>
        <w:t>Военно-апелативния съд</w:t>
      </w:r>
      <w:r w:rsidR="002F6BF7" w:rsidRPr="006A5AC8">
        <w:rPr>
          <w:lang w:val="bg-BG"/>
        </w:rPr>
        <w:t xml:space="preserve">. С решение от 10 ноември 2014 г. </w:t>
      </w:r>
      <w:r w:rsidR="00EC74D4" w:rsidRPr="006A5AC8">
        <w:rPr>
          <w:lang w:val="bg-BG"/>
        </w:rPr>
        <w:t xml:space="preserve">Военно-апелативният съд </w:t>
      </w:r>
      <w:r w:rsidR="002F6BF7" w:rsidRPr="006A5AC8">
        <w:rPr>
          <w:lang w:val="bg-BG"/>
        </w:rPr>
        <w:t xml:space="preserve">отменя поради същите причини </w:t>
      </w:r>
      <w:r w:rsidR="0062522D">
        <w:rPr>
          <w:lang w:val="bg-BG"/>
        </w:rPr>
        <w:t>присъдата</w:t>
      </w:r>
      <w:r w:rsidR="002F6BF7" w:rsidRPr="006A5AC8">
        <w:rPr>
          <w:lang w:val="bg-BG"/>
        </w:rPr>
        <w:t>, постановено от военния съд на 8 април 2013 г.</w:t>
      </w:r>
    </w:p>
    <w:bookmarkStart w:id="2" w:name="Para10"/>
    <w:p w14:paraId="679A0C93" w14:textId="40095988" w:rsidR="00D0715F"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10</w:t>
      </w:r>
      <w:r w:rsidRPr="006A5AC8">
        <w:rPr>
          <w:lang w:val="bg-BG"/>
        </w:rPr>
        <w:fldChar w:fldCharType="end"/>
      </w:r>
      <w:bookmarkEnd w:id="2"/>
      <w:r w:rsidRPr="006A5AC8">
        <w:rPr>
          <w:lang w:val="bg-BG"/>
        </w:rPr>
        <w:t>. </w:t>
      </w:r>
      <w:r w:rsidR="00D0715F" w:rsidRPr="006A5AC8">
        <w:rPr>
          <w:lang w:val="bg-BG"/>
        </w:rPr>
        <w:t>След ново разглеждане на делото с решен</w:t>
      </w:r>
      <w:r w:rsidR="00402604">
        <w:rPr>
          <w:lang w:val="bg-BG"/>
        </w:rPr>
        <w:t xml:space="preserve">ие от 15 юли 2015 г. Военен съд – </w:t>
      </w:r>
      <w:r w:rsidR="00D0715F" w:rsidRPr="006A5AC8">
        <w:rPr>
          <w:lang w:val="bg-BG"/>
        </w:rPr>
        <w:t>Сливен, заседаващ в състав от един военен съдия и двама съдебни заседатели, осъжда жалбоподателя на лишаване от свобода за срок от 5 години, както и на глоба от 20 000 български лева (приблизително 10 226 евро</w:t>
      </w:r>
      <w:r w:rsidR="00D33F96">
        <w:rPr>
          <w:lang w:val="bg-BG"/>
        </w:rPr>
        <w:t>)</w:t>
      </w:r>
      <w:r w:rsidR="00D0715F" w:rsidRPr="006A5AC8">
        <w:rPr>
          <w:lang w:val="bg-BG"/>
        </w:rPr>
        <w:t xml:space="preserve">. При обжалване от </w:t>
      </w:r>
      <w:r w:rsidR="00BD56A4" w:rsidRPr="006A5AC8">
        <w:rPr>
          <w:lang w:val="bg-BG"/>
        </w:rPr>
        <w:t xml:space="preserve">страна на </w:t>
      </w:r>
      <w:r w:rsidR="00D0715F" w:rsidRPr="006A5AC8">
        <w:rPr>
          <w:lang w:val="bg-BG"/>
        </w:rPr>
        <w:t xml:space="preserve">жалбоподателя </w:t>
      </w:r>
      <w:r w:rsidR="00402604">
        <w:rPr>
          <w:lang w:val="bg-BG"/>
        </w:rPr>
        <w:t>Военно-</w:t>
      </w:r>
      <w:r w:rsidR="00EC74D4" w:rsidRPr="006A5AC8">
        <w:rPr>
          <w:lang w:val="bg-BG"/>
        </w:rPr>
        <w:t>апелативният съд</w:t>
      </w:r>
      <w:r w:rsidR="00D0715F" w:rsidRPr="006A5AC8">
        <w:rPr>
          <w:lang w:val="bg-BG"/>
        </w:rPr>
        <w:t>, заседаващ в състав</w:t>
      </w:r>
      <w:r w:rsidR="00BD56A4" w:rsidRPr="006A5AC8">
        <w:rPr>
          <w:lang w:val="bg-BG"/>
        </w:rPr>
        <w:t xml:space="preserve"> от трима военни съдии, потвърждава</w:t>
      </w:r>
      <w:r w:rsidR="00D0715F" w:rsidRPr="006A5AC8">
        <w:rPr>
          <w:lang w:val="bg-BG"/>
        </w:rPr>
        <w:t xml:space="preserve"> </w:t>
      </w:r>
      <w:r w:rsidR="00BD56A4" w:rsidRPr="006A5AC8">
        <w:rPr>
          <w:lang w:val="bg-BG"/>
        </w:rPr>
        <w:t>присъдата.</w:t>
      </w:r>
    </w:p>
    <w:p w14:paraId="1BE13FA4" w14:textId="77777777" w:rsidR="00143AC3" w:rsidRPr="006A5AC8" w:rsidRDefault="005C5787" w:rsidP="00EE31D5">
      <w:pPr>
        <w:pStyle w:val="JuPara"/>
        <w:rPr>
          <w:lang w:val="bg-BG"/>
        </w:rPr>
      </w:pPr>
      <w:r w:rsidRPr="006A5AC8">
        <w:rPr>
          <w:lang w:val="bg-BG"/>
        </w:rPr>
        <w:t> </w:t>
      </w: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11</w:t>
      </w:r>
      <w:r w:rsidRPr="006A5AC8">
        <w:rPr>
          <w:lang w:val="bg-BG"/>
        </w:rPr>
        <w:fldChar w:fldCharType="end"/>
      </w:r>
      <w:r w:rsidRPr="006A5AC8">
        <w:rPr>
          <w:lang w:val="bg-BG"/>
        </w:rPr>
        <w:t>.  </w:t>
      </w:r>
      <w:r w:rsidR="00143AC3" w:rsidRPr="006A5AC8">
        <w:rPr>
          <w:lang w:val="bg-BG"/>
        </w:rPr>
        <w:t xml:space="preserve">Жалбоподателят подава касационна жалба, като наред с всичко друго оспорва независимостта и безпристрастността на военните съдилища. С окончателно решение от 24 юни 2016 г. Върховният касационен съд потвърждава присъдата на жалбоподателя за незаконен трансграничен трафик, но го оправда по обвиненията в </w:t>
      </w:r>
      <w:r w:rsidR="00143AC3" w:rsidRPr="006A5AC8">
        <w:rPr>
          <w:lang w:val="bg-BG"/>
        </w:rPr>
        <w:lastRenderedPageBreak/>
        <w:t>организиране и ръководство на престъпна група. Той намаля</w:t>
      </w:r>
      <w:r w:rsidR="00D33F96">
        <w:rPr>
          <w:lang w:val="bg-BG"/>
        </w:rPr>
        <w:t>ва</w:t>
      </w:r>
      <w:r w:rsidR="00143AC3" w:rsidRPr="006A5AC8">
        <w:rPr>
          <w:lang w:val="bg-BG"/>
        </w:rPr>
        <w:t xml:space="preserve"> срока</w:t>
      </w:r>
      <w:r w:rsidR="00D33F96">
        <w:rPr>
          <w:lang w:val="bg-BG"/>
        </w:rPr>
        <w:t xml:space="preserve"> на наложеното наказание</w:t>
      </w:r>
      <w:r w:rsidR="00143AC3" w:rsidRPr="006A5AC8">
        <w:rPr>
          <w:lang w:val="bg-BG"/>
        </w:rPr>
        <w:t xml:space="preserve"> </w:t>
      </w:r>
      <w:r w:rsidR="00D33F96">
        <w:rPr>
          <w:lang w:val="bg-BG"/>
        </w:rPr>
        <w:t>„</w:t>
      </w:r>
      <w:r w:rsidR="00143AC3" w:rsidRPr="006A5AC8">
        <w:rPr>
          <w:lang w:val="bg-BG"/>
        </w:rPr>
        <w:t>лишаване от свобода</w:t>
      </w:r>
      <w:r w:rsidR="00D33F96">
        <w:rPr>
          <w:lang w:val="bg-BG"/>
        </w:rPr>
        <w:t>“ на три години</w:t>
      </w:r>
      <w:r w:rsidR="00143AC3" w:rsidRPr="006A5AC8">
        <w:rPr>
          <w:lang w:val="bg-BG"/>
        </w:rPr>
        <w:t xml:space="preserve"> и потвърждава размера на глобата.</w:t>
      </w:r>
    </w:p>
    <w:bookmarkStart w:id="3" w:name="Para12"/>
    <w:p w14:paraId="2B53410F" w14:textId="1204A821" w:rsidR="000A6DE0"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12</w:t>
      </w:r>
      <w:r w:rsidRPr="006A5AC8">
        <w:rPr>
          <w:lang w:val="bg-BG"/>
        </w:rPr>
        <w:fldChar w:fldCharType="end"/>
      </w:r>
      <w:bookmarkEnd w:id="3"/>
      <w:r w:rsidRPr="006A5AC8">
        <w:rPr>
          <w:lang w:val="bg-BG"/>
        </w:rPr>
        <w:t>.  </w:t>
      </w:r>
      <w:r w:rsidR="000A6DE0" w:rsidRPr="006A5AC8">
        <w:rPr>
          <w:lang w:val="bg-BG"/>
        </w:rPr>
        <w:t xml:space="preserve">По отношение на аргумента на жалбоподателя, че </w:t>
      </w:r>
      <w:r w:rsidR="00D33F96">
        <w:rPr>
          <w:lang w:val="bg-BG"/>
        </w:rPr>
        <w:t>съдебният му процес п</w:t>
      </w:r>
      <w:r w:rsidR="000A6DE0" w:rsidRPr="006A5AC8">
        <w:rPr>
          <w:lang w:val="bg-BG"/>
        </w:rPr>
        <w:t>ред военните съдилища не отговаря на изискванията на член 6, алинея 1 от Конвенцията, Върховният касационен съд счита, че статутът на военните съдии предоставя достатъчно гаранции за запазване на тяхната независимост и безпристрастност. По-конкретно, той установява, че военните съдии се ползват със същите конституционни гаранции като тези, от които се ползват съдии</w:t>
      </w:r>
      <w:r w:rsidR="00D33F96">
        <w:rPr>
          <w:lang w:val="bg-BG"/>
        </w:rPr>
        <w:t>те към гражданските съдилища</w:t>
      </w:r>
      <w:r w:rsidR="000A6DE0" w:rsidRPr="006A5AC8">
        <w:rPr>
          <w:lang w:val="bg-BG"/>
        </w:rPr>
        <w:t xml:space="preserve"> и че за тях се прилагат същите правила за възнаграждение, дисциплина и повишение. </w:t>
      </w:r>
      <w:r w:rsidR="00905F03" w:rsidRPr="006A5AC8">
        <w:rPr>
          <w:lang w:val="bg-BG"/>
        </w:rPr>
        <w:t>Той уточнява</w:t>
      </w:r>
      <w:r w:rsidR="000A6DE0" w:rsidRPr="006A5AC8">
        <w:rPr>
          <w:lang w:val="bg-BG"/>
        </w:rPr>
        <w:t xml:space="preserve">, че макар да имат военно звание, те не са </w:t>
      </w:r>
      <w:r w:rsidR="00905F03" w:rsidRPr="006A5AC8">
        <w:rPr>
          <w:lang w:val="bg-BG"/>
        </w:rPr>
        <w:t xml:space="preserve">кадрови </w:t>
      </w:r>
      <w:r w:rsidR="000A6DE0" w:rsidRPr="006A5AC8">
        <w:rPr>
          <w:lang w:val="bg-BG"/>
        </w:rPr>
        <w:t xml:space="preserve">офицери </w:t>
      </w:r>
      <w:r w:rsidR="00876626" w:rsidRPr="006A5AC8">
        <w:rPr>
          <w:lang w:val="bg-BG"/>
        </w:rPr>
        <w:t xml:space="preserve">и че тези звания им се </w:t>
      </w:r>
      <w:r w:rsidR="00385DC2">
        <w:rPr>
          <w:lang w:val="bg-BG"/>
        </w:rPr>
        <w:t>дават</w:t>
      </w:r>
      <w:r w:rsidR="00385DC2" w:rsidRPr="006A5AC8">
        <w:rPr>
          <w:lang w:val="bg-BG"/>
        </w:rPr>
        <w:t xml:space="preserve"> </w:t>
      </w:r>
      <w:r w:rsidR="000A6DE0" w:rsidRPr="006A5AC8">
        <w:rPr>
          <w:lang w:val="bg-BG"/>
        </w:rPr>
        <w:t xml:space="preserve">от административния </w:t>
      </w:r>
      <w:r w:rsidR="00385DC2">
        <w:rPr>
          <w:lang w:val="bg-BG"/>
        </w:rPr>
        <w:t>ръководител</w:t>
      </w:r>
      <w:r w:rsidR="00385DC2" w:rsidRPr="006A5AC8">
        <w:rPr>
          <w:lang w:val="bg-BG"/>
        </w:rPr>
        <w:t xml:space="preserve"> </w:t>
      </w:r>
      <w:r w:rsidR="000A6DE0" w:rsidRPr="006A5AC8">
        <w:rPr>
          <w:lang w:val="bg-BG"/>
        </w:rPr>
        <w:t xml:space="preserve">на съда, </w:t>
      </w:r>
      <w:r w:rsidR="00905F03" w:rsidRPr="006A5AC8">
        <w:rPr>
          <w:lang w:val="bg-BG"/>
        </w:rPr>
        <w:t>към</w:t>
      </w:r>
      <w:r w:rsidR="000A6DE0" w:rsidRPr="006A5AC8">
        <w:rPr>
          <w:lang w:val="bg-BG"/>
        </w:rPr>
        <w:t xml:space="preserve"> който са </w:t>
      </w:r>
      <w:r w:rsidR="00385DC2">
        <w:rPr>
          <w:lang w:val="bg-BG"/>
        </w:rPr>
        <w:t>назначени</w:t>
      </w:r>
      <w:r w:rsidR="00905F03" w:rsidRPr="006A5AC8">
        <w:rPr>
          <w:lang w:val="bg-BG"/>
        </w:rPr>
        <w:t>.</w:t>
      </w:r>
    </w:p>
    <w:p w14:paraId="33F3A50E" w14:textId="77777777" w:rsidR="005C5787" w:rsidRPr="006A5AC8" w:rsidRDefault="00FC4B77" w:rsidP="00EE31D5">
      <w:pPr>
        <w:pStyle w:val="JuHIRoman"/>
        <w:rPr>
          <w:lang w:val="bg-BG"/>
        </w:rPr>
      </w:pPr>
      <w:r w:rsidRPr="006A5AC8">
        <w:rPr>
          <w:lang w:val="bg-BG"/>
        </w:rPr>
        <w:t>ПРИЛОЖИМО ВЪТРЕШНО ПРАВО И ПРАКТИКА</w:t>
      </w:r>
    </w:p>
    <w:p w14:paraId="250FE44D" w14:textId="77777777" w:rsidR="005C5787" w:rsidRPr="006A5AC8" w:rsidRDefault="00FC4B77" w:rsidP="00EE31D5">
      <w:pPr>
        <w:pStyle w:val="JuHA"/>
        <w:rPr>
          <w:lang w:val="bg-BG"/>
        </w:rPr>
      </w:pPr>
      <w:r w:rsidRPr="006A5AC8">
        <w:rPr>
          <w:lang w:val="bg-BG"/>
        </w:rPr>
        <w:t>Конституция от 1991 г.</w:t>
      </w:r>
    </w:p>
    <w:bookmarkStart w:id="4" w:name="Para13"/>
    <w:p w14:paraId="6DB62C1F"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13</w:t>
      </w:r>
      <w:r w:rsidRPr="006A5AC8">
        <w:rPr>
          <w:lang w:val="bg-BG"/>
        </w:rPr>
        <w:fldChar w:fldCharType="end"/>
      </w:r>
      <w:bookmarkEnd w:id="4"/>
      <w:r w:rsidRPr="006A5AC8">
        <w:rPr>
          <w:lang w:val="bg-BG"/>
        </w:rPr>
        <w:t>.  </w:t>
      </w:r>
      <w:r w:rsidR="00527520" w:rsidRPr="006A5AC8">
        <w:rPr>
          <w:lang w:val="bg-BG"/>
        </w:rPr>
        <w:t xml:space="preserve">Относимите </w:t>
      </w:r>
      <w:r w:rsidR="00163A8B" w:rsidRPr="006A5AC8">
        <w:rPr>
          <w:lang w:val="bg-BG"/>
        </w:rPr>
        <w:t>към</w:t>
      </w:r>
      <w:r w:rsidR="00527520" w:rsidRPr="006A5AC8">
        <w:rPr>
          <w:lang w:val="bg-BG"/>
        </w:rPr>
        <w:t xml:space="preserve"> делото пасажи от разпоредбите на действащата към момента на деянията Конституция, са:</w:t>
      </w:r>
    </w:p>
    <w:p w14:paraId="00C78C6A" w14:textId="77777777" w:rsidR="005C5787" w:rsidRPr="006A5AC8" w:rsidRDefault="00527520" w:rsidP="00EE31D5">
      <w:pPr>
        <w:pStyle w:val="JuHArticle"/>
        <w:rPr>
          <w:lang w:val="bg-BG"/>
        </w:rPr>
      </w:pPr>
      <w:r w:rsidRPr="006A5AC8">
        <w:rPr>
          <w:lang w:val="bg-BG"/>
        </w:rPr>
        <w:t>Член 119</w:t>
      </w:r>
    </w:p>
    <w:p w14:paraId="02626866" w14:textId="77777777" w:rsidR="008E0D5E" w:rsidRPr="006A5AC8" w:rsidRDefault="008E0D5E" w:rsidP="00EE31D5">
      <w:pPr>
        <w:pStyle w:val="JuQuot"/>
        <w:rPr>
          <w:lang w:val="bg-BG"/>
        </w:rPr>
      </w:pPr>
      <w:r w:rsidRPr="006A5AC8">
        <w:rPr>
          <w:lang w:val="bg-BG"/>
        </w:rPr>
        <w:t>„(1) Правораздаването се осъществява от Върховния касационен съд, Върховния административен съд, апелативни, окръжни, военни и районни съдилища.</w:t>
      </w:r>
      <w:r w:rsidR="005C5787" w:rsidRPr="006A5AC8">
        <w:rPr>
          <w:lang w:val="bg-BG"/>
        </w:rPr>
        <w:t> </w:t>
      </w:r>
    </w:p>
    <w:p w14:paraId="144BB2C7" w14:textId="77777777" w:rsidR="005C5787" w:rsidRPr="006A5AC8" w:rsidRDefault="008E0D5E" w:rsidP="00EE31D5">
      <w:pPr>
        <w:pStyle w:val="JuQuot"/>
        <w:rPr>
          <w:lang w:val="bg-BG"/>
        </w:rPr>
      </w:pPr>
      <w:r w:rsidRPr="006A5AC8">
        <w:rPr>
          <w:lang w:val="bg-BG"/>
        </w:rPr>
        <w:t>(…)“</w:t>
      </w:r>
    </w:p>
    <w:p w14:paraId="3716313A" w14:textId="77777777" w:rsidR="005C5787" w:rsidRPr="006A5AC8" w:rsidRDefault="008E0D5E" w:rsidP="00EE31D5">
      <w:pPr>
        <w:pStyle w:val="JuHArticle"/>
        <w:rPr>
          <w:lang w:val="bg-BG"/>
        </w:rPr>
      </w:pPr>
      <w:r w:rsidRPr="006A5AC8">
        <w:rPr>
          <w:lang w:val="bg-BG"/>
        </w:rPr>
        <w:t>Член 129</w:t>
      </w:r>
    </w:p>
    <w:p w14:paraId="696B60B6" w14:textId="77777777" w:rsidR="00E15198" w:rsidRPr="006A5AC8" w:rsidRDefault="00E15198" w:rsidP="00EE31D5">
      <w:pPr>
        <w:pStyle w:val="JuQuot"/>
        <w:rPr>
          <w:lang w:val="bg-BG"/>
        </w:rPr>
      </w:pPr>
      <w:r w:rsidRPr="006A5AC8">
        <w:rPr>
          <w:lang w:val="bg-BG"/>
        </w:rPr>
        <w:t>„</w:t>
      </w:r>
      <w:r w:rsidR="005C5787" w:rsidRPr="006A5AC8">
        <w:rPr>
          <w:lang w:val="bg-BG"/>
        </w:rPr>
        <w:t>(1)  </w:t>
      </w:r>
      <w:r w:rsidRPr="006A5AC8">
        <w:rPr>
          <w:lang w:val="bg-BG"/>
        </w:rPr>
        <w:t xml:space="preserve">Съдиите, прокурорите и следователите се назначават, повишават, понижават, преместват и освобождават от длъжност от Висшия съдебен съвет. </w:t>
      </w:r>
    </w:p>
    <w:p w14:paraId="576A1828" w14:textId="77777777" w:rsidR="00E15198" w:rsidRPr="006A5AC8" w:rsidRDefault="00E15198" w:rsidP="00E15198">
      <w:pPr>
        <w:pStyle w:val="JuQuot"/>
        <w:rPr>
          <w:lang w:val="bg-BG"/>
        </w:rPr>
      </w:pPr>
      <w:r w:rsidRPr="006A5AC8">
        <w:rPr>
          <w:lang w:val="bg-BG"/>
        </w:rPr>
        <w:t>(…)</w:t>
      </w:r>
    </w:p>
    <w:p w14:paraId="1C2DA1E8" w14:textId="77777777" w:rsidR="004B59EA" w:rsidRPr="006A5AC8" w:rsidRDefault="00E15198" w:rsidP="004B59EA">
      <w:pPr>
        <w:pStyle w:val="JuQuot"/>
        <w:rPr>
          <w:lang w:val="bg-BG"/>
        </w:rPr>
      </w:pPr>
      <w:r w:rsidRPr="006A5AC8">
        <w:rPr>
          <w:lang w:val="bg-BG"/>
        </w:rPr>
        <w:t xml:space="preserve"> </w:t>
      </w:r>
      <w:r w:rsidR="005C5787" w:rsidRPr="006A5AC8">
        <w:rPr>
          <w:lang w:val="bg-BG"/>
        </w:rPr>
        <w:t>(3)  </w:t>
      </w:r>
      <w:r w:rsidR="004B59EA" w:rsidRPr="006A5AC8">
        <w:rPr>
          <w:lang w:val="bg-BG"/>
        </w:rPr>
        <w:t>С навършване на петгодишен стаж като съдия, прокурор или следовател и след атестиране, с решение на Висшия съдебен съвет, съдиите, прокурорите и следователите стават несменяеми. (…) те се освобождават от длъжност само при</w:t>
      </w:r>
    </w:p>
    <w:p w14:paraId="1DA8FFEC" w14:textId="77777777" w:rsidR="005C5787" w:rsidRPr="006A5AC8" w:rsidRDefault="005C5787" w:rsidP="00EE31D5">
      <w:pPr>
        <w:pStyle w:val="JuQuot"/>
        <w:rPr>
          <w:lang w:val="bg-BG"/>
        </w:rPr>
      </w:pPr>
      <w:r w:rsidRPr="006A5AC8">
        <w:rPr>
          <w:lang w:val="bg-BG"/>
        </w:rPr>
        <w:t>1.  </w:t>
      </w:r>
      <w:r w:rsidR="004B59EA" w:rsidRPr="006A5AC8">
        <w:rPr>
          <w:lang w:val="bg-BG"/>
        </w:rPr>
        <w:t xml:space="preserve">навършване на 65-годишна </w:t>
      </w:r>
      <w:r w:rsidR="006D064E" w:rsidRPr="006A5AC8">
        <w:rPr>
          <w:lang w:val="bg-BG"/>
        </w:rPr>
        <w:t>възраст;</w:t>
      </w:r>
    </w:p>
    <w:p w14:paraId="776ED4E0" w14:textId="77777777" w:rsidR="005C5787" w:rsidRPr="006A5AC8" w:rsidRDefault="005C5787" w:rsidP="00EE31D5">
      <w:pPr>
        <w:pStyle w:val="JuQuot"/>
        <w:rPr>
          <w:lang w:val="bg-BG"/>
        </w:rPr>
      </w:pPr>
      <w:r w:rsidRPr="006A5AC8">
        <w:rPr>
          <w:lang w:val="bg-BG"/>
        </w:rPr>
        <w:t>2.  </w:t>
      </w:r>
      <w:r w:rsidR="004B59EA" w:rsidRPr="006A5AC8">
        <w:rPr>
          <w:lang w:val="bg-BG"/>
        </w:rPr>
        <w:t>подаване на оставка</w:t>
      </w:r>
      <w:r w:rsidRPr="006A5AC8">
        <w:rPr>
          <w:lang w:val="bg-BG"/>
        </w:rPr>
        <w:t>;</w:t>
      </w:r>
    </w:p>
    <w:p w14:paraId="71E994E6" w14:textId="77777777" w:rsidR="005C5787" w:rsidRPr="006A5AC8" w:rsidRDefault="005C5787" w:rsidP="00EE31D5">
      <w:pPr>
        <w:pStyle w:val="JuQuot"/>
        <w:rPr>
          <w:lang w:val="bg-BG"/>
        </w:rPr>
      </w:pPr>
      <w:r w:rsidRPr="006A5AC8">
        <w:rPr>
          <w:lang w:val="bg-BG"/>
        </w:rPr>
        <w:t>3.  </w:t>
      </w:r>
      <w:r w:rsidR="006D064E" w:rsidRPr="006A5AC8">
        <w:rPr>
          <w:lang w:val="bg-BG"/>
        </w:rPr>
        <w:t>влизане в сила на присъда, с която е наложено наказание лишаване от свобода за умишлено престъпление</w:t>
      </w:r>
      <w:r w:rsidRPr="006A5AC8">
        <w:rPr>
          <w:lang w:val="bg-BG"/>
        </w:rPr>
        <w:t>;</w:t>
      </w:r>
    </w:p>
    <w:p w14:paraId="290241C1" w14:textId="77777777" w:rsidR="005C5787" w:rsidRPr="006A5AC8" w:rsidRDefault="005C5787" w:rsidP="00EE31D5">
      <w:pPr>
        <w:pStyle w:val="JuQuot"/>
        <w:rPr>
          <w:lang w:val="bg-BG"/>
        </w:rPr>
      </w:pPr>
      <w:r w:rsidRPr="006A5AC8">
        <w:rPr>
          <w:lang w:val="bg-BG"/>
        </w:rPr>
        <w:t>4.  </w:t>
      </w:r>
      <w:r w:rsidR="006D064E" w:rsidRPr="006A5AC8">
        <w:rPr>
          <w:lang w:val="bg-BG"/>
        </w:rPr>
        <w:t>трайна фактическа невъзможност да изпълняват задълженията си за повече от една година</w:t>
      </w:r>
      <w:r w:rsidRPr="006A5AC8">
        <w:rPr>
          <w:lang w:val="bg-BG"/>
        </w:rPr>
        <w:t>;</w:t>
      </w:r>
    </w:p>
    <w:p w14:paraId="56A148E0" w14:textId="77777777" w:rsidR="006D064E" w:rsidRPr="006A5AC8" w:rsidRDefault="005C5787" w:rsidP="00EE31D5">
      <w:pPr>
        <w:pStyle w:val="JuQuot"/>
        <w:rPr>
          <w:lang w:val="bg-BG"/>
        </w:rPr>
      </w:pPr>
      <w:r w:rsidRPr="006A5AC8">
        <w:rPr>
          <w:lang w:val="bg-BG"/>
        </w:rPr>
        <w:lastRenderedPageBreak/>
        <w:t>5.  </w:t>
      </w:r>
      <w:r w:rsidR="006D064E" w:rsidRPr="006A5AC8">
        <w:rPr>
          <w:lang w:val="bg-BG"/>
        </w:rPr>
        <w:t>тежко нарушение или системно неизпълнение на служебните задължения, както и действия, които накърняват престижа на съдебната власт</w:t>
      </w:r>
    </w:p>
    <w:p w14:paraId="0475A952" w14:textId="77777777" w:rsidR="005C5787" w:rsidRPr="006A5AC8" w:rsidRDefault="005C5787" w:rsidP="00EE31D5">
      <w:pPr>
        <w:pStyle w:val="JuQuot"/>
        <w:rPr>
          <w:lang w:val="bg-BG"/>
        </w:rPr>
      </w:pPr>
      <w:r w:rsidRPr="006A5AC8">
        <w:rPr>
          <w:lang w:val="bg-BG"/>
        </w:rPr>
        <w:t>(...)</w:t>
      </w:r>
    </w:p>
    <w:p w14:paraId="30ED7081" w14:textId="77777777" w:rsidR="005C5787" w:rsidRPr="006A5AC8" w:rsidRDefault="005C5787" w:rsidP="00EE31D5">
      <w:pPr>
        <w:pStyle w:val="JuQuot"/>
        <w:rPr>
          <w:lang w:val="bg-BG"/>
        </w:rPr>
      </w:pPr>
      <w:r w:rsidRPr="006A5AC8">
        <w:rPr>
          <w:lang w:val="bg-BG"/>
        </w:rPr>
        <w:t>(5)  </w:t>
      </w:r>
      <w:r w:rsidR="006D064E" w:rsidRPr="006A5AC8">
        <w:rPr>
          <w:lang w:val="bg-BG"/>
        </w:rPr>
        <w:t>Придобитата несменяемост се възстановява при следващо заемане на длъжността съдия, прокурор или следовател в случаите на освобождаване по ал. 3, т. 2 и 4. (...)“</w:t>
      </w:r>
    </w:p>
    <w:p w14:paraId="2001C3CE" w14:textId="77777777" w:rsidR="005C5787" w:rsidRPr="006A5AC8" w:rsidRDefault="00163A8B" w:rsidP="00EE31D5">
      <w:pPr>
        <w:pStyle w:val="JuHA"/>
        <w:rPr>
          <w:lang w:val="bg-BG"/>
        </w:rPr>
      </w:pPr>
      <w:r w:rsidRPr="006A5AC8">
        <w:rPr>
          <w:lang w:val="bg-BG"/>
        </w:rPr>
        <w:t>Наказателно-процесуален кодекс от 2006</w:t>
      </w:r>
    </w:p>
    <w:bookmarkStart w:id="5" w:name="Para14"/>
    <w:p w14:paraId="7EC17F7D"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14</w:t>
      </w:r>
      <w:r w:rsidRPr="006A5AC8">
        <w:rPr>
          <w:lang w:val="bg-BG"/>
        </w:rPr>
        <w:fldChar w:fldCharType="end"/>
      </w:r>
      <w:bookmarkEnd w:id="5"/>
      <w:r w:rsidRPr="006A5AC8">
        <w:rPr>
          <w:lang w:val="bg-BG"/>
        </w:rPr>
        <w:t>.  </w:t>
      </w:r>
      <w:r w:rsidR="005E7EEC" w:rsidRPr="006A5AC8">
        <w:rPr>
          <w:lang w:val="bg-BG"/>
        </w:rPr>
        <w:t>Относимите към делото пасажи от разпоредбите на Наказателно-процесуалния кодекс (НПК) са</w:t>
      </w:r>
      <w:r w:rsidRPr="006A5AC8">
        <w:rPr>
          <w:lang w:val="bg-BG"/>
        </w:rPr>
        <w:t>:</w:t>
      </w:r>
    </w:p>
    <w:p w14:paraId="6044CD74" w14:textId="77777777" w:rsidR="005C5787" w:rsidRPr="006A5AC8" w:rsidRDefault="00A8429B" w:rsidP="00EE31D5">
      <w:pPr>
        <w:pStyle w:val="JuHArticle"/>
        <w:keepNext w:val="0"/>
        <w:rPr>
          <w:lang w:val="bg-BG"/>
        </w:rPr>
      </w:pPr>
      <w:r w:rsidRPr="006A5AC8">
        <w:rPr>
          <w:lang w:val="bg-BG"/>
        </w:rPr>
        <w:t>Член 396</w:t>
      </w:r>
    </w:p>
    <w:p w14:paraId="4A8ABC79" w14:textId="77777777" w:rsidR="005C5787" w:rsidRPr="006A5AC8" w:rsidRDefault="00040839" w:rsidP="00EE31D5">
      <w:pPr>
        <w:pStyle w:val="JuQuot"/>
        <w:rPr>
          <w:lang w:val="bg-BG"/>
        </w:rPr>
      </w:pPr>
      <w:r w:rsidRPr="006A5AC8">
        <w:rPr>
          <w:lang w:val="bg-BG"/>
        </w:rPr>
        <w:t>„</w:t>
      </w:r>
      <w:r w:rsidR="005C5787" w:rsidRPr="006A5AC8">
        <w:rPr>
          <w:lang w:val="bg-BG"/>
        </w:rPr>
        <w:t>(1)  </w:t>
      </w:r>
      <w:r w:rsidRPr="006A5AC8">
        <w:rPr>
          <w:lang w:val="bg-BG"/>
        </w:rPr>
        <w:t>На военните съдилища са подсъдни делата за престъпления, извършени от</w:t>
      </w:r>
      <w:r w:rsidR="005C5787" w:rsidRPr="006A5AC8">
        <w:rPr>
          <w:lang w:val="bg-BG"/>
        </w:rPr>
        <w:t>:</w:t>
      </w:r>
    </w:p>
    <w:p w14:paraId="476D45EC" w14:textId="77777777" w:rsidR="005C5787" w:rsidRPr="006A5AC8" w:rsidRDefault="005C5787" w:rsidP="00EE31D5">
      <w:pPr>
        <w:pStyle w:val="JuQuot"/>
        <w:rPr>
          <w:lang w:val="bg-BG"/>
        </w:rPr>
      </w:pPr>
      <w:r w:rsidRPr="006A5AC8">
        <w:rPr>
          <w:lang w:val="bg-BG"/>
        </w:rPr>
        <w:t>1.  </w:t>
      </w:r>
      <w:r w:rsidR="00040839" w:rsidRPr="006A5AC8">
        <w:rPr>
          <w:lang w:val="bg-BG"/>
        </w:rPr>
        <w:t>военнослужещи</w:t>
      </w:r>
      <w:r w:rsidRPr="006A5AC8">
        <w:rPr>
          <w:lang w:val="bg-BG"/>
        </w:rPr>
        <w:t xml:space="preserve"> (...)</w:t>
      </w:r>
    </w:p>
    <w:p w14:paraId="46205204" w14:textId="05051453" w:rsidR="005C5787" w:rsidRPr="006A5AC8" w:rsidRDefault="005C5787" w:rsidP="00EE31D5">
      <w:pPr>
        <w:pStyle w:val="JuQuot"/>
        <w:rPr>
          <w:lang w:val="bg-BG"/>
        </w:rPr>
      </w:pPr>
      <w:r w:rsidRPr="00DB5A65">
        <w:rPr>
          <w:lang w:val="bg-BG"/>
        </w:rPr>
        <w:t>(2)  </w:t>
      </w:r>
      <w:r w:rsidR="00040839" w:rsidRPr="00DB5A65">
        <w:rPr>
          <w:lang w:val="bg-BG"/>
        </w:rPr>
        <w:t xml:space="preserve">На военните съдилища са подсъдни (…) за престъпления, </w:t>
      </w:r>
      <w:r w:rsidR="00040839" w:rsidRPr="00E82B5E">
        <w:rPr>
          <w:lang w:val="bg-BG"/>
        </w:rPr>
        <w:t>в осъществяването на които са участвали заедно военнослужещи и граждански лица.“</w:t>
      </w:r>
    </w:p>
    <w:p w14:paraId="60F730C7" w14:textId="77777777" w:rsidR="00197918"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15</w:t>
      </w:r>
      <w:r w:rsidRPr="006A5AC8">
        <w:rPr>
          <w:lang w:val="bg-BG"/>
        </w:rPr>
        <w:fldChar w:fldCharType="end"/>
      </w:r>
      <w:r w:rsidRPr="006A5AC8">
        <w:rPr>
          <w:lang w:val="bg-BG"/>
        </w:rPr>
        <w:t>.  </w:t>
      </w:r>
      <w:r w:rsidR="00197918" w:rsidRPr="006A5AC8">
        <w:rPr>
          <w:lang w:val="bg-BG"/>
        </w:rPr>
        <w:t>Съгласно член 411а, алинея 1 от НПК престъпленията, свързани с организирането и ръководенето на престъпна група, както и участието в такава, са подсъдни на Специализирания наказателен съд. Алинея 7 от същия член предвижда, че делата, подсъдни на Специализирания наказателен съд и на военния съд, се разглеждат от военния съд. Съгласно член 33, алинея 4 от НПК съдът се произнася с обикновено мнозинство, като членовете на състава имат равен глас.</w:t>
      </w:r>
    </w:p>
    <w:p w14:paraId="06172D85" w14:textId="77777777" w:rsidR="005C5787" w:rsidRPr="006A5AC8" w:rsidRDefault="00197918" w:rsidP="00EE31D5">
      <w:pPr>
        <w:pStyle w:val="JuHA"/>
        <w:rPr>
          <w:lang w:val="bg-BG"/>
        </w:rPr>
      </w:pPr>
      <w:r w:rsidRPr="006A5AC8">
        <w:rPr>
          <w:lang w:val="bg-BG"/>
        </w:rPr>
        <w:t>Закон за съдебната власт от 2009 г.</w:t>
      </w:r>
    </w:p>
    <w:bookmarkStart w:id="6" w:name="Para15"/>
    <w:p w14:paraId="4239F805" w14:textId="77777777" w:rsidR="00197918"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16</w:t>
      </w:r>
      <w:r w:rsidRPr="006A5AC8">
        <w:rPr>
          <w:lang w:val="bg-BG"/>
        </w:rPr>
        <w:fldChar w:fldCharType="end"/>
      </w:r>
      <w:bookmarkEnd w:id="6"/>
      <w:r w:rsidRPr="006A5AC8">
        <w:rPr>
          <w:lang w:val="bg-BG"/>
        </w:rPr>
        <w:t>.  </w:t>
      </w:r>
      <w:r w:rsidR="00197918" w:rsidRPr="006A5AC8">
        <w:rPr>
          <w:lang w:val="bg-BG"/>
        </w:rPr>
        <w:t>Относимите към делото пасажи от р</w:t>
      </w:r>
      <w:r w:rsidR="003D6E55" w:rsidRPr="006A5AC8">
        <w:rPr>
          <w:lang w:val="bg-BG"/>
        </w:rPr>
        <w:t>азпоредбите на действащия</w:t>
      </w:r>
      <w:r w:rsidR="00197918" w:rsidRPr="006A5AC8">
        <w:rPr>
          <w:lang w:val="bg-BG"/>
        </w:rPr>
        <w:t xml:space="preserve"> към момента на деянията </w:t>
      </w:r>
      <w:r w:rsidR="003D6E55" w:rsidRPr="006A5AC8">
        <w:rPr>
          <w:lang w:val="bg-BG"/>
        </w:rPr>
        <w:t>закон за съдебната власт</w:t>
      </w:r>
      <w:r w:rsidR="00197918" w:rsidRPr="006A5AC8">
        <w:rPr>
          <w:lang w:val="bg-BG"/>
        </w:rPr>
        <w:t xml:space="preserve">, са </w:t>
      </w:r>
    </w:p>
    <w:p w14:paraId="44ECB434" w14:textId="77777777" w:rsidR="005C5787" w:rsidRPr="006A5AC8" w:rsidRDefault="003D6E55" w:rsidP="00EE31D5">
      <w:pPr>
        <w:pStyle w:val="JuHArticle"/>
        <w:rPr>
          <w:lang w:val="bg-BG"/>
        </w:rPr>
      </w:pPr>
      <w:r w:rsidRPr="006A5AC8">
        <w:rPr>
          <w:lang w:val="bg-BG"/>
        </w:rPr>
        <w:t>Член</w:t>
      </w:r>
      <w:r w:rsidR="005C5787" w:rsidRPr="006A5AC8">
        <w:rPr>
          <w:lang w:val="bg-BG"/>
        </w:rPr>
        <w:t xml:space="preserve"> 67</w:t>
      </w:r>
    </w:p>
    <w:p w14:paraId="47CA074E" w14:textId="77777777" w:rsidR="005C5787" w:rsidRPr="006A5AC8" w:rsidRDefault="00036F0E" w:rsidP="00EE31D5">
      <w:pPr>
        <w:pStyle w:val="JuQuot"/>
        <w:rPr>
          <w:lang w:val="bg-BG"/>
        </w:rPr>
      </w:pPr>
      <w:r w:rsidRPr="006A5AC8">
        <w:rPr>
          <w:lang w:val="bg-BG"/>
        </w:rPr>
        <w:t>„</w:t>
      </w:r>
      <w:r w:rsidR="005C5787" w:rsidRPr="006A5AC8">
        <w:rPr>
          <w:lang w:val="bg-BG"/>
        </w:rPr>
        <w:t>(...)</w:t>
      </w:r>
    </w:p>
    <w:p w14:paraId="2C872210" w14:textId="77777777" w:rsidR="00036F0E" w:rsidRPr="006A5AC8" w:rsidRDefault="005C5787" w:rsidP="00EE31D5">
      <w:pPr>
        <w:pStyle w:val="JuQuot"/>
        <w:rPr>
          <w:lang w:val="bg-BG"/>
        </w:rPr>
      </w:pPr>
      <w:r w:rsidRPr="006A5AC8">
        <w:rPr>
          <w:lang w:val="bg-BG"/>
        </w:rPr>
        <w:t>(2)  </w:t>
      </w:r>
      <w:r w:rsidR="00036F0E" w:rsidRPr="006A5AC8">
        <w:rPr>
          <w:lang w:val="bg-BG"/>
        </w:rPr>
        <w:t>Съдебни заседатели във военните съдилища могат да са генерали (адмирали), офицери и сержанти на военна служба.“</w:t>
      </w:r>
    </w:p>
    <w:p w14:paraId="57329AC6" w14:textId="77777777" w:rsidR="005C5787" w:rsidRPr="006A5AC8" w:rsidRDefault="00036F0E" w:rsidP="00EE31D5">
      <w:pPr>
        <w:pStyle w:val="JuHArticle"/>
        <w:rPr>
          <w:lang w:val="bg-BG"/>
        </w:rPr>
      </w:pPr>
      <w:r w:rsidRPr="006A5AC8">
        <w:rPr>
          <w:lang w:val="bg-BG"/>
        </w:rPr>
        <w:t>Член</w:t>
      </w:r>
      <w:r w:rsidR="005C5787" w:rsidRPr="006A5AC8">
        <w:rPr>
          <w:lang w:val="bg-BG"/>
        </w:rPr>
        <w:t xml:space="preserve"> 68</w:t>
      </w:r>
    </w:p>
    <w:p w14:paraId="4B688B66" w14:textId="77777777" w:rsidR="005C5787" w:rsidRPr="006A5AC8" w:rsidRDefault="00036F0E" w:rsidP="00EE31D5">
      <w:pPr>
        <w:pStyle w:val="JuQuot"/>
        <w:rPr>
          <w:lang w:val="bg-BG"/>
        </w:rPr>
      </w:pPr>
      <w:r w:rsidRPr="006A5AC8">
        <w:rPr>
          <w:lang w:val="bg-BG"/>
        </w:rPr>
        <w:t>„</w:t>
      </w:r>
      <w:r w:rsidR="005C5787" w:rsidRPr="006A5AC8">
        <w:rPr>
          <w:lang w:val="bg-BG"/>
        </w:rPr>
        <w:t>(...)</w:t>
      </w:r>
    </w:p>
    <w:p w14:paraId="04B8B05C" w14:textId="77777777" w:rsidR="00036F0E" w:rsidRPr="006A5AC8" w:rsidRDefault="005C5787" w:rsidP="00EE31D5">
      <w:pPr>
        <w:pStyle w:val="JuQuot"/>
        <w:rPr>
          <w:lang w:val="bg-BG"/>
        </w:rPr>
      </w:pPr>
      <w:r w:rsidRPr="006A5AC8">
        <w:rPr>
          <w:lang w:val="bg-BG"/>
        </w:rPr>
        <w:t>(4)  </w:t>
      </w:r>
      <w:r w:rsidR="00036F0E" w:rsidRPr="006A5AC8">
        <w:rPr>
          <w:lang w:val="bg-BG"/>
        </w:rPr>
        <w:t xml:space="preserve">Съдебните заседатели във военните съдилища се определят по предложение на командирите на поделенията от общото събрание на съдиите от военно-апелативния съд“. </w:t>
      </w:r>
    </w:p>
    <w:p w14:paraId="3C5266E7" w14:textId="77777777" w:rsidR="005C5787" w:rsidRPr="006A5AC8" w:rsidRDefault="00036F0E" w:rsidP="00EE31D5">
      <w:pPr>
        <w:pStyle w:val="JuHArticle"/>
        <w:rPr>
          <w:rFonts w:eastAsiaTheme="minorEastAsia"/>
          <w:b w:val="0"/>
          <w:lang w:val="bg-BG"/>
        </w:rPr>
      </w:pPr>
      <w:r w:rsidRPr="006A5AC8">
        <w:rPr>
          <w:rFonts w:eastAsiaTheme="minorEastAsia"/>
          <w:b w:val="0"/>
          <w:lang w:val="bg-BG"/>
        </w:rPr>
        <w:lastRenderedPageBreak/>
        <w:t>Член</w:t>
      </w:r>
      <w:r w:rsidR="005C5787" w:rsidRPr="006A5AC8">
        <w:rPr>
          <w:rFonts w:eastAsiaTheme="minorEastAsia"/>
          <w:b w:val="0"/>
          <w:lang w:val="bg-BG"/>
        </w:rPr>
        <w:t xml:space="preserve"> 97</w:t>
      </w:r>
    </w:p>
    <w:p w14:paraId="40428F93" w14:textId="77777777" w:rsidR="005C5787" w:rsidRPr="006A5AC8" w:rsidRDefault="009A135D" w:rsidP="00EE31D5">
      <w:pPr>
        <w:pStyle w:val="JuQuot"/>
        <w:rPr>
          <w:lang w:val="bg-BG"/>
        </w:rPr>
      </w:pPr>
      <w:r w:rsidRPr="006A5AC8">
        <w:rPr>
          <w:lang w:val="bg-BG"/>
        </w:rPr>
        <w:t>„</w:t>
      </w:r>
      <w:r w:rsidR="005C5787" w:rsidRPr="006A5AC8">
        <w:rPr>
          <w:lang w:val="bg-BG"/>
        </w:rPr>
        <w:t>(1)  </w:t>
      </w:r>
      <w:r w:rsidRPr="006A5AC8">
        <w:rPr>
          <w:lang w:val="bg-BG"/>
        </w:rPr>
        <w:t xml:space="preserve">Военният съд разглежда делата в състав от един съдия и двама съдебни заседатели, освен ако със закон е предвидено друго </w:t>
      </w:r>
      <w:r w:rsidR="005C5787" w:rsidRPr="006A5AC8">
        <w:rPr>
          <w:lang w:val="bg-BG"/>
        </w:rPr>
        <w:t>(...)</w:t>
      </w:r>
      <w:r w:rsidRPr="006A5AC8">
        <w:rPr>
          <w:lang w:val="bg-BG"/>
        </w:rPr>
        <w:t>“</w:t>
      </w:r>
    </w:p>
    <w:p w14:paraId="548AC435" w14:textId="77777777" w:rsidR="005C5787" w:rsidRPr="006A5AC8" w:rsidRDefault="009C763C" w:rsidP="00EE31D5">
      <w:pPr>
        <w:pStyle w:val="JuHArticle"/>
        <w:rPr>
          <w:lang w:val="bg-BG"/>
        </w:rPr>
      </w:pPr>
      <w:r w:rsidRPr="006A5AC8">
        <w:rPr>
          <w:lang w:val="bg-BG"/>
        </w:rPr>
        <w:t>Член</w:t>
      </w:r>
      <w:r w:rsidR="005C5787" w:rsidRPr="006A5AC8">
        <w:rPr>
          <w:lang w:val="bg-BG"/>
        </w:rPr>
        <w:t xml:space="preserve"> 101</w:t>
      </w:r>
    </w:p>
    <w:p w14:paraId="6A95FBDE" w14:textId="77777777" w:rsidR="005C5787" w:rsidRPr="006A5AC8" w:rsidRDefault="009C763C" w:rsidP="00EE31D5">
      <w:pPr>
        <w:pStyle w:val="JuQuot"/>
        <w:rPr>
          <w:lang w:val="bg-BG"/>
        </w:rPr>
      </w:pPr>
      <w:r w:rsidRPr="006A5AC8">
        <w:rPr>
          <w:lang w:val="bg-BG"/>
        </w:rPr>
        <w:t>„</w:t>
      </w:r>
      <w:r w:rsidR="005C5787" w:rsidRPr="006A5AC8">
        <w:rPr>
          <w:lang w:val="bg-BG"/>
        </w:rPr>
        <w:t>(...)</w:t>
      </w:r>
    </w:p>
    <w:p w14:paraId="16EC72F4" w14:textId="77777777" w:rsidR="009C763C" w:rsidRPr="006A5AC8" w:rsidRDefault="005C5787" w:rsidP="00EE31D5">
      <w:pPr>
        <w:pStyle w:val="JuQuot"/>
        <w:rPr>
          <w:lang w:val="bg-BG"/>
        </w:rPr>
      </w:pPr>
      <w:r w:rsidRPr="006A5AC8">
        <w:rPr>
          <w:lang w:val="bg-BG"/>
        </w:rPr>
        <w:t>(2)  </w:t>
      </w:r>
      <w:r w:rsidR="009C763C" w:rsidRPr="006A5AC8">
        <w:rPr>
          <w:lang w:val="bg-BG"/>
        </w:rPr>
        <w:t>Военно-апелативният съд (…) разглежда делата, образувани по жалби и протести срещу актове на военните съдилища (…)“</w:t>
      </w:r>
    </w:p>
    <w:p w14:paraId="0802C56C" w14:textId="77777777" w:rsidR="005C5787" w:rsidRPr="006A5AC8" w:rsidRDefault="009C763C" w:rsidP="00EE31D5">
      <w:pPr>
        <w:pStyle w:val="JuHArticle"/>
        <w:rPr>
          <w:rFonts w:eastAsiaTheme="minorEastAsia"/>
          <w:lang w:val="bg-BG"/>
        </w:rPr>
      </w:pPr>
      <w:r w:rsidRPr="006A5AC8">
        <w:rPr>
          <w:rFonts w:eastAsiaTheme="minorEastAsia"/>
          <w:lang w:val="bg-BG"/>
        </w:rPr>
        <w:t>Член</w:t>
      </w:r>
      <w:r w:rsidR="005C5787" w:rsidRPr="006A5AC8">
        <w:rPr>
          <w:rFonts w:eastAsiaTheme="minorEastAsia"/>
          <w:lang w:val="bg-BG"/>
        </w:rPr>
        <w:t xml:space="preserve"> 105</w:t>
      </w:r>
    </w:p>
    <w:p w14:paraId="6D5C7E59" w14:textId="77777777" w:rsidR="005C5787" w:rsidRPr="006A5AC8" w:rsidRDefault="0097270D" w:rsidP="00EE31D5">
      <w:pPr>
        <w:pStyle w:val="JuQuot"/>
        <w:rPr>
          <w:lang w:val="bg-BG"/>
        </w:rPr>
      </w:pPr>
      <w:r w:rsidRPr="006A5AC8">
        <w:rPr>
          <w:lang w:val="bg-BG"/>
        </w:rPr>
        <w:t xml:space="preserve">„Апелативният съд заседава в състав от трима съдии, освен ако със закон е предвидено друго.“ </w:t>
      </w:r>
    </w:p>
    <w:p w14:paraId="10680C6E" w14:textId="77777777" w:rsidR="005C5787" w:rsidRPr="006A5AC8" w:rsidRDefault="0097270D" w:rsidP="00EE31D5">
      <w:pPr>
        <w:pStyle w:val="JuHArticle"/>
        <w:rPr>
          <w:lang w:val="bg-BG"/>
        </w:rPr>
      </w:pPr>
      <w:r w:rsidRPr="006A5AC8">
        <w:rPr>
          <w:lang w:val="bg-BG"/>
        </w:rPr>
        <w:t>Член</w:t>
      </w:r>
      <w:r w:rsidR="005C5787" w:rsidRPr="006A5AC8">
        <w:rPr>
          <w:lang w:val="bg-BG"/>
        </w:rPr>
        <w:t xml:space="preserve"> 134</w:t>
      </w:r>
    </w:p>
    <w:p w14:paraId="02B18140" w14:textId="77777777" w:rsidR="005C5787" w:rsidRPr="006A5AC8" w:rsidRDefault="00E7457B" w:rsidP="00EE31D5">
      <w:pPr>
        <w:pStyle w:val="JuQuot"/>
        <w:rPr>
          <w:lang w:val="bg-BG"/>
        </w:rPr>
      </w:pPr>
      <w:r w:rsidRPr="006A5AC8">
        <w:rPr>
          <w:lang w:val="bg-BG"/>
        </w:rPr>
        <w:t>„</w:t>
      </w:r>
      <w:r w:rsidR="005C5787" w:rsidRPr="006A5AC8">
        <w:rPr>
          <w:lang w:val="bg-BG"/>
        </w:rPr>
        <w:t>(...)</w:t>
      </w:r>
    </w:p>
    <w:p w14:paraId="6EB82AF2" w14:textId="77777777" w:rsidR="00E7457B" w:rsidRPr="006A5AC8" w:rsidRDefault="005C5787" w:rsidP="00EE31D5">
      <w:pPr>
        <w:pStyle w:val="JuQuot"/>
        <w:rPr>
          <w:lang w:val="bg-BG"/>
        </w:rPr>
      </w:pPr>
      <w:r w:rsidRPr="006A5AC8">
        <w:rPr>
          <w:lang w:val="bg-BG"/>
        </w:rPr>
        <w:t>(2)  </w:t>
      </w:r>
      <w:r w:rsidR="00E7457B" w:rsidRPr="006A5AC8">
        <w:rPr>
          <w:lang w:val="bg-BG"/>
        </w:rPr>
        <w:t xml:space="preserve">Военните съдии, военните прокурори и военните следователи работят във военна униформа.“ </w:t>
      </w:r>
    </w:p>
    <w:p w14:paraId="2A5476AF" w14:textId="77777777" w:rsidR="005C5787" w:rsidRPr="006A5AC8" w:rsidRDefault="00E7457B" w:rsidP="00EE31D5">
      <w:pPr>
        <w:pStyle w:val="JuHArticle"/>
        <w:rPr>
          <w:lang w:val="bg-BG"/>
        </w:rPr>
      </w:pPr>
      <w:r w:rsidRPr="006A5AC8">
        <w:rPr>
          <w:lang w:val="bg-BG"/>
        </w:rPr>
        <w:t>Член</w:t>
      </w:r>
      <w:r w:rsidR="005C5787" w:rsidRPr="006A5AC8">
        <w:rPr>
          <w:lang w:val="bg-BG"/>
        </w:rPr>
        <w:t xml:space="preserve"> 161</w:t>
      </w:r>
    </w:p>
    <w:p w14:paraId="0559F038" w14:textId="77777777" w:rsidR="005C5787" w:rsidRPr="006A5AC8" w:rsidRDefault="00D833A0" w:rsidP="00EE31D5">
      <w:pPr>
        <w:pStyle w:val="JuQuot"/>
        <w:rPr>
          <w:lang w:val="bg-BG"/>
        </w:rPr>
      </w:pPr>
      <w:r w:rsidRPr="006A5AC8">
        <w:rPr>
          <w:lang w:val="bg-BG"/>
        </w:rPr>
        <w:t>„</w:t>
      </w:r>
      <w:r w:rsidR="005C5787" w:rsidRPr="006A5AC8">
        <w:rPr>
          <w:lang w:val="bg-BG"/>
        </w:rPr>
        <w:t>(...)</w:t>
      </w:r>
    </w:p>
    <w:p w14:paraId="6661433F" w14:textId="77777777" w:rsidR="00876626" w:rsidRPr="006A5AC8" w:rsidRDefault="005C5787" w:rsidP="00EE31D5">
      <w:pPr>
        <w:pStyle w:val="JuQuot"/>
        <w:rPr>
          <w:lang w:val="bg-BG"/>
        </w:rPr>
      </w:pPr>
      <w:r w:rsidRPr="006A5AC8">
        <w:rPr>
          <w:lang w:val="bg-BG"/>
        </w:rPr>
        <w:t>(5)  </w:t>
      </w:r>
      <w:r w:rsidR="00876626" w:rsidRPr="006A5AC8">
        <w:rPr>
          <w:lang w:val="bg-BG"/>
        </w:rPr>
        <w:t>Назначеният като военен съдия, военен прокурор или военен следовател се приема на военна служба и му се присвоява офицерско звание</w:t>
      </w:r>
      <w:r w:rsidR="00D833A0" w:rsidRPr="006A5AC8">
        <w:rPr>
          <w:lang w:val="bg-BG"/>
        </w:rPr>
        <w:t>.“</w:t>
      </w:r>
    </w:p>
    <w:p w14:paraId="3C5DBCDA" w14:textId="77777777" w:rsidR="005C5787" w:rsidRPr="006A5AC8" w:rsidRDefault="00D833A0" w:rsidP="00EE31D5">
      <w:pPr>
        <w:pStyle w:val="JuHArticle"/>
        <w:rPr>
          <w:lang w:val="bg-BG"/>
        </w:rPr>
      </w:pPr>
      <w:r w:rsidRPr="006A5AC8">
        <w:rPr>
          <w:lang w:val="bg-BG"/>
        </w:rPr>
        <w:t>Член</w:t>
      </w:r>
      <w:r w:rsidR="005C5787" w:rsidRPr="006A5AC8">
        <w:rPr>
          <w:lang w:val="bg-BG"/>
        </w:rPr>
        <w:t xml:space="preserve"> 307</w:t>
      </w:r>
    </w:p>
    <w:p w14:paraId="7322BF6C" w14:textId="77777777" w:rsidR="005C5787" w:rsidRPr="006A5AC8" w:rsidRDefault="00FA4455" w:rsidP="00EE31D5">
      <w:pPr>
        <w:pStyle w:val="JuQuot"/>
        <w:rPr>
          <w:lang w:val="bg-BG"/>
        </w:rPr>
      </w:pPr>
      <w:r w:rsidRPr="006A5AC8">
        <w:rPr>
          <w:lang w:val="bg-BG"/>
        </w:rPr>
        <w:t>„</w:t>
      </w:r>
      <w:r w:rsidR="005C5787" w:rsidRPr="006A5AC8">
        <w:rPr>
          <w:lang w:val="bg-BG"/>
        </w:rPr>
        <w:t>(...)</w:t>
      </w:r>
    </w:p>
    <w:p w14:paraId="17169656" w14:textId="77777777" w:rsidR="005C5787" w:rsidRPr="006A5AC8" w:rsidRDefault="005C5787" w:rsidP="00EE31D5">
      <w:pPr>
        <w:pStyle w:val="JuQuot"/>
        <w:rPr>
          <w:lang w:val="bg-BG"/>
        </w:rPr>
      </w:pPr>
      <w:r w:rsidRPr="006A5AC8">
        <w:rPr>
          <w:lang w:val="bg-BG"/>
        </w:rPr>
        <w:t>(3)  </w:t>
      </w:r>
      <w:r w:rsidR="00D833A0" w:rsidRPr="006A5AC8">
        <w:rPr>
          <w:lang w:val="bg-BG"/>
        </w:rPr>
        <w:t>Дисциплинарно нарушение е виновно неизпълнение на служебните задължения на съдия, прокурор и следовател</w:t>
      </w:r>
      <w:r w:rsidRPr="006A5AC8">
        <w:rPr>
          <w:lang w:val="bg-BG"/>
        </w:rPr>
        <w:t>.</w:t>
      </w:r>
    </w:p>
    <w:p w14:paraId="58921DB5" w14:textId="77777777" w:rsidR="005C5787" w:rsidRPr="006A5AC8" w:rsidRDefault="005C5787" w:rsidP="00EE31D5">
      <w:pPr>
        <w:pStyle w:val="JuQuot"/>
        <w:rPr>
          <w:lang w:val="bg-BG"/>
        </w:rPr>
      </w:pPr>
      <w:r w:rsidRPr="006A5AC8">
        <w:rPr>
          <w:lang w:val="bg-BG"/>
        </w:rPr>
        <w:t>(4)  </w:t>
      </w:r>
      <w:r w:rsidR="00D833A0" w:rsidRPr="006A5AC8">
        <w:rPr>
          <w:lang w:val="bg-BG"/>
        </w:rPr>
        <w:t>Дисциплинарните нарушения са</w:t>
      </w:r>
      <w:r w:rsidRPr="006A5AC8">
        <w:rPr>
          <w:lang w:val="bg-BG"/>
        </w:rPr>
        <w:t>:</w:t>
      </w:r>
    </w:p>
    <w:p w14:paraId="788A98FE" w14:textId="77777777" w:rsidR="005C5787" w:rsidRPr="006A5AC8" w:rsidRDefault="005C5787" w:rsidP="00EE31D5">
      <w:pPr>
        <w:pStyle w:val="JuQuot"/>
        <w:rPr>
          <w:lang w:val="bg-BG"/>
        </w:rPr>
      </w:pPr>
      <w:r w:rsidRPr="006A5AC8">
        <w:rPr>
          <w:lang w:val="bg-BG"/>
        </w:rPr>
        <w:t>1.  </w:t>
      </w:r>
      <w:r w:rsidR="0012793D" w:rsidRPr="006A5AC8">
        <w:rPr>
          <w:lang w:val="bg-BG"/>
        </w:rPr>
        <w:t>с</w:t>
      </w:r>
      <w:r w:rsidR="004D5EFD" w:rsidRPr="006A5AC8">
        <w:rPr>
          <w:lang w:val="bg-BG"/>
        </w:rPr>
        <w:t>истемно неспазване на сроковете, предвидени в процесуалните закони</w:t>
      </w:r>
      <w:r w:rsidRPr="006A5AC8">
        <w:rPr>
          <w:lang w:val="bg-BG"/>
        </w:rPr>
        <w:t>;</w:t>
      </w:r>
    </w:p>
    <w:p w14:paraId="781C4C38" w14:textId="77777777" w:rsidR="005C5787" w:rsidRPr="006A5AC8" w:rsidRDefault="005C5787" w:rsidP="00EE31D5">
      <w:pPr>
        <w:pStyle w:val="JuQuot"/>
        <w:rPr>
          <w:lang w:val="bg-BG"/>
        </w:rPr>
      </w:pPr>
      <w:r w:rsidRPr="006A5AC8">
        <w:rPr>
          <w:lang w:val="bg-BG"/>
        </w:rPr>
        <w:t>2.  </w:t>
      </w:r>
      <w:r w:rsidR="004D5EFD" w:rsidRPr="006A5AC8">
        <w:rPr>
          <w:lang w:val="bg-BG"/>
        </w:rPr>
        <w:t>действие или бездействие, което неоправдано забавя производството</w:t>
      </w:r>
      <w:r w:rsidRPr="006A5AC8">
        <w:rPr>
          <w:lang w:val="bg-BG"/>
        </w:rPr>
        <w:t>;</w:t>
      </w:r>
    </w:p>
    <w:p w14:paraId="70A4FB99" w14:textId="77777777" w:rsidR="005C5787" w:rsidRPr="006A5AC8" w:rsidRDefault="005C5787" w:rsidP="00EE31D5">
      <w:pPr>
        <w:pStyle w:val="JuQuot"/>
        <w:rPr>
          <w:lang w:val="bg-BG"/>
        </w:rPr>
      </w:pPr>
      <w:r w:rsidRPr="006A5AC8">
        <w:rPr>
          <w:lang w:val="bg-BG"/>
        </w:rPr>
        <w:t>3.  </w:t>
      </w:r>
      <w:r w:rsidR="004D5EFD" w:rsidRPr="006A5AC8">
        <w:rPr>
          <w:lang w:val="bg-BG"/>
        </w:rPr>
        <w:t>нарушаване на Кодекса за етично поведение на българските магистрати, накърняващо престижа на съдебната власт</w:t>
      </w:r>
      <w:r w:rsidRPr="006A5AC8">
        <w:rPr>
          <w:lang w:val="bg-BG"/>
        </w:rPr>
        <w:t>;</w:t>
      </w:r>
    </w:p>
    <w:p w14:paraId="04551525" w14:textId="77777777" w:rsidR="005C5787" w:rsidRPr="006A5AC8" w:rsidRDefault="005C5787" w:rsidP="00EE31D5">
      <w:pPr>
        <w:pStyle w:val="JuQuot"/>
        <w:rPr>
          <w:lang w:val="bg-BG"/>
        </w:rPr>
      </w:pPr>
      <w:r w:rsidRPr="006A5AC8">
        <w:rPr>
          <w:lang w:val="bg-BG"/>
        </w:rPr>
        <w:t>4.  </w:t>
      </w:r>
      <w:r w:rsidR="007D6281" w:rsidRPr="006A5AC8">
        <w:rPr>
          <w:lang w:val="bg-BG"/>
        </w:rPr>
        <w:t>действие или бездействие, което накърнява престижа на съдебната власт</w:t>
      </w:r>
      <w:r w:rsidRPr="006A5AC8">
        <w:rPr>
          <w:lang w:val="bg-BG"/>
        </w:rPr>
        <w:t>;</w:t>
      </w:r>
    </w:p>
    <w:p w14:paraId="4F18E9F5" w14:textId="77777777" w:rsidR="005C5787" w:rsidRPr="006A5AC8" w:rsidRDefault="005C5787" w:rsidP="00EE31D5">
      <w:pPr>
        <w:pStyle w:val="JuQuot"/>
        <w:rPr>
          <w:lang w:val="bg-BG"/>
        </w:rPr>
      </w:pPr>
      <w:r w:rsidRPr="006A5AC8">
        <w:rPr>
          <w:lang w:val="bg-BG"/>
        </w:rPr>
        <w:t>5.  </w:t>
      </w:r>
      <w:r w:rsidR="007D6281" w:rsidRPr="006A5AC8">
        <w:rPr>
          <w:lang w:val="bg-BG"/>
        </w:rPr>
        <w:t>неизпълнение на други служебни задължения</w:t>
      </w:r>
      <w:r w:rsidRPr="006A5AC8">
        <w:rPr>
          <w:lang w:val="bg-BG"/>
        </w:rPr>
        <w:t>.</w:t>
      </w:r>
    </w:p>
    <w:p w14:paraId="09D43AB8" w14:textId="77777777" w:rsidR="005C5787" w:rsidRPr="006A5AC8" w:rsidRDefault="005C5787" w:rsidP="00EE31D5">
      <w:pPr>
        <w:pStyle w:val="JuQuot"/>
        <w:rPr>
          <w:lang w:val="bg-BG"/>
        </w:rPr>
      </w:pPr>
      <w:r w:rsidRPr="006A5AC8">
        <w:rPr>
          <w:lang w:val="bg-BG"/>
        </w:rPr>
        <w:t>(...)</w:t>
      </w:r>
    </w:p>
    <w:p w14:paraId="2DDD48BC" w14:textId="77777777" w:rsidR="005C5787" w:rsidRPr="006A5AC8" w:rsidRDefault="005C5787" w:rsidP="00EE31D5">
      <w:pPr>
        <w:pStyle w:val="JuQuot"/>
        <w:rPr>
          <w:lang w:val="bg-BG"/>
        </w:rPr>
      </w:pPr>
      <w:r w:rsidRPr="006A5AC8">
        <w:rPr>
          <w:lang w:val="bg-BG"/>
        </w:rPr>
        <w:t>(6)  </w:t>
      </w:r>
      <w:r w:rsidR="00F629BE" w:rsidRPr="006A5AC8">
        <w:rPr>
          <w:lang w:val="bg-BG"/>
        </w:rPr>
        <w:t>о</w:t>
      </w:r>
      <w:r w:rsidR="003C0D1F" w:rsidRPr="006A5AC8">
        <w:rPr>
          <w:lang w:val="bg-BG"/>
        </w:rPr>
        <w:t>свен за нарушенията по ал. 4 дисциплинарна отговорност се носи и от</w:t>
      </w:r>
      <w:r w:rsidRPr="006A5AC8">
        <w:rPr>
          <w:lang w:val="bg-BG"/>
        </w:rPr>
        <w:t>:</w:t>
      </w:r>
    </w:p>
    <w:p w14:paraId="1D3C2E5D" w14:textId="77777777" w:rsidR="005C5787" w:rsidRPr="006A5AC8" w:rsidRDefault="005C5787" w:rsidP="00EE31D5">
      <w:pPr>
        <w:pStyle w:val="JuQuot"/>
        <w:rPr>
          <w:lang w:val="bg-BG"/>
        </w:rPr>
      </w:pPr>
      <w:r w:rsidRPr="006A5AC8">
        <w:rPr>
          <w:lang w:val="bg-BG"/>
        </w:rPr>
        <w:t>(...)</w:t>
      </w:r>
    </w:p>
    <w:p w14:paraId="28CB6600" w14:textId="77777777" w:rsidR="005C5787" w:rsidRPr="006A5AC8" w:rsidRDefault="005C5787" w:rsidP="00EE31D5">
      <w:pPr>
        <w:pStyle w:val="JuQuot"/>
        <w:rPr>
          <w:lang w:val="bg-BG"/>
        </w:rPr>
      </w:pPr>
      <w:r w:rsidRPr="006A5AC8">
        <w:rPr>
          <w:lang w:val="bg-BG"/>
        </w:rPr>
        <w:t>2.  </w:t>
      </w:r>
      <w:r w:rsidR="003C0D1F" w:rsidRPr="006A5AC8">
        <w:rPr>
          <w:lang w:val="bg-BG"/>
        </w:rPr>
        <w:t>военен съдия, воен</w:t>
      </w:r>
      <w:r w:rsidR="00853838" w:rsidRPr="006A5AC8">
        <w:rPr>
          <w:lang w:val="bg-BG"/>
        </w:rPr>
        <w:t>ен прокурор и военен следовател</w:t>
      </w:r>
      <w:r w:rsidR="003C0D1F" w:rsidRPr="006A5AC8">
        <w:rPr>
          <w:lang w:val="bg-BG"/>
        </w:rPr>
        <w:t>- за нарушения, предвидени в специалните закони и устави</w:t>
      </w:r>
      <w:r w:rsidR="00FA4455" w:rsidRPr="006A5AC8">
        <w:rPr>
          <w:lang w:val="bg-BG"/>
        </w:rPr>
        <w:t>.“</w:t>
      </w:r>
    </w:p>
    <w:p w14:paraId="1E14DB07" w14:textId="77777777" w:rsidR="005C5787" w:rsidRPr="006A5AC8" w:rsidRDefault="00593E3E" w:rsidP="00F629BE">
      <w:pPr>
        <w:pStyle w:val="JuHA"/>
        <w:rPr>
          <w:lang w:val="bg-BG"/>
        </w:rPr>
      </w:pPr>
      <w:r w:rsidRPr="006A5AC8">
        <w:rPr>
          <w:lang w:val="bg-BG"/>
        </w:rPr>
        <w:lastRenderedPageBreak/>
        <w:t>Правомощия на военните съдилища да съдят цивилни</w:t>
      </w:r>
      <w:r w:rsidR="00F629BE" w:rsidRPr="006A5AC8">
        <w:rPr>
          <w:lang w:val="bg-BG"/>
        </w:rPr>
        <w:t xml:space="preserve"> лица на международно равнище</w:t>
      </w:r>
    </w:p>
    <w:p w14:paraId="21236AE5" w14:textId="77777777" w:rsidR="00651D01" w:rsidRPr="006A5AC8" w:rsidRDefault="00651D01" w:rsidP="00651D01">
      <w:pPr>
        <w:pStyle w:val="JuH1"/>
        <w:rPr>
          <w:lang w:val="bg-BG"/>
        </w:rPr>
      </w:pPr>
      <w:r w:rsidRPr="006A5AC8">
        <w:rPr>
          <w:lang w:val="bg-BG"/>
        </w:rPr>
        <w:t>Проект на принципи за правораздаване от страна на военните съдилища: доклад, представен от специалния докладчик на Подкомисията на Организацията на обединените нации за насърчаване и защита на правата на човека (Доклад E/CN.4/2006/58)</w:t>
      </w:r>
    </w:p>
    <w:bookmarkStart w:id="7" w:name="Para16"/>
    <w:p w14:paraId="66C89461"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17</w:t>
      </w:r>
      <w:r w:rsidRPr="006A5AC8">
        <w:rPr>
          <w:lang w:val="bg-BG"/>
        </w:rPr>
        <w:fldChar w:fldCharType="end"/>
      </w:r>
      <w:bookmarkEnd w:id="7"/>
      <w:r w:rsidRPr="006A5AC8">
        <w:rPr>
          <w:lang w:val="bg-BG"/>
        </w:rPr>
        <w:t>.  </w:t>
      </w:r>
      <w:r w:rsidR="00F50CFD" w:rsidRPr="006A5AC8">
        <w:rPr>
          <w:lang w:val="bg-BG"/>
        </w:rPr>
        <w:t>Относимите към делото пасажи от този проект на принципи са</w:t>
      </w:r>
      <w:r w:rsidRPr="006A5AC8">
        <w:rPr>
          <w:lang w:val="bg-BG"/>
        </w:rPr>
        <w:t>:</w:t>
      </w:r>
    </w:p>
    <w:p w14:paraId="37F12821" w14:textId="498FEEE0" w:rsidR="004E576D" w:rsidRPr="006A5AC8" w:rsidRDefault="004E576D" w:rsidP="00EE31D5">
      <w:pPr>
        <w:pStyle w:val="JuHArticle"/>
        <w:keepNext w:val="0"/>
        <w:rPr>
          <w:lang w:val="bg-BG"/>
        </w:rPr>
      </w:pPr>
      <w:r w:rsidRPr="006A5AC8">
        <w:rPr>
          <w:lang w:val="bg-BG"/>
        </w:rPr>
        <w:t xml:space="preserve">Принцип № 1. Създаване на военни съдилища от </w:t>
      </w:r>
      <w:r w:rsidR="00DB5A65">
        <w:rPr>
          <w:lang w:val="bg-BG"/>
        </w:rPr>
        <w:t>К</w:t>
      </w:r>
      <w:r w:rsidRPr="006A5AC8">
        <w:rPr>
          <w:lang w:val="bg-BG"/>
        </w:rPr>
        <w:t>онституцията или законодателството</w:t>
      </w:r>
    </w:p>
    <w:p w14:paraId="399D3A21" w14:textId="31CBD441" w:rsidR="0062044D" w:rsidRPr="006A5AC8" w:rsidRDefault="004E576D" w:rsidP="00EE31D5">
      <w:pPr>
        <w:pStyle w:val="JuQuot"/>
        <w:rPr>
          <w:lang w:val="bg-BG"/>
        </w:rPr>
      </w:pPr>
      <w:r w:rsidRPr="006A5AC8">
        <w:rPr>
          <w:lang w:val="bg-BG"/>
        </w:rPr>
        <w:t xml:space="preserve"> </w:t>
      </w:r>
      <w:r w:rsidR="0062044D" w:rsidRPr="006A5AC8">
        <w:rPr>
          <w:lang w:val="bg-BG"/>
        </w:rPr>
        <w:t xml:space="preserve">„Военните съдилища, когато съществуват, могат да бъдат създадени само от </w:t>
      </w:r>
      <w:r w:rsidR="00DB5A65">
        <w:rPr>
          <w:lang w:val="bg-BG"/>
        </w:rPr>
        <w:t>К</w:t>
      </w:r>
      <w:r w:rsidR="0062044D" w:rsidRPr="006A5AC8">
        <w:rPr>
          <w:lang w:val="bg-BG"/>
        </w:rPr>
        <w:t xml:space="preserve">онституцията или законодателството при спазване на принципа за </w:t>
      </w:r>
      <w:r w:rsidR="00144498" w:rsidRPr="006A5AC8">
        <w:rPr>
          <w:lang w:val="bg-BG"/>
        </w:rPr>
        <w:t>раздел</w:t>
      </w:r>
      <w:r w:rsidR="00144498">
        <w:rPr>
          <w:lang w:val="bg-BG"/>
        </w:rPr>
        <w:t xml:space="preserve">ение </w:t>
      </w:r>
      <w:r w:rsidR="0062044D" w:rsidRPr="006A5AC8">
        <w:rPr>
          <w:lang w:val="bg-BG"/>
        </w:rPr>
        <w:t>на властите. Те трябва да бъдат неразделна част от нормалната съдебна система</w:t>
      </w:r>
      <w:r w:rsidR="00853838" w:rsidRPr="006A5AC8">
        <w:rPr>
          <w:lang w:val="bg-BG"/>
        </w:rPr>
        <w:t>.</w:t>
      </w:r>
      <w:r w:rsidR="0062044D" w:rsidRPr="006A5AC8">
        <w:rPr>
          <w:lang w:val="bg-BG"/>
        </w:rPr>
        <w:t xml:space="preserve">“ </w:t>
      </w:r>
    </w:p>
    <w:p w14:paraId="5FCBCA0B" w14:textId="77777777" w:rsidR="005C5787" w:rsidRPr="006A5AC8" w:rsidRDefault="0062044D" w:rsidP="00EE31D5">
      <w:pPr>
        <w:pStyle w:val="JuHArticle"/>
        <w:rPr>
          <w:lang w:val="bg-BG"/>
        </w:rPr>
      </w:pPr>
      <w:r w:rsidRPr="006A5AC8">
        <w:rPr>
          <w:lang w:val="bg-BG"/>
        </w:rPr>
        <w:t>Принцип №</w:t>
      </w:r>
      <w:r w:rsidR="005C5787" w:rsidRPr="006A5AC8">
        <w:rPr>
          <w:lang w:val="bg-BG"/>
        </w:rPr>
        <w:t xml:space="preserve"> 2. </w:t>
      </w:r>
      <w:r w:rsidRPr="006A5AC8">
        <w:rPr>
          <w:lang w:val="bg-BG"/>
        </w:rPr>
        <w:t>Спазване на нормите на международното право</w:t>
      </w:r>
    </w:p>
    <w:p w14:paraId="281301D5" w14:textId="77777777" w:rsidR="00853838" w:rsidRPr="006A5AC8" w:rsidRDefault="00853838" w:rsidP="00EE31D5">
      <w:pPr>
        <w:pStyle w:val="JuQuot"/>
        <w:rPr>
          <w:lang w:val="bg-BG"/>
        </w:rPr>
      </w:pPr>
      <w:r w:rsidRPr="006A5AC8">
        <w:rPr>
          <w:lang w:val="bg-BG"/>
        </w:rPr>
        <w:t>„Военните съдилища трябва да прилагат международно признатите норми и процедури като гаранция за справедлив съдебен процес при всякакви обстоятелства, включително правилата на международното хуманитарно право.“</w:t>
      </w:r>
    </w:p>
    <w:p w14:paraId="7C3A0930" w14:textId="77777777" w:rsidR="00311FAA" w:rsidRPr="006A5AC8" w:rsidRDefault="00853838" w:rsidP="00EE31D5">
      <w:pPr>
        <w:pStyle w:val="JuHArticle"/>
        <w:rPr>
          <w:lang w:val="bg-BG"/>
        </w:rPr>
      </w:pPr>
      <w:r w:rsidRPr="006A5AC8">
        <w:rPr>
          <w:lang w:val="bg-BG"/>
        </w:rPr>
        <w:t xml:space="preserve">Принцип № </w:t>
      </w:r>
      <w:r w:rsidR="005C5787" w:rsidRPr="006A5AC8">
        <w:rPr>
          <w:lang w:val="bg-BG"/>
        </w:rPr>
        <w:t xml:space="preserve">5. </w:t>
      </w:r>
      <w:r w:rsidRPr="006A5AC8">
        <w:rPr>
          <w:lang w:val="bg-BG"/>
        </w:rPr>
        <w:t xml:space="preserve">Случаи, в които цивилните лица не попадат под </w:t>
      </w:r>
    </w:p>
    <w:p w14:paraId="597F7B36" w14:textId="77777777" w:rsidR="005C5787" w:rsidRPr="006A5AC8" w:rsidRDefault="00311FAA" w:rsidP="00EE31D5">
      <w:pPr>
        <w:pStyle w:val="JuHArticle"/>
        <w:rPr>
          <w:lang w:val="bg-BG"/>
        </w:rPr>
      </w:pPr>
      <w:r w:rsidRPr="006A5AC8">
        <w:rPr>
          <w:lang w:val="bg-BG"/>
        </w:rPr>
        <w:t xml:space="preserve">юрисдикцията </w:t>
      </w:r>
      <w:r w:rsidR="00853838" w:rsidRPr="006A5AC8">
        <w:rPr>
          <w:lang w:val="bg-BG"/>
        </w:rPr>
        <w:t>на военните съдилища</w:t>
      </w:r>
    </w:p>
    <w:p w14:paraId="0AA69B5D" w14:textId="77777777" w:rsidR="007433DC" w:rsidRPr="006A5AC8" w:rsidRDefault="000B0876" w:rsidP="00EE31D5">
      <w:pPr>
        <w:pStyle w:val="JuQuot"/>
        <w:rPr>
          <w:lang w:val="bg-BG"/>
        </w:rPr>
      </w:pPr>
      <w:r w:rsidRPr="006A5AC8">
        <w:rPr>
          <w:lang w:val="bg-BG"/>
        </w:rPr>
        <w:t>„</w:t>
      </w:r>
      <w:r w:rsidR="007433DC" w:rsidRPr="006A5AC8">
        <w:rPr>
          <w:lang w:val="bg-BG"/>
        </w:rPr>
        <w:t xml:space="preserve">Принципно цивилните лица трябва да не попадат под </w:t>
      </w:r>
      <w:r w:rsidR="00D33F96">
        <w:rPr>
          <w:lang w:val="bg-BG"/>
        </w:rPr>
        <w:t>юрисдикцията</w:t>
      </w:r>
      <w:r w:rsidR="007433DC" w:rsidRPr="006A5AC8">
        <w:rPr>
          <w:lang w:val="bg-BG"/>
        </w:rPr>
        <w:t xml:space="preserve"> на военните съдилища. При всички обстоятелства държавата гарантира, че цивилните </w:t>
      </w:r>
      <w:r w:rsidRPr="006A5AC8">
        <w:rPr>
          <w:lang w:val="bg-BG"/>
        </w:rPr>
        <w:t>лица, обвинени в</w:t>
      </w:r>
      <w:r w:rsidR="007433DC" w:rsidRPr="006A5AC8">
        <w:rPr>
          <w:lang w:val="bg-BG"/>
        </w:rPr>
        <w:t xml:space="preserve"> престъпление</w:t>
      </w:r>
      <w:r w:rsidRPr="006A5AC8">
        <w:rPr>
          <w:lang w:val="bg-BG"/>
        </w:rPr>
        <w:t xml:space="preserve"> от каквото и да е</w:t>
      </w:r>
      <w:r w:rsidR="007433DC" w:rsidRPr="006A5AC8">
        <w:rPr>
          <w:lang w:val="bg-BG"/>
        </w:rPr>
        <w:t xml:space="preserve"> естество, ще бъдат съдени от гражданските съдилища</w:t>
      </w:r>
      <w:r w:rsidRPr="006A5AC8">
        <w:rPr>
          <w:lang w:val="bg-BG"/>
        </w:rPr>
        <w:t>.“</w:t>
      </w:r>
    </w:p>
    <w:p w14:paraId="34A302F9" w14:textId="77777777" w:rsidR="005C5787" w:rsidRPr="006A5AC8" w:rsidRDefault="00554288" w:rsidP="00EE31D5">
      <w:pPr>
        <w:pStyle w:val="JuHArticle"/>
        <w:rPr>
          <w:lang w:val="bg-BG"/>
        </w:rPr>
      </w:pPr>
      <w:r w:rsidRPr="006A5AC8">
        <w:rPr>
          <w:lang w:val="bg-BG"/>
        </w:rPr>
        <w:t xml:space="preserve">Принцип № </w:t>
      </w:r>
      <w:r w:rsidR="005C5787" w:rsidRPr="006A5AC8">
        <w:rPr>
          <w:lang w:val="bg-BG"/>
        </w:rPr>
        <w:t xml:space="preserve">8. </w:t>
      </w:r>
      <w:r w:rsidRPr="006A5AC8">
        <w:rPr>
          <w:lang w:val="bg-BG"/>
        </w:rPr>
        <w:t>Функционална компетентност на военните съдилища</w:t>
      </w:r>
    </w:p>
    <w:p w14:paraId="6CB5C92B" w14:textId="77777777" w:rsidR="00554288" w:rsidRPr="006A5AC8" w:rsidRDefault="009C7AFD" w:rsidP="00EE31D5">
      <w:pPr>
        <w:pStyle w:val="JuQuot"/>
        <w:rPr>
          <w:lang w:val="bg-BG"/>
        </w:rPr>
      </w:pPr>
      <w:r w:rsidRPr="006A5AC8">
        <w:rPr>
          <w:lang w:val="bg-BG"/>
        </w:rPr>
        <w:t>„</w:t>
      </w:r>
      <w:r w:rsidR="00554288" w:rsidRPr="006A5AC8">
        <w:rPr>
          <w:lang w:val="bg-BG"/>
        </w:rPr>
        <w:t xml:space="preserve">Компетентността на военните съдилища </w:t>
      </w:r>
      <w:r w:rsidRPr="006A5AC8">
        <w:rPr>
          <w:lang w:val="bg-BG"/>
        </w:rPr>
        <w:t>трябва</w:t>
      </w:r>
      <w:r w:rsidR="00554288" w:rsidRPr="006A5AC8">
        <w:rPr>
          <w:lang w:val="bg-BG"/>
        </w:rPr>
        <w:t xml:space="preserve"> да бъде ограничена до военни престъпления, извършени от военнослужещи. Военните съдилища могат да съдят лица, присвоени на военно положение за престъпления, строго свързани с упражняването на </w:t>
      </w:r>
      <w:r w:rsidR="00E102E8" w:rsidRPr="006A5AC8">
        <w:rPr>
          <w:lang w:val="bg-BG"/>
        </w:rPr>
        <w:t>присвоената им длъжност</w:t>
      </w:r>
      <w:r w:rsidR="00554288" w:rsidRPr="006A5AC8">
        <w:rPr>
          <w:lang w:val="bg-BG"/>
        </w:rPr>
        <w:t>.</w:t>
      </w:r>
      <w:r w:rsidR="00E102E8" w:rsidRPr="006A5AC8">
        <w:rPr>
          <w:lang w:val="bg-BG"/>
        </w:rPr>
        <w:t>“</w:t>
      </w:r>
    </w:p>
    <w:p w14:paraId="14F3781A" w14:textId="77777777" w:rsidR="005C5787" w:rsidRPr="006A5AC8" w:rsidRDefault="00E45CFE" w:rsidP="00EE31D5">
      <w:pPr>
        <w:pStyle w:val="JuHArticle"/>
        <w:rPr>
          <w:lang w:val="bg-BG"/>
        </w:rPr>
      </w:pPr>
      <w:r w:rsidRPr="006A5AC8">
        <w:rPr>
          <w:lang w:val="bg-BG"/>
        </w:rPr>
        <w:t xml:space="preserve">Принцип № </w:t>
      </w:r>
      <w:r w:rsidR="005C5787" w:rsidRPr="006A5AC8">
        <w:rPr>
          <w:lang w:val="bg-BG"/>
        </w:rPr>
        <w:t xml:space="preserve">13. </w:t>
      </w:r>
      <w:r w:rsidRPr="006A5AC8">
        <w:rPr>
          <w:lang w:val="bg-BG"/>
        </w:rPr>
        <w:t>Право на компетентен, независим и безпристрастен съд</w:t>
      </w:r>
    </w:p>
    <w:p w14:paraId="5B532C20" w14:textId="77777777" w:rsidR="00ED5B97" w:rsidRPr="006A5AC8" w:rsidRDefault="00ED5B97" w:rsidP="00EE31D5">
      <w:pPr>
        <w:pStyle w:val="JuQuot"/>
        <w:rPr>
          <w:lang w:val="bg-BG"/>
        </w:rPr>
      </w:pPr>
      <w:r w:rsidRPr="006A5AC8">
        <w:rPr>
          <w:lang w:val="bg-BG"/>
        </w:rPr>
        <w:t xml:space="preserve">„Организацията и функционирането на военните съдилища трябва да гарантират изцяло правото на всеки човек на компетентен, независим и безпристрастен съд по време на всички етапи от производството, този на разследването и този на </w:t>
      </w:r>
      <w:r w:rsidR="00D33F96">
        <w:rPr>
          <w:lang w:val="bg-BG"/>
        </w:rPr>
        <w:t>съдебния процес</w:t>
      </w:r>
      <w:r w:rsidRPr="006A5AC8">
        <w:rPr>
          <w:lang w:val="bg-BG"/>
        </w:rPr>
        <w:t xml:space="preserve">. Лицата, избрани да изпълняват функциите на магистрати във военните съдилища, трябва да бъдат честни и компетентни и да демонстрират необходимата подготовка и юридическа квалификация. Статутът на военните магистрати трябва да гарантира тяхната независимост и безпристрастност, особено във връзка с военната йерархия. Военните съдилища не могат в никакъв случай да прибягват до </w:t>
      </w:r>
      <w:r w:rsidR="00501F43">
        <w:rPr>
          <w:lang w:val="bg-BG"/>
        </w:rPr>
        <w:t>така наречени</w:t>
      </w:r>
      <w:r w:rsidRPr="006A5AC8">
        <w:rPr>
          <w:lang w:val="bg-BG"/>
        </w:rPr>
        <w:t xml:space="preserve"> от съдии и прокурори „безлични“</w:t>
      </w:r>
      <w:r w:rsidR="00501F43" w:rsidRPr="00501F43">
        <w:rPr>
          <w:lang w:val="bg-BG"/>
        </w:rPr>
        <w:t xml:space="preserve"> </w:t>
      </w:r>
      <w:r w:rsidR="00501F43" w:rsidRPr="006A5AC8">
        <w:rPr>
          <w:lang w:val="bg-BG"/>
        </w:rPr>
        <w:t>процедури</w:t>
      </w:r>
      <w:r w:rsidRPr="006A5AC8">
        <w:rPr>
          <w:lang w:val="bg-BG"/>
        </w:rPr>
        <w:t>.“</w:t>
      </w:r>
    </w:p>
    <w:p w14:paraId="20D0A7AF" w14:textId="77777777" w:rsidR="005C5787" w:rsidRPr="006A5AC8" w:rsidRDefault="00ED5B97" w:rsidP="00ED5B97">
      <w:pPr>
        <w:pStyle w:val="JuH1"/>
        <w:rPr>
          <w:lang w:val="bg-BG"/>
        </w:rPr>
      </w:pPr>
      <w:r w:rsidRPr="006A5AC8">
        <w:rPr>
          <w:lang w:val="bg-BG"/>
        </w:rPr>
        <w:lastRenderedPageBreak/>
        <w:t xml:space="preserve">Резолюция от 23 март 2012 г, приета от Съвета по правата на човека на ООН относно целостта на съдебната система </w:t>
      </w:r>
      <w:r w:rsidR="005C5787" w:rsidRPr="006A5AC8">
        <w:rPr>
          <w:lang w:val="bg-BG"/>
        </w:rPr>
        <w:t xml:space="preserve"> (A/HRC/RES/19/31)</w:t>
      </w:r>
      <w:r w:rsidRPr="006A5AC8">
        <w:rPr>
          <w:lang w:val="bg-BG"/>
        </w:rPr>
        <w:t>.</w:t>
      </w:r>
    </w:p>
    <w:p w14:paraId="7FBDB92A"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18</w:t>
      </w:r>
      <w:r w:rsidRPr="006A5AC8">
        <w:rPr>
          <w:lang w:val="bg-BG"/>
        </w:rPr>
        <w:fldChar w:fldCharType="end"/>
      </w:r>
      <w:r w:rsidRPr="006A5AC8">
        <w:rPr>
          <w:lang w:val="bg-BG"/>
        </w:rPr>
        <w:t>.  </w:t>
      </w:r>
      <w:r w:rsidR="00ED5B97" w:rsidRPr="006A5AC8">
        <w:rPr>
          <w:lang w:val="bg-BG"/>
        </w:rPr>
        <w:t>Относимите към делото пасажи от Резолюцията относно целостта на съдебната система са:</w:t>
      </w:r>
    </w:p>
    <w:p w14:paraId="2C75833C" w14:textId="77777777" w:rsidR="005C5787" w:rsidRPr="006A5AC8" w:rsidRDefault="00ED5B97" w:rsidP="00EE31D5">
      <w:pPr>
        <w:pStyle w:val="JuQuot"/>
        <w:rPr>
          <w:lang w:val="bg-BG"/>
        </w:rPr>
      </w:pPr>
      <w:r w:rsidRPr="006A5AC8">
        <w:rPr>
          <w:lang w:val="bg-BG"/>
        </w:rPr>
        <w:t>„Съветът по правата на човека</w:t>
      </w:r>
      <w:r w:rsidR="005C5787" w:rsidRPr="006A5AC8">
        <w:rPr>
          <w:lang w:val="bg-BG"/>
        </w:rPr>
        <w:t xml:space="preserve"> (...)</w:t>
      </w:r>
    </w:p>
    <w:p w14:paraId="33385BC1" w14:textId="77777777" w:rsidR="00ED5B97" w:rsidRPr="006A5AC8" w:rsidRDefault="005C5787" w:rsidP="00EE31D5">
      <w:pPr>
        <w:pStyle w:val="JuQuot"/>
        <w:rPr>
          <w:lang w:val="bg-BG"/>
        </w:rPr>
      </w:pPr>
      <w:r w:rsidRPr="006A5AC8">
        <w:rPr>
          <w:lang w:val="bg-BG"/>
        </w:rPr>
        <w:t>1.  </w:t>
      </w:r>
      <w:r w:rsidR="00ED5B97" w:rsidRPr="006A5AC8">
        <w:rPr>
          <w:i/>
          <w:lang w:val="bg-BG"/>
        </w:rPr>
        <w:t xml:space="preserve">Отбелязва </w:t>
      </w:r>
      <w:r w:rsidR="00ED5B97" w:rsidRPr="006A5AC8">
        <w:rPr>
          <w:lang w:val="bg-BG"/>
        </w:rPr>
        <w:t>съответните секции от докладите на специалния докладчик относно независимостта на съдиите и адвокатите по този въпрос</w:t>
      </w:r>
      <w:r w:rsidR="00111DD8" w:rsidRPr="006A5AC8">
        <w:rPr>
          <w:lang w:val="bg-BG"/>
        </w:rPr>
        <w:t xml:space="preserve">, както и от </w:t>
      </w:r>
      <w:r w:rsidR="00ED5B97" w:rsidRPr="006A5AC8">
        <w:rPr>
          <w:lang w:val="bg-BG"/>
        </w:rPr>
        <w:t xml:space="preserve">доклада по въпроса за правораздаването от </w:t>
      </w:r>
      <w:r w:rsidR="00111DD8" w:rsidRPr="006A5AC8">
        <w:rPr>
          <w:lang w:val="bg-BG"/>
        </w:rPr>
        <w:t xml:space="preserve">страна на </w:t>
      </w:r>
      <w:r w:rsidR="00ED5B97" w:rsidRPr="006A5AC8">
        <w:rPr>
          <w:lang w:val="bg-BG"/>
        </w:rPr>
        <w:t>военни</w:t>
      </w:r>
      <w:r w:rsidR="00111DD8" w:rsidRPr="006A5AC8">
        <w:rPr>
          <w:lang w:val="bg-BG"/>
        </w:rPr>
        <w:t>те</w:t>
      </w:r>
      <w:r w:rsidR="00ED5B97" w:rsidRPr="006A5AC8">
        <w:rPr>
          <w:lang w:val="bg-BG"/>
        </w:rPr>
        <w:t xml:space="preserve"> съдилища, предста</w:t>
      </w:r>
      <w:r w:rsidR="00111DD8" w:rsidRPr="006A5AC8">
        <w:rPr>
          <w:lang w:val="bg-BG"/>
        </w:rPr>
        <w:t>вен от специалния докладчик на П</w:t>
      </w:r>
      <w:r w:rsidR="00ED5B97" w:rsidRPr="006A5AC8">
        <w:rPr>
          <w:lang w:val="bg-BG"/>
        </w:rPr>
        <w:t xml:space="preserve">одкомисията </w:t>
      </w:r>
      <w:r w:rsidR="00111DD8" w:rsidRPr="006A5AC8">
        <w:rPr>
          <w:lang w:val="bg-BG"/>
        </w:rPr>
        <w:t xml:space="preserve">за </w:t>
      </w:r>
      <w:r w:rsidR="00ED5B97" w:rsidRPr="006A5AC8">
        <w:rPr>
          <w:lang w:val="bg-BG"/>
        </w:rPr>
        <w:t>насърчаване и защита на правата на човека [</w:t>
      </w:r>
      <w:r w:rsidR="00111DD8" w:rsidRPr="006A5AC8">
        <w:rPr>
          <w:lang w:val="bg-BG"/>
        </w:rPr>
        <w:t>E/CN.4/2006/58</w:t>
      </w:r>
      <w:r w:rsidR="00ED5B97" w:rsidRPr="006A5AC8">
        <w:rPr>
          <w:lang w:val="bg-BG"/>
        </w:rPr>
        <w:t>]</w:t>
      </w:r>
      <w:r w:rsidR="00111DD8" w:rsidRPr="006A5AC8">
        <w:rPr>
          <w:lang w:val="bg-BG"/>
        </w:rPr>
        <w:t>;</w:t>
      </w:r>
    </w:p>
    <w:p w14:paraId="1424D57B" w14:textId="77777777" w:rsidR="005C5787" w:rsidRPr="006A5AC8" w:rsidRDefault="005C5787" w:rsidP="00EE31D5">
      <w:pPr>
        <w:pStyle w:val="JuQuot"/>
        <w:rPr>
          <w:lang w:val="bg-BG"/>
        </w:rPr>
      </w:pPr>
      <w:r w:rsidRPr="006A5AC8">
        <w:rPr>
          <w:lang w:val="bg-BG"/>
        </w:rPr>
        <w:t>(...)</w:t>
      </w:r>
    </w:p>
    <w:p w14:paraId="641E8568" w14:textId="2B74E062" w:rsidR="005C5787" w:rsidRPr="006A5AC8" w:rsidRDefault="005C5787" w:rsidP="005F42B5">
      <w:pPr>
        <w:pStyle w:val="JuQuot"/>
        <w:rPr>
          <w:lang w:val="bg-BG"/>
        </w:rPr>
      </w:pPr>
      <w:r w:rsidRPr="006A5AC8">
        <w:rPr>
          <w:lang w:val="bg-BG"/>
        </w:rPr>
        <w:t>8.  </w:t>
      </w:r>
      <w:r w:rsidR="005F42B5" w:rsidRPr="006A5AC8">
        <w:rPr>
          <w:i/>
          <w:lang w:val="bg-BG"/>
        </w:rPr>
        <w:t xml:space="preserve">Призовава </w:t>
      </w:r>
      <w:r w:rsidR="005F42B5" w:rsidRPr="006A5AC8">
        <w:rPr>
          <w:lang w:val="bg-BG"/>
        </w:rPr>
        <w:t xml:space="preserve">държавите, които са създали военни съдилища или специални съдилища, за да съдят извършителите на престъпления, да гарантират, че тези съдилища представляват неразделна част от общата съдебна система и че прилагат надлежни процедури, признати от международното право като гаранция за справедлив процес, по-специално правото на обжалване на  присъда и </w:t>
      </w:r>
      <w:r w:rsidR="00A10E36">
        <w:rPr>
          <w:lang w:val="bg-BG"/>
        </w:rPr>
        <w:t>наложено наказание</w:t>
      </w:r>
      <w:r w:rsidR="005F42B5" w:rsidRPr="00A10E36">
        <w:rPr>
          <w:lang w:val="bg-BG"/>
        </w:rPr>
        <w:t>(...)“</w:t>
      </w:r>
    </w:p>
    <w:p w14:paraId="01F0C9B1" w14:textId="107E05C2" w:rsidR="005C5787" w:rsidRPr="006A5AC8" w:rsidRDefault="00144498" w:rsidP="00EE31D5">
      <w:pPr>
        <w:pStyle w:val="JuH1"/>
        <w:rPr>
          <w:lang w:val="bg-BG"/>
        </w:rPr>
      </w:pPr>
      <w:r>
        <w:rPr>
          <w:lang w:val="bg-BG"/>
        </w:rPr>
        <w:t>Нота</w:t>
      </w:r>
      <w:r w:rsidR="008E35CF" w:rsidRPr="006A5AC8">
        <w:rPr>
          <w:lang w:val="bg-BG"/>
        </w:rPr>
        <w:t xml:space="preserve"> на Генералния секретар на Организацията на обединените нации от 7 август 2013 г.</w:t>
      </w:r>
      <w:r w:rsidR="005A1D53" w:rsidRPr="006A5AC8">
        <w:rPr>
          <w:lang w:val="bg-BG"/>
        </w:rPr>
        <w:t xml:space="preserve">, с която предава доклада на </w:t>
      </w:r>
      <w:r w:rsidR="00A10E36">
        <w:rPr>
          <w:lang w:val="bg-BG"/>
        </w:rPr>
        <w:t>С</w:t>
      </w:r>
      <w:r w:rsidR="005A1D53" w:rsidRPr="006A5AC8">
        <w:rPr>
          <w:lang w:val="bg-BG"/>
        </w:rPr>
        <w:t>пециалния докладчик относно независимостта на съдиите и адвокатите</w:t>
      </w:r>
      <w:r w:rsidR="005C5787" w:rsidRPr="006A5AC8">
        <w:rPr>
          <w:lang w:val="bg-BG"/>
        </w:rPr>
        <w:t xml:space="preserve"> (A/68/285)</w:t>
      </w:r>
    </w:p>
    <w:bookmarkStart w:id="8" w:name="Para19bis"/>
    <w:p w14:paraId="0D7635CA" w14:textId="4DAFAABC" w:rsidR="00F2306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19</w:t>
      </w:r>
      <w:r w:rsidRPr="006A5AC8">
        <w:rPr>
          <w:lang w:val="bg-BG"/>
        </w:rPr>
        <w:fldChar w:fldCharType="end"/>
      </w:r>
      <w:bookmarkEnd w:id="8"/>
      <w:r w:rsidRPr="006A5AC8">
        <w:rPr>
          <w:lang w:val="bg-BG"/>
        </w:rPr>
        <w:t>.  </w:t>
      </w:r>
      <w:r w:rsidR="00F23067" w:rsidRPr="006A5AC8">
        <w:rPr>
          <w:lang w:val="bg-BG"/>
        </w:rPr>
        <w:t xml:space="preserve">На 7 август 2013 г. Генералният секретар на Организацията на обединените нации предаде </w:t>
      </w:r>
      <w:r w:rsidR="0030406C" w:rsidRPr="006A5AC8">
        <w:rPr>
          <w:lang w:val="bg-BG"/>
        </w:rPr>
        <w:t xml:space="preserve">за разглеждане </w:t>
      </w:r>
      <w:r w:rsidR="00F23067" w:rsidRPr="006A5AC8">
        <w:rPr>
          <w:lang w:val="bg-BG"/>
        </w:rPr>
        <w:t xml:space="preserve">на Общото събрание, </w:t>
      </w:r>
      <w:r w:rsidR="0030406C" w:rsidRPr="006A5AC8">
        <w:rPr>
          <w:lang w:val="bg-BG"/>
        </w:rPr>
        <w:t>на шестдесет и осмото му заседание, доклада, из</w:t>
      </w:r>
      <w:r w:rsidR="00F23067" w:rsidRPr="006A5AC8">
        <w:rPr>
          <w:lang w:val="bg-BG"/>
        </w:rPr>
        <w:t xml:space="preserve">готвен от </w:t>
      </w:r>
      <w:r w:rsidR="00A10E36">
        <w:rPr>
          <w:lang w:val="bg-BG"/>
        </w:rPr>
        <w:t>С</w:t>
      </w:r>
      <w:r w:rsidR="00F23067" w:rsidRPr="006A5AC8">
        <w:rPr>
          <w:lang w:val="bg-BG"/>
        </w:rPr>
        <w:t xml:space="preserve">пециалния докладчик </w:t>
      </w:r>
      <w:r w:rsidR="0030406C" w:rsidRPr="006A5AC8">
        <w:rPr>
          <w:lang w:val="bg-BG"/>
        </w:rPr>
        <w:t>относно</w:t>
      </w:r>
      <w:r w:rsidR="00F23067" w:rsidRPr="006A5AC8">
        <w:rPr>
          <w:lang w:val="bg-BG"/>
        </w:rPr>
        <w:t xml:space="preserve"> независимостта на съдиите и адвокатите</w:t>
      </w:r>
      <w:r w:rsidR="0030406C" w:rsidRPr="006A5AC8">
        <w:rPr>
          <w:lang w:val="bg-BG"/>
        </w:rPr>
        <w:t>. Относимите към делото параграфи от този доклад са:</w:t>
      </w:r>
      <w:r w:rsidR="00F23067" w:rsidRPr="006A5AC8">
        <w:rPr>
          <w:lang w:val="bg-BG"/>
        </w:rPr>
        <w:t xml:space="preserve"> </w:t>
      </w:r>
    </w:p>
    <w:p w14:paraId="0AFA397D" w14:textId="4A5883E5" w:rsidR="0030406C" w:rsidRPr="006A5AC8" w:rsidRDefault="00B931C3" w:rsidP="00EE31D5">
      <w:pPr>
        <w:pStyle w:val="JuQuot"/>
        <w:rPr>
          <w:lang w:val="bg-BG"/>
        </w:rPr>
      </w:pPr>
      <w:r w:rsidRPr="006A5AC8">
        <w:rPr>
          <w:lang w:val="bg-BG"/>
        </w:rPr>
        <w:t>„</w:t>
      </w:r>
      <w:r w:rsidR="005C5787" w:rsidRPr="006A5AC8">
        <w:rPr>
          <w:lang w:val="bg-BG"/>
        </w:rPr>
        <w:t>30.  </w:t>
      </w:r>
      <w:r w:rsidR="0030406C" w:rsidRPr="006A5AC8">
        <w:rPr>
          <w:lang w:val="bg-BG"/>
        </w:rPr>
        <w:t xml:space="preserve">В много държави </w:t>
      </w:r>
      <w:r w:rsidR="004104A8">
        <w:rPr>
          <w:lang w:val="bg-BG"/>
        </w:rPr>
        <w:t>персоналната</w:t>
      </w:r>
      <w:r w:rsidR="004104A8" w:rsidRPr="006A5AC8">
        <w:rPr>
          <w:lang w:val="bg-BG"/>
        </w:rPr>
        <w:t xml:space="preserve"> </w:t>
      </w:r>
      <w:r w:rsidR="0030406C" w:rsidRPr="006A5AC8">
        <w:rPr>
          <w:lang w:val="bg-BG"/>
        </w:rPr>
        <w:t xml:space="preserve">юрисдикция на военните съдилища е ограничена до членовете на </w:t>
      </w:r>
      <w:r w:rsidR="00501F43">
        <w:rPr>
          <w:lang w:val="bg-BG"/>
        </w:rPr>
        <w:t xml:space="preserve">състава на </w:t>
      </w:r>
      <w:r w:rsidR="0030406C" w:rsidRPr="006A5AC8">
        <w:rPr>
          <w:lang w:val="bg-BG"/>
        </w:rPr>
        <w:t xml:space="preserve">въоръжените сили, обвинени в престъпления или нарушения на военната дисциплина. В някои случаи </w:t>
      </w:r>
      <w:r w:rsidR="00A10E36">
        <w:rPr>
          <w:lang w:val="bg-BG"/>
        </w:rPr>
        <w:t>К</w:t>
      </w:r>
      <w:r w:rsidR="0030406C" w:rsidRPr="006A5AC8">
        <w:rPr>
          <w:lang w:val="bg-BG"/>
        </w:rPr>
        <w:t>онституцията изрично забранява на военните съдилища да упражняват своята юрисдикция спрямо лица</w:t>
      </w:r>
      <w:r w:rsidR="00E6499B" w:rsidRPr="006A5AC8">
        <w:rPr>
          <w:lang w:val="bg-BG"/>
        </w:rPr>
        <w:t>, които не са част от</w:t>
      </w:r>
      <w:r w:rsidR="0030406C" w:rsidRPr="006A5AC8">
        <w:rPr>
          <w:lang w:val="bg-BG"/>
        </w:rPr>
        <w:t xml:space="preserve"> въоръжените сили, запазвайки осъждането на тези лица от съдилищата с обща компетентност. Така Върховният съд на Колумбия отбелязва в своет</w:t>
      </w:r>
      <w:r w:rsidR="00501F43">
        <w:rPr>
          <w:lang w:val="bg-BG"/>
        </w:rPr>
        <w:t>о</w:t>
      </w:r>
      <w:r w:rsidR="0030406C" w:rsidRPr="006A5AC8">
        <w:rPr>
          <w:lang w:val="bg-BG"/>
        </w:rPr>
        <w:t xml:space="preserve"> решение № 20 от 5 март 1987 г., че съдебният процес срещу цивилни лица пред военните съдилища е противоконституционен</w:t>
      </w:r>
      <w:r w:rsidR="00E6499B" w:rsidRPr="006A5AC8">
        <w:rPr>
          <w:lang w:val="bg-BG"/>
        </w:rPr>
        <w:t>.</w:t>
      </w:r>
    </w:p>
    <w:p w14:paraId="3C7C363E" w14:textId="5F172F32" w:rsidR="00E57F90" w:rsidRPr="006A5AC8" w:rsidRDefault="005C5787" w:rsidP="00EE31D5">
      <w:pPr>
        <w:pStyle w:val="JuQuot"/>
        <w:rPr>
          <w:lang w:val="bg-BG"/>
        </w:rPr>
      </w:pPr>
      <w:r w:rsidRPr="006A5AC8">
        <w:rPr>
          <w:lang w:val="bg-BG"/>
        </w:rPr>
        <w:t>31. </w:t>
      </w:r>
      <w:r w:rsidR="00E57F90" w:rsidRPr="006A5AC8">
        <w:rPr>
          <w:lang w:val="bg-BG"/>
        </w:rPr>
        <w:t xml:space="preserve">Понякога </w:t>
      </w:r>
      <w:r w:rsidR="004104A8">
        <w:rPr>
          <w:lang w:val="bg-BG"/>
        </w:rPr>
        <w:t>персоналната</w:t>
      </w:r>
      <w:r w:rsidR="004104A8" w:rsidRPr="006A5AC8">
        <w:rPr>
          <w:lang w:val="bg-BG"/>
        </w:rPr>
        <w:t xml:space="preserve"> </w:t>
      </w:r>
      <w:r w:rsidR="00E57F90" w:rsidRPr="006A5AC8">
        <w:rPr>
          <w:lang w:val="bg-BG"/>
        </w:rPr>
        <w:t xml:space="preserve">юрисдикция на военните съдилища се разпростира върху цивилни лица, които се третират като </w:t>
      </w:r>
      <w:r w:rsidR="00D201AA" w:rsidRPr="006A5AC8">
        <w:rPr>
          <w:lang w:val="bg-BG"/>
        </w:rPr>
        <w:t>военнослужещи</w:t>
      </w:r>
      <w:r w:rsidR="00E57F90" w:rsidRPr="006A5AC8">
        <w:rPr>
          <w:lang w:val="bg-BG"/>
        </w:rPr>
        <w:t xml:space="preserve"> поради </w:t>
      </w:r>
      <w:r w:rsidR="00D201AA" w:rsidRPr="006A5AC8">
        <w:rPr>
          <w:lang w:val="bg-BG"/>
        </w:rPr>
        <w:t>техните задължения</w:t>
      </w:r>
      <w:r w:rsidR="00E57F90" w:rsidRPr="006A5AC8">
        <w:rPr>
          <w:lang w:val="bg-BG"/>
        </w:rPr>
        <w:t xml:space="preserve"> или местоположение или поради естеството на престъпление</w:t>
      </w:r>
      <w:r w:rsidR="00D201AA" w:rsidRPr="006A5AC8">
        <w:rPr>
          <w:lang w:val="bg-BG"/>
        </w:rPr>
        <w:t>то, в което са обвинени</w:t>
      </w:r>
      <w:r w:rsidR="00E57F90" w:rsidRPr="006A5AC8">
        <w:rPr>
          <w:lang w:val="bg-BG"/>
        </w:rPr>
        <w:t xml:space="preserve">. Те могат да бъдат цивилни лица, наети от въоръжените сили или </w:t>
      </w:r>
      <w:r w:rsidR="00D201AA" w:rsidRPr="006A5AC8">
        <w:rPr>
          <w:lang w:val="bg-BG"/>
        </w:rPr>
        <w:t>работещи в</w:t>
      </w:r>
      <w:r w:rsidR="00E57F90" w:rsidRPr="006A5AC8">
        <w:rPr>
          <w:lang w:val="bg-BG"/>
        </w:rPr>
        <w:t xml:space="preserve"> или </w:t>
      </w:r>
      <w:r w:rsidR="00D201AA" w:rsidRPr="006A5AC8">
        <w:rPr>
          <w:lang w:val="bg-BG"/>
        </w:rPr>
        <w:t xml:space="preserve">в </w:t>
      </w:r>
      <w:r w:rsidR="00E57F90" w:rsidRPr="006A5AC8">
        <w:rPr>
          <w:lang w:val="bg-BG"/>
        </w:rPr>
        <w:t>близо</w:t>
      </w:r>
      <w:r w:rsidR="00D201AA" w:rsidRPr="006A5AC8">
        <w:rPr>
          <w:lang w:val="bg-BG"/>
        </w:rPr>
        <w:t>ст</w:t>
      </w:r>
      <w:r w:rsidR="00E57F90" w:rsidRPr="006A5AC8">
        <w:rPr>
          <w:lang w:val="bg-BG"/>
        </w:rPr>
        <w:t xml:space="preserve"> до военно </w:t>
      </w:r>
      <w:r w:rsidR="00D201AA" w:rsidRPr="006A5AC8">
        <w:rPr>
          <w:lang w:val="bg-BG"/>
        </w:rPr>
        <w:t>учреждение</w:t>
      </w:r>
      <w:r w:rsidR="00E57F90" w:rsidRPr="006A5AC8">
        <w:rPr>
          <w:lang w:val="bg-BG"/>
        </w:rPr>
        <w:t>, лица, извършили деяния, квалифицирани като военни престъпления, или извършител</w:t>
      </w:r>
      <w:r w:rsidR="00D201AA" w:rsidRPr="006A5AC8">
        <w:rPr>
          <w:lang w:val="bg-BG"/>
        </w:rPr>
        <w:t>и</w:t>
      </w:r>
      <w:r w:rsidR="00E57F90" w:rsidRPr="006A5AC8">
        <w:rPr>
          <w:lang w:val="bg-BG"/>
        </w:rPr>
        <w:t xml:space="preserve"> на престъпление, извършено в </w:t>
      </w:r>
      <w:r w:rsidR="00D201AA" w:rsidRPr="006A5AC8">
        <w:rPr>
          <w:lang w:val="bg-BG"/>
        </w:rPr>
        <w:t>съучастие с военнослужещи</w:t>
      </w:r>
      <w:r w:rsidR="00E57F90" w:rsidRPr="006A5AC8">
        <w:rPr>
          <w:lang w:val="bg-BG"/>
        </w:rPr>
        <w:t xml:space="preserve">. В някои </w:t>
      </w:r>
      <w:r w:rsidR="00D201AA" w:rsidRPr="006A5AC8">
        <w:rPr>
          <w:lang w:val="bg-BG"/>
        </w:rPr>
        <w:t>държави делата, свързани с тероризъм</w:t>
      </w:r>
      <w:r w:rsidR="00E57F90" w:rsidRPr="006A5AC8">
        <w:rPr>
          <w:lang w:val="bg-BG"/>
        </w:rPr>
        <w:t xml:space="preserve"> или други </w:t>
      </w:r>
      <w:r w:rsidR="00D51959">
        <w:rPr>
          <w:lang w:val="bg-BG"/>
        </w:rPr>
        <w:t>сериозни престъпления</w:t>
      </w:r>
      <w:r w:rsidR="00D51959" w:rsidRPr="006A5AC8">
        <w:rPr>
          <w:lang w:val="bg-BG"/>
        </w:rPr>
        <w:t xml:space="preserve"> </w:t>
      </w:r>
      <w:r w:rsidR="00602AED">
        <w:rPr>
          <w:lang w:val="bg-BG"/>
        </w:rPr>
        <w:t>срещу</w:t>
      </w:r>
      <w:r w:rsidR="00E57F90" w:rsidRPr="006A5AC8">
        <w:rPr>
          <w:lang w:val="bg-BG"/>
        </w:rPr>
        <w:t xml:space="preserve"> основните интереси на държавата, също са </w:t>
      </w:r>
      <w:r w:rsidR="004104A8">
        <w:rPr>
          <w:lang w:val="bg-BG"/>
        </w:rPr>
        <w:t>подсъдни</w:t>
      </w:r>
      <w:r w:rsidR="00E57F90" w:rsidRPr="006A5AC8">
        <w:rPr>
          <w:lang w:val="bg-BG"/>
        </w:rPr>
        <w:t xml:space="preserve"> на военни</w:t>
      </w:r>
      <w:r w:rsidR="00D201AA" w:rsidRPr="006A5AC8">
        <w:rPr>
          <w:lang w:val="bg-BG"/>
        </w:rPr>
        <w:t>те</w:t>
      </w:r>
      <w:r w:rsidR="00E57F90" w:rsidRPr="006A5AC8">
        <w:rPr>
          <w:lang w:val="bg-BG"/>
        </w:rPr>
        <w:t xml:space="preserve"> съдилища</w:t>
      </w:r>
      <w:r w:rsidR="00D201AA" w:rsidRPr="006A5AC8">
        <w:rPr>
          <w:lang w:val="bg-BG"/>
        </w:rPr>
        <w:t>.</w:t>
      </w:r>
    </w:p>
    <w:p w14:paraId="0439CD75" w14:textId="77777777" w:rsidR="005C5787" w:rsidRPr="006A5AC8" w:rsidRDefault="005C5787" w:rsidP="00EE31D5">
      <w:pPr>
        <w:pStyle w:val="JuQuot"/>
        <w:rPr>
          <w:lang w:val="bg-BG"/>
        </w:rPr>
      </w:pPr>
      <w:r w:rsidRPr="006A5AC8">
        <w:rPr>
          <w:lang w:val="bg-BG"/>
        </w:rPr>
        <w:lastRenderedPageBreak/>
        <w:t> </w:t>
      </w:r>
      <w:r w:rsidR="0082749A" w:rsidRPr="006A5AC8">
        <w:rPr>
          <w:lang w:val="bg-BG"/>
        </w:rPr>
        <w:t xml:space="preserve"> </w:t>
      </w:r>
      <w:r w:rsidRPr="006A5AC8">
        <w:rPr>
          <w:lang w:val="bg-BG"/>
        </w:rPr>
        <w:t>(...)</w:t>
      </w:r>
    </w:p>
    <w:p w14:paraId="388BA851" w14:textId="77777777" w:rsidR="005C5787" w:rsidRPr="006A5AC8" w:rsidRDefault="003D0358" w:rsidP="00EE31D5">
      <w:pPr>
        <w:pStyle w:val="JuQuot"/>
        <w:keepNext/>
        <w:keepLines/>
        <w:rPr>
          <w:lang w:val="bg-BG"/>
        </w:rPr>
      </w:pPr>
      <w:r w:rsidRPr="006A5AC8">
        <w:rPr>
          <w:lang w:val="bg-BG"/>
        </w:rPr>
        <w:t>Б</w:t>
      </w:r>
      <w:r w:rsidR="005C5787" w:rsidRPr="006A5AC8">
        <w:rPr>
          <w:lang w:val="bg-BG"/>
        </w:rPr>
        <w:t>.  </w:t>
      </w:r>
      <w:r w:rsidR="00311FAA" w:rsidRPr="006A5AC8">
        <w:rPr>
          <w:lang w:val="bg-BG"/>
        </w:rPr>
        <w:t>Съдебен процес срещу цивилни лица пред военните съдилища</w:t>
      </w:r>
    </w:p>
    <w:p w14:paraId="60C508B6" w14:textId="77777777" w:rsidR="005C5787" w:rsidRPr="006A5AC8" w:rsidRDefault="005C5787" w:rsidP="00EE31D5">
      <w:pPr>
        <w:pStyle w:val="JuQuot"/>
        <w:keepNext/>
        <w:keepLines/>
        <w:rPr>
          <w:lang w:val="bg-BG"/>
        </w:rPr>
      </w:pPr>
      <w:r w:rsidRPr="006A5AC8">
        <w:rPr>
          <w:lang w:val="bg-BG"/>
        </w:rPr>
        <w:t>(...)</w:t>
      </w:r>
    </w:p>
    <w:p w14:paraId="01EC0D6E" w14:textId="4350306A" w:rsidR="00594C5B" w:rsidRPr="006A5AC8" w:rsidRDefault="005C5787" w:rsidP="00EE31D5">
      <w:pPr>
        <w:pStyle w:val="JuQuot"/>
        <w:rPr>
          <w:lang w:val="bg-BG"/>
        </w:rPr>
      </w:pPr>
      <w:r w:rsidRPr="006A5AC8">
        <w:rPr>
          <w:lang w:val="bg-BG"/>
        </w:rPr>
        <w:t>47.  </w:t>
      </w:r>
      <w:r w:rsidR="00594C5B" w:rsidRPr="006A5AC8">
        <w:rPr>
          <w:lang w:val="bg-BG"/>
        </w:rPr>
        <w:t xml:space="preserve">Международните инструменти за правата на човека не разглеждат изрично въпроса за </w:t>
      </w:r>
      <w:r w:rsidR="009B32B3" w:rsidRPr="006A5AC8">
        <w:rPr>
          <w:lang w:val="bg-BG"/>
        </w:rPr>
        <w:t>правомощията</w:t>
      </w:r>
      <w:r w:rsidR="00C50CBB" w:rsidRPr="006A5AC8">
        <w:rPr>
          <w:lang w:val="bg-BG"/>
        </w:rPr>
        <w:t xml:space="preserve"> на </w:t>
      </w:r>
      <w:r w:rsidR="00594C5B" w:rsidRPr="006A5AC8">
        <w:rPr>
          <w:lang w:val="bg-BG"/>
        </w:rPr>
        <w:t>военни</w:t>
      </w:r>
      <w:r w:rsidR="009B32B3" w:rsidRPr="006A5AC8">
        <w:rPr>
          <w:lang w:val="bg-BG"/>
        </w:rPr>
        <w:t>те</w:t>
      </w:r>
      <w:r w:rsidR="00594C5B" w:rsidRPr="006A5AC8">
        <w:rPr>
          <w:lang w:val="bg-BG"/>
        </w:rPr>
        <w:t xml:space="preserve"> съдилища</w:t>
      </w:r>
      <w:r w:rsidR="009B32B3" w:rsidRPr="006A5AC8">
        <w:rPr>
          <w:lang w:val="bg-BG"/>
        </w:rPr>
        <w:t xml:space="preserve"> да съдят цивилни лица</w:t>
      </w:r>
      <w:r w:rsidR="00594C5B" w:rsidRPr="006A5AC8">
        <w:rPr>
          <w:lang w:val="bg-BG"/>
        </w:rPr>
        <w:t xml:space="preserve">. Въпреки това редица необвързващи правни инструменти и </w:t>
      </w:r>
      <w:r w:rsidR="0058386E">
        <w:rPr>
          <w:lang w:val="bg-BG"/>
        </w:rPr>
        <w:t>юриспруденцията</w:t>
      </w:r>
      <w:r w:rsidR="00594C5B" w:rsidRPr="006A5AC8">
        <w:rPr>
          <w:lang w:val="bg-BG"/>
        </w:rPr>
        <w:t xml:space="preserve"> на международни и регионални </w:t>
      </w:r>
      <w:r w:rsidR="0058386E">
        <w:rPr>
          <w:lang w:val="bg-BG"/>
        </w:rPr>
        <w:t>механиз</w:t>
      </w:r>
      <w:r w:rsidR="00A10E36">
        <w:rPr>
          <w:lang w:val="bg-BG"/>
        </w:rPr>
        <w:t>м</w:t>
      </w:r>
      <w:r w:rsidR="0058386E">
        <w:rPr>
          <w:lang w:val="bg-BG"/>
        </w:rPr>
        <w:t>и</w:t>
      </w:r>
      <w:r w:rsidR="0058386E" w:rsidRPr="006A5AC8">
        <w:rPr>
          <w:lang w:val="bg-BG"/>
        </w:rPr>
        <w:t xml:space="preserve"> </w:t>
      </w:r>
      <w:r w:rsidR="0058386E">
        <w:rPr>
          <w:lang w:val="bg-BG"/>
        </w:rPr>
        <w:t>показва</w:t>
      </w:r>
      <w:r w:rsidR="00594C5B" w:rsidRPr="006A5AC8">
        <w:rPr>
          <w:lang w:val="bg-BG"/>
        </w:rPr>
        <w:t xml:space="preserve">, че съществува </w:t>
      </w:r>
      <w:r w:rsidR="0058386E">
        <w:rPr>
          <w:lang w:val="bg-BG"/>
        </w:rPr>
        <w:t>силна тенденция</w:t>
      </w:r>
      <w:r w:rsidR="00594C5B" w:rsidRPr="006A5AC8">
        <w:rPr>
          <w:lang w:val="bg-BG"/>
        </w:rPr>
        <w:t xml:space="preserve"> </w:t>
      </w:r>
      <w:r w:rsidR="0058386E">
        <w:rPr>
          <w:lang w:val="bg-BG"/>
        </w:rPr>
        <w:t>срещу</w:t>
      </w:r>
      <w:r w:rsidR="0058386E" w:rsidRPr="006A5AC8">
        <w:rPr>
          <w:lang w:val="bg-BG"/>
        </w:rPr>
        <w:t xml:space="preserve"> </w:t>
      </w:r>
      <w:r w:rsidR="0058386E">
        <w:rPr>
          <w:lang w:val="bg-BG"/>
        </w:rPr>
        <w:t>разпростирането</w:t>
      </w:r>
      <w:r w:rsidR="0058386E" w:rsidRPr="006A5AC8">
        <w:rPr>
          <w:lang w:val="bg-BG"/>
        </w:rPr>
        <w:t xml:space="preserve"> </w:t>
      </w:r>
      <w:r w:rsidR="00C50CBB" w:rsidRPr="006A5AC8">
        <w:rPr>
          <w:lang w:val="bg-BG"/>
        </w:rPr>
        <w:t xml:space="preserve">на </w:t>
      </w:r>
      <w:r w:rsidR="00594C5B" w:rsidRPr="006A5AC8">
        <w:rPr>
          <w:lang w:val="bg-BG"/>
        </w:rPr>
        <w:t>наказателната компетентност на военните съдилища спрямо цивилни лица.</w:t>
      </w:r>
    </w:p>
    <w:p w14:paraId="57CBEA3C" w14:textId="1C97190F" w:rsidR="00594C5B" w:rsidRPr="006A5AC8" w:rsidRDefault="005C5787" w:rsidP="00EE31D5">
      <w:pPr>
        <w:pStyle w:val="JuQuot"/>
        <w:rPr>
          <w:lang w:val="bg-BG"/>
        </w:rPr>
      </w:pPr>
      <w:r w:rsidRPr="006A5AC8">
        <w:rPr>
          <w:lang w:val="bg-BG"/>
        </w:rPr>
        <w:t>48.  </w:t>
      </w:r>
      <w:r w:rsidR="00594C5B" w:rsidRPr="006A5AC8">
        <w:rPr>
          <w:lang w:val="bg-BG"/>
        </w:rPr>
        <w:t xml:space="preserve">Съгласно Основните принципи относно независимостта на съдебната власт всеки има право да бъде съден от </w:t>
      </w:r>
      <w:r w:rsidR="00C50CBB" w:rsidRPr="006A5AC8">
        <w:rPr>
          <w:lang w:val="bg-BG"/>
        </w:rPr>
        <w:t>съд с обща компетентност</w:t>
      </w:r>
      <w:r w:rsidR="00594C5B" w:rsidRPr="006A5AC8">
        <w:rPr>
          <w:lang w:val="bg-BG"/>
        </w:rPr>
        <w:t xml:space="preserve"> в съответствие с</w:t>
      </w:r>
      <w:r w:rsidR="00501F43">
        <w:rPr>
          <w:lang w:val="bg-BG"/>
        </w:rPr>
        <w:t xml:space="preserve"> установените правни процедури, като</w:t>
      </w:r>
      <w:r w:rsidR="00594C5B" w:rsidRPr="006A5AC8">
        <w:rPr>
          <w:lang w:val="bg-BG"/>
        </w:rPr>
        <w:t xml:space="preserve"> не се създават съдилища, които не използват процедурите, надлежно установени от закон</w:t>
      </w:r>
      <w:r w:rsidR="00501F43">
        <w:rPr>
          <w:lang w:val="bg-BG"/>
        </w:rPr>
        <w:t>,</w:t>
      </w:r>
      <w:r w:rsidR="00594C5B" w:rsidRPr="006A5AC8">
        <w:rPr>
          <w:lang w:val="bg-BG"/>
        </w:rPr>
        <w:t xml:space="preserve"> за</w:t>
      </w:r>
      <w:r w:rsidR="00A10E36">
        <w:rPr>
          <w:lang w:val="bg-BG"/>
        </w:rPr>
        <w:t xml:space="preserve"> да се лишат</w:t>
      </w:r>
      <w:r w:rsidR="00594C5B" w:rsidRPr="006A5AC8">
        <w:rPr>
          <w:lang w:val="bg-BG"/>
        </w:rPr>
        <w:t xml:space="preserve">  съдилища</w:t>
      </w:r>
      <w:r w:rsidR="00C50CBB" w:rsidRPr="006A5AC8">
        <w:rPr>
          <w:lang w:val="bg-BG"/>
        </w:rPr>
        <w:t>та с обща компетентност</w:t>
      </w:r>
      <w:r w:rsidR="00594C5B" w:rsidRPr="006A5AC8">
        <w:rPr>
          <w:lang w:val="bg-BG"/>
        </w:rPr>
        <w:t xml:space="preserve"> от тяхната </w:t>
      </w:r>
      <w:r w:rsidR="00501F43">
        <w:rPr>
          <w:lang w:val="bg-BG"/>
        </w:rPr>
        <w:t>юрисдикция</w:t>
      </w:r>
      <w:r w:rsidR="00594C5B" w:rsidRPr="006A5AC8">
        <w:rPr>
          <w:lang w:val="bg-BG"/>
        </w:rPr>
        <w:t xml:space="preserve"> (принцип № 5).</w:t>
      </w:r>
    </w:p>
    <w:p w14:paraId="44E5DF42" w14:textId="50E96684" w:rsidR="00E82C2A" w:rsidRPr="006A5AC8" w:rsidRDefault="005C5787" w:rsidP="00EE31D5">
      <w:pPr>
        <w:pStyle w:val="JuQuot"/>
        <w:rPr>
          <w:lang w:val="bg-BG"/>
        </w:rPr>
      </w:pPr>
      <w:r w:rsidRPr="006A5AC8">
        <w:rPr>
          <w:lang w:val="bg-BG"/>
        </w:rPr>
        <w:t>49.  </w:t>
      </w:r>
      <w:r w:rsidR="00E82C2A" w:rsidRPr="006A5AC8">
        <w:rPr>
          <w:lang w:val="bg-BG"/>
        </w:rPr>
        <w:t xml:space="preserve">В съответствие с тази теза принцип № 5 от Проекта на принципи за правораздаване от страна на военните съдилища предвижда, че по правило военните съдилища </w:t>
      </w:r>
      <w:r w:rsidR="00D25097">
        <w:rPr>
          <w:lang w:val="bg-BG"/>
        </w:rPr>
        <w:t>не трябва да имат</w:t>
      </w:r>
      <w:r w:rsidR="00C50CBB" w:rsidRPr="006A5AC8">
        <w:rPr>
          <w:lang w:val="bg-BG"/>
        </w:rPr>
        <w:t xml:space="preserve"> юрисдикцията</w:t>
      </w:r>
      <w:r w:rsidR="00E82C2A" w:rsidRPr="006A5AC8">
        <w:rPr>
          <w:lang w:val="bg-BG"/>
        </w:rPr>
        <w:t xml:space="preserve"> да съдят </w:t>
      </w:r>
      <w:r w:rsidR="00F26818" w:rsidRPr="006A5AC8">
        <w:rPr>
          <w:lang w:val="bg-BG"/>
        </w:rPr>
        <w:t>цивилни</w:t>
      </w:r>
      <w:r w:rsidR="00E82C2A" w:rsidRPr="006A5AC8">
        <w:rPr>
          <w:lang w:val="bg-BG"/>
        </w:rPr>
        <w:t xml:space="preserve"> лица и че при всички обстоятелства държавата гарантира, че цивилните</w:t>
      </w:r>
      <w:r w:rsidR="00F26818" w:rsidRPr="006A5AC8">
        <w:rPr>
          <w:lang w:val="bg-BG"/>
        </w:rPr>
        <w:t xml:space="preserve"> лица</w:t>
      </w:r>
      <w:r w:rsidR="00E82C2A" w:rsidRPr="006A5AC8">
        <w:rPr>
          <w:lang w:val="bg-BG"/>
        </w:rPr>
        <w:t>, обвинени в</w:t>
      </w:r>
      <w:r w:rsidR="00F26818" w:rsidRPr="006A5AC8">
        <w:rPr>
          <w:lang w:val="bg-BG"/>
        </w:rPr>
        <w:t xml:space="preserve"> каквото и да е</w:t>
      </w:r>
      <w:r w:rsidR="00E82C2A" w:rsidRPr="006A5AC8">
        <w:rPr>
          <w:lang w:val="bg-BG"/>
        </w:rPr>
        <w:t xml:space="preserve"> престъпление, </w:t>
      </w:r>
      <w:r w:rsidR="00F26818" w:rsidRPr="006A5AC8">
        <w:rPr>
          <w:lang w:val="bg-BG"/>
        </w:rPr>
        <w:t xml:space="preserve">се </w:t>
      </w:r>
      <w:r w:rsidR="00501F43">
        <w:rPr>
          <w:lang w:val="bg-BG"/>
        </w:rPr>
        <w:t>изправят пред</w:t>
      </w:r>
      <w:r w:rsidR="00E82C2A" w:rsidRPr="006A5AC8">
        <w:rPr>
          <w:lang w:val="bg-BG"/>
        </w:rPr>
        <w:t xml:space="preserve"> гражданските съдилища</w:t>
      </w:r>
      <w:r w:rsidR="00F26818" w:rsidRPr="006A5AC8">
        <w:rPr>
          <w:lang w:val="bg-BG"/>
        </w:rPr>
        <w:t xml:space="preserve">. В коментара към този принцип се посочва, че практиката за изправяне на цивилни лица пред военните съдилища създава сериозни проблеми по отношение на справедливото, безпристрастно и независимо правораздаване, </w:t>
      </w:r>
      <w:r w:rsidR="00501F43">
        <w:rPr>
          <w:lang w:val="bg-BG"/>
        </w:rPr>
        <w:t>като това</w:t>
      </w:r>
      <w:r w:rsidR="00F26818" w:rsidRPr="006A5AC8">
        <w:rPr>
          <w:lang w:val="bg-BG"/>
        </w:rPr>
        <w:t xml:space="preserve"> често се оправдава от необходимостта да се позволи прилагане на извънредни процедури, които не отговарят на общите правосъдни стандарти (виж E/CN.4/2006/58, параграф 20).</w:t>
      </w:r>
    </w:p>
    <w:p w14:paraId="41B2C131" w14:textId="40890443" w:rsidR="00C50CBB" w:rsidRPr="006A5AC8" w:rsidRDefault="005C5787" w:rsidP="00EE31D5">
      <w:pPr>
        <w:pStyle w:val="JuQuot"/>
        <w:rPr>
          <w:lang w:val="bg-BG"/>
        </w:rPr>
      </w:pPr>
      <w:r w:rsidRPr="006A5AC8">
        <w:rPr>
          <w:lang w:val="bg-BG"/>
        </w:rPr>
        <w:t>50.  </w:t>
      </w:r>
      <w:r w:rsidR="00C50CBB" w:rsidRPr="006A5AC8">
        <w:rPr>
          <w:lang w:val="bg-BG"/>
        </w:rPr>
        <w:t xml:space="preserve">Редица други международни инструменти също препоръчват държавите да ограничават юрисдикцията на военните съдилища </w:t>
      </w:r>
      <w:r w:rsidR="00D25097">
        <w:rPr>
          <w:lang w:val="bg-BG"/>
        </w:rPr>
        <w:t>спрям</w:t>
      </w:r>
      <w:r w:rsidR="00E31EA8">
        <w:rPr>
          <w:lang w:val="bg-BG"/>
        </w:rPr>
        <w:t>о</w:t>
      </w:r>
      <w:r w:rsidR="00D25097" w:rsidRPr="006A5AC8">
        <w:rPr>
          <w:lang w:val="bg-BG"/>
        </w:rPr>
        <w:t xml:space="preserve"> </w:t>
      </w:r>
      <w:r w:rsidR="00C50CBB" w:rsidRPr="006A5AC8">
        <w:rPr>
          <w:lang w:val="bg-BG"/>
        </w:rPr>
        <w:t>цивилни лица в полза на съдилищата с обща компетентност.</w:t>
      </w:r>
    </w:p>
    <w:p w14:paraId="01AA42F5" w14:textId="60B24A56" w:rsidR="0075232F" w:rsidRPr="006A5AC8" w:rsidRDefault="005C5787" w:rsidP="00EE31D5">
      <w:pPr>
        <w:pStyle w:val="JuQuot"/>
        <w:rPr>
          <w:lang w:val="bg-BG"/>
        </w:rPr>
      </w:pPr>
      <w:r w:rsidRPr="006A5AC8">
        <w:rPr>
          <w:lang w:val="bg-BG"/>
        </w:rPr>
        <w:t>51.  </w:t>
      </w:r>
      <w:r w:rsidR="0075232F" w:rsidRPr="006A5AC8">
        <w:rPr>
          <w:lang w:val="bg-BG"/>
        </w:rPr>
        <w:t xml:space="preserve">В параграф 22 от своя общ коментар № 32 Комитетът по правата на човека отбелязва, че, въпреки Международният пакт за граждански и политически права </w:t>
      </w:r>
      <w:r w:rsidR="00E31EA8">
        <w:rPr>
          <w:lang w:val="bg-BG"/>
        </w:rPr>
        <w:t xml:space="preserve">да </w:t>
      </w:r>
      <w:r w:rsidR="0075232F" w:rsidRPr="006A5AC8">
        <w:rPr>
          <w:lang w:val="bg-BG"/>
        </w:rPr>
        <w:t xml:space="preserve">не забранява съдебните процеси срещу граждански лица </w:t>
      </w:r>
      <w:r w:rsidR="00E31EA8">
        <w:rPr>
          <w:lang w:val="bg-BG"/>
        </w:rPr>
        <w:t>пред</w:t>
      </w:r>
      <w:r w:rsidR="0075232F" w:rsidRPr="006A5AC8">
        <w:rPr>
          <w:lang w:val="bg-BG"/>
        </w:rPr>
        <w:t xml:space="preserve"> военни или специални съдилища, той изисква тези съдебни процеси да съответстват напълно на разпоредбите на член 14 от Пакта и гаранциите, предвидени в този член, да не бъдат нито ограничени, нито изменени </w:t>
      </w:r>
      <w:r w:rsidR="00E31EA8">
        <w:rPr>
          <w:lang w:val="bg-BG"/>
        </w:rPr>
        <w:t>поради</w:t>
      </w:r>
      <w:r w:rsidR="00E31EA8" w:rsidRPr="006A5AC8">
        <w:rPr>
          <w:lang w:val="bg-BG"/>
        </w:rPr>
        <w:t xml:space="preserve"> </w:t>
      </w:r>
      <w:r w:rsidR="0075232F" w:rsidRPr="006A5AC8">
        <w:rPr>
          <w:lang w:val="bg-BG"/>
        </w:rPr>
        <w:t xml:space="preserve">военния или </w:t>
      </w:r>
      <w:r w:rsidR="00C40AAA" w:rsidRPr="006A5AC8">
        <w:rPr>
          <w:lang w:val="bg-BG"/>
        </w:rPr>
        <w:t>специалния</w:t>
      </w:r>
      <w:r w:rsidR="0075232F" w:rsidRPr="006A5AC8">
        <w:rPr>
          <w:lang w:val="bg-BG"/>
        </w:rPr>
        <w:t xml:space="preserve"> характер на въпросния съд.</w:t>
      </w:r>
      <w:r w:rsidR="00C40AAA" w:rsidRPr="006A5AC8">
        <w:rPr>
          <w:lang w:val="bg-BG"/>
        </w:rPr>
        <w:t xml:space="preserve"> Комитетът също така уточнява, че </w:t>
      </w:r>
      <w:r w:rsidR="00C71778">
        <w:rPr>
          <w:lang w:val="bg-BG"/>
        </w:rPr>
        <w:t>разглеждането на процес срещу</w:t>
      </w:r>
      <w:r w:rsidR="00C40AAA" w:rsidRPr="006A5AC8">
        <w:rPr>
          <w:lang w:val="bg-BG"/>
        </w:rPr>
        <w:t xml:space="preserve"> цивилни граждани от военни или специални съдилища трябва да бъде </w:t>
      </w:r>
      <w:r w:rsidR="00C71778">
        <w:rPr>
          <w:lang w:val="bg-BG"/>
        </w:rPr>
        <w:t>по изключение</w:t>
      </w:r>
      <w:r w:rsidR="00C40AAA" w:rsidRPr="006A5AC8">
        <w:rPr>
          <w:lang w:val="bg-BG"/>
        </w:rPr>
        <w:t>, тоест ограничен</w:t>
      </w:r>
      <w:r w:rsidR="00C71778">
        <w:rPr>
          <w:lang w:val="bg-BG"/>
        </w:rPr>
        <w:t>о</w:t>
      </w:r>
      <w:r w:rsidR="00C40AAA" w:rsidRPr="006A5AC8">
        <w:rPr>
          <w:lang w:val="bg-BG"/>
        </w:rPr>
        <w:t xml:space="preserve"> до случаите, в които държавата</w:t>
      </w:r>
      <w:r w:rsidR="002B3637" w:rsidRPr="006A5AC8">
        <w:rPr>
          <w:lang w:val="bg-BG"/>
        </w:rPr>
        <w:t>-страна по</w:t>
      </w:r>
      <w:r w:rsidR="00C40AAA" w:rsidRPr="006A5AC8">
        <w:rPr>
          <w:lang w:val="bg-BG"/>
        </w:rPr>
        <w:t xml:space="preserve"> Пакта може да докаже, че прибягването до такива съдилища се налага и обосновава </w:t>
      </w:r>
      <w:r w:rsidR="00D25097">
        <w:rPr>
          <w:lang w:val="bg-BG"/>
        </w:rPr>
        <w:t>от</w:t>
      </w:r>
      <w:r w:rsidR="00C40AAA" w:rsidRPr="006A5AC8">
        <w:rPr>
          <w:lang w:val="bg-BG"/>
        </w:rPr>
        <w:t xml:space="preserve"> обективни и сериозни причини</w:t>
      </w:r>
      <w:r w:rsidR="00C71778">
        <w:rPr>
          <w:lang w:val="bg-BG"/>
        </w:rPr>
        <w:t>,</w:t>
      </w:r>
      <w:r w:rsidR="00C40AAA" w:rsidRPr="006A5AC8">
        <w:rPr>
          <w:lang w:val="bg-BG"/>
        </w:rPr>
        <w:t xml:space="preserve"> и в които гражданските съдилища с обща компетентност не са в състояние да </w:t>
      </w:r>
      <w:r w:rsidR="00501F43">
        <w:rPr>
          <w:lang w:val="bg-BG"/>
        </w:rPr>
        <w:t>разгледат</w:t>
      </w:r>
      <w:r w:rsidR="00C40AAA" w:rsidRPr="006A5AC8">
        <w:rPr>
          <w:lang w:val="bg-BG"/>
        </w:rPr>
        <w:t xml:space="preserve"> тези съдебни процеси по отношение на конкретната категория лица и въпросните престъпления.</w:t>
      </w:r>
      <w:r w:rsidR="007C413E" w:rsidRPr="006A5AC8">
        <w:rPr>
          <w:lang w:val="bg-BG"/>
        </w:rPr>
        <w:t xml:space="preserve"> Следователно държавата-страна, която изправя цивилни лица пред военните съдилища, се задължава да </w:t>
      </w:r>
      <w:r w:rsidR="00501F43">
        <w:rPr>
          <w:lang w:val="bg-BG"/>
        </w:rPr>
        <w:t>докаже</w:t>
      </w:r>
      <w:r w:rsidR="007C413E" w:rsidRPr="006A5AC8">
        <w:rPr>
          <w:lang w:val="bg-BG"/>
        </w:rPr>
        <w:t xml:space="preserve"> по отношение на специфичната категория на въпросните лица, че: (а) съдилищата с обща компетентност не са компетентни да разглеждат делото; б) сезирането на други алтернативни форми на съдилища с обща компетентност с висока сигурност или специални такива е неподходящо; и в) сезирането на военни съдилища гарантира пълното зачитане на правата на обвиняемия, както се изисква от член 14 от Пакта. В заключителните си </w:t>
      </w:r>
      <w:r w:rsidR="005A0856" w:rsidRPr="006A5AC8">
        <w:rPr>
          <w:lang w:val="bg-BG"/>
        </w:rPr>
        <w:t>коментари</w:t>
      </w:r>
      <w:r w:rsidR="007C413E" w:rsidRPr="006A5AC8">
        <w:rPr>
          <w:lang w:val="bg-BG"/>
        </w:rPr>
        <w:t xml:space="preserve"> относно докладите, представени от държавите</w:t>
      </w:r>
      <w:r w:rsidR="005A0856" w:rsidRPr="006A5AC8">
        <w:rPr>
          <w:lang w:val="bg-BG"/>
        </w:rPr>
        <w:t>-</w:t>
      </w:r>
      <w:r w:rsidR="007C413E" w:rsidRPr="006A5AC8">
        <w:rPr>
          <w:lang w:val="bg-BG"/>
        </w:rPr>
        <w:t xml:space="preserve">страни по член 40 от </w:t>
      </w:r>
      <w:r w:rsidR="007C413E" w:rsidRPr="006A5AC8">
        <w:rPr>
          <w:lang w:val="bg-BG"/>
        </w:rPr>
        <w:lastRenderedPageBreak/>
        <w:t xml:space="preserve">Пакта, Комитетът стига дотам, че призовава правителствата на </w:t>
      </w:r>
      <w:r w:rsidR="00264BC6">
        <w:rPr>
          <w:lang w:val="bg-BG"/>
        </w:rPr>
        <w:t>някои</w:t>
      </w:r>
      <w:r w:rsidR="00264BC6" w:rsidRPr="006A5AC8">
        <w:rPr>
          <w:lang w:val="bg-BG"/>
        </w:rPr>
        <w:t xml:space="preserve"> </w:t>
      </w:r>
      <w:r w:rsidR="007C413E" w:rsidRPr="006A5AC8">
        <w:rPr>
          <w:lang w:val="bg-BG"/>
        </w:rPr>
        <w:t xml:space="preserve">държави да забранят </w:t>
      </w:r>
      <w:r w:rsidR="00444B3F">
        <w:rPr>
          <w:lang w:val="bg-BG"/>
        </w:rPr>
        <w:t>провеждането на съдебен процес</w:t>
      </w:r>
      <w:r w:rsidR="005A0856" w:rsidRPr="006A5AC8">
        <w:rPr>
          <w:lang w:val="bg-BG"/>
        </w:rPr>
        <w:t xml:space="preserve"> спрямо</w:t>
      </w:r>
      <w:r w:rsidR="007C413E" w:rsidRPr="006A5AC8">
        <w:rPr>
          <w:lang w:val="bg-BG"/>
        </w:rPr>
        <w:t xml:space="preserve"> </w:t>
      </w:r>
      <w:r w:rsidR="005A0856" w:rsidRPr="006A5AC8">
        <w:rPr>
          <w:lang w:val="bg-BG"/>
        </w:rPr>
        <w:t>цивилни лица</w:t>
      </w:r>
      <w:r w:rsidR="007C413E" w:rsidRPr="006A5AC8">
        <w:rPr>
          <w:lang w:val="bg-BG"/>
        </w:rPr>
        <w:t xml:space="preserve"> </w:t>
      </w:r>
      <w:r w:rsidR="00501F43">
        <w:rPr>
          <w:lang w:val="bg-BG"/>
        </w:rPr>
        <w:t>във</w:t>
      </w:r>
      <w:r w:rsidR="005A0856" w:rsidRPr="006A5AC8">
        <w:rPr>
          <w:lang w:val="bg-BG"/>
        </w:rPr>
        <w:t xml:space="preserve"> </w:t>
      </w:r>
      <w:r w:rsidR="007C413E" w:rsidRPr="006A5AC8">
        <w:rPr>
          <w:lang w:val="bg-BG"/>
        </w:rPr>
        <w:t>военни съдилища</w:t>
      </w:r>
      <w:r w:rsidR="005A0856" w:rsidRPr="006A5AC8">
        <w:rPr>
          <w:lang w:val="bg-BG"/>
        </w:rPr>
        <w:t>.</w:t>
      </w:r>
    </w:p>
    <w:p w14:paraId="7BD74F6C" w14:textId="09F2E4D6" w:rsidR="005A0856" w:rsidRPr="006A5AC8" w:rsidRDefault="005C5787" w:rsidP="00EE31D5">
      <w:pPr>
        <w:pStyle w:val="JuQuot"/>
        <w:rPr>
          <w:lang w:val="bg-BG"/>
        </w:rPr>
      </w:pPr>
      <w:r w:rsidRPr="006A5AC8">
        <w:rPr>
          <w:lang w:val="bg-BG"/>
        </w:rPr>
        <w:t>52.  </w:t>
      </w:r>
      <w:r w:rsidR="005A0856" w:rsidRPr="006A5AC8">
        <w:rPr>
          <w:lang w:val="bg-BG"/>
        </w:rPr>
        <w:t xml:space="preserve">От </w:t>
      </w:r>
      <w:r w:rsidR="005C28DE">
        <w:rPr>
          <w:lang w:val="bg-BG"/>
        </w:rPr>
        <w:t>юриспруденцията</w:t>
      </w:r>
      <w:r w:rsidR="005A0856" w:rsidRPr="006A5AC8">
        <w:rPr>
          <w:lang w:val="bg-BG"/>
        </w:rPr>
        <w:t xml:space="preserve"> на Комитета по правата на човека е видно, че съгласно Пакта самото позоваване на вътрешни правни разпоредби за съдебния процес пред военни съдилища по някои категории тежки престъпления не може, да оправдае </w:t>
      </w:r>
      <w:r w:rsidR="000B30B5" w:rsidRPr="006A5AC8">
        <w:rPr>
          <w:lang w:val="bg-BG"/>
        </w:rPr>
        <w:t>прибягването до</w:t>
      </w:r>
      <w:r w:rsidR="005A0856" w:rsidRPr="006A5AC8">
        <w:rPr>
          <w:lang w:val="bg-BG"/>
        </w:rPr>
        <w:t xml:space="preserve"> такива с</w:t>
      </w:r>
      <w:r w:rsidR="000B30B5" w:rsidRPr="006A5AC8">
        <w:rPr>
          <w:lang w:val="bg-BG"/>
        </w:rPr>
        <w:t>ъдилища. При липса</w:t>
      </w:r>
      <w:r w:rsidR="005A0856" w:rsidRPr="006A5AC8">
        <w:rPr>
          <w:lang w:val="bg-BG"/>
        </w:rPr>
        <w:t xml:space="preserve"> на конкретно основание за необходимостта да се </w:t>
      </w:r>
      <w:r w:rsidR="000B30B5" w:rsidRPr="006A5AC8">
        <w:rPr>
          <w:lang w:val="bg-BG"/>
        </w:rPr>
        <w:t>изправи</w:t>
      </w:r>
      <w:r w:rsidR="005A0856" w:rsidRPr="006A5AC8">
        <w:rPr>
          <w:lang w:val="bg-BG"/>
        </w:rPr>
        <w:t xml:space="preserve"> </w:t>
      </w:r>
      <w:r w:rsidR="00080570">
        <w:rPr>
          <w:lang w:val="bg-BG"/>
        </w:rPr>
        <w:t>определена</w:t>
      </w:r>
      <w:r w:rsidR="005A0856" w:rsidRPr="006A5AC8">
        <w:rPr>
          <w:lang w:val="bg-BG"/>
        </w:rPr>
        <w:t xml:space="preserve"> категория цивилни</w:t>
      </w:r>
      <w:r w:rsidR="000B30B5" w:rsidRPr="006A5AC8">
        <w:rPr>
          <w:lang w:val="bg-BG"/>
        </w:rPr>
        <w:t xml:space="preserve"> лица</w:t>
      </w:r>
      <w:r w:rsidR="005A0856" w:rsidRPr="006A5AC8">
        <w:rPr>
          <w:lang w:val="bg-BG"/>
        </w:rPr>
        <w:t xml:space="preserve"> пред военните съдилища, Комитетът винаги е считал, че тези съдебни процеси не отговарят</w:t>
      </w:r>
      <w:r w:rsidR="000B30B5" w:rsidRPr="006A5AC8">
        <w:rPr>
          <w:lang w:val="bg-BG"/>
        </w:rPr>
        <w:t xml:space="preserve"> на изискванията на член 14 от П</w:t>
      </w:r>
      <w:r w:rsidR="005A0856" w:rsidRPr="006A5AC8">
        <w:rPr>
          <w:lang w:val="bg-BG"/>
        </w:rPr>
        <w:t>акта.</w:t>
      </w:r>
    </w:p>
    <w:p w14:paraId="0E0ED8B3" w14:textId="662A09EA" w:rsidR="00685F44" w:rsidRPr="006A5AC8" w:rsidRDefault="005C5787" w:rsidP="00EE31D5">
      <w:pPr>
        <w:pStyle w:val="JuQuot"/>
        <w:rPr>
          <w:lang w:val="bg-BG"/>
        </w:rPr>
      </w:pPr>
      <w:r w:rsidRPr="006A5AC8">
        <w:rPr>
          <w:lang w:val="bg-BG"/>
        </w:rPr>
        <w:t>53.  </w:t>
      </w:r>
      <w:r w:rsidR="00685F44" w:rsidRPr="006A5AC8">
        <w:rPr>
          <w:lang w:val="bg-BG"/>
        </w:rPr>
        <w:t xml:space="preserve">В действителност практиката на държавите цели да ограничи юрисдикцията </w:t>
      </w:r>
      <w:proofErr w:type="spellStart"/>
      <w:r w:rsidR="00685F44" w:rsidRPr="006A5AC8">
        <w:rPr>
          <w:i/>
          <w:lang w:val="bg-BG"/>
        </w:rPr>
        <w:t>ratione</w:t>
      </w:r>
      <w:proofErr w:type="spellEnd"/>
      <w:r w:rsidR="00685F44" w:rsidRPr="006A5AC8">
        <w:rPr>
          <w:i/>
          <w:lang w:val="bg-BG"/>
        </w:rPr>
        <w:t xml:space="preserve"> </w:t>
      </w:r>
      <w:proofErr w:type="spellStart"/>
      <w:r w:rsidR="00685F44" w:rsidRPr="006A5AC8">
        <w:rPr>
          <w:i/>
          <w:lang w:val="bg-BG"/>
        </w:rPr>
        <w:t>personae</w:t>
      </w:r>
      <w:proofErr w:type="spellEnd"/>
      <w:r w:rsidR="00685F44" w:rsidRPr="006A5AC8">
        <w:rPr>
          <w:lang w:val="bg-BG"/>
        </w:rPr>
        <w:t xml:space="preserve"> на военните съдилища </w:t>
      </w:r>
      <w:r w:rsidR="00E96D78" w:rsidRPr="006A5AC8">
        <w:rPr>
          <w:lang w:val="bg-BG"/>
        </w:rPr>
        <w:t>до</w:t>
      </w:r>
      <w:r w:rsidR="00685F44" w:rsidRPr="006A5AC8">
        <w:rPr>
          <w:lang w:val="bg-BG"/>
        </w:rPr>
        <w:t xml:space="preserve"> престъпления и нарушения на дисциплината, </w:t>
      </w:r>
      <w:r w:rsidR="00524BBB">
        <w:rPr>
          <w:lang w:val="bg-BG"/>
        </w:rPr>
        <w:t xml:space="preserve">които се твърди да са извършени от </w:t>
      </w:r>
      <w:r w:rsidR="00524BBB" w:rsidRPr="006A5AC8">
        <w:rPr>
          <w:lang w:val="bg-BG"/>
        </w:rPr>
        <w:t xml:space="preserve"> </w:t>
      </w:r>
      <w:r w:rsidR="00524BBB">
        <w:rPr>
          <w:lang w:val="bg-BG"/>
        </w:rPr>
        <w:t>действащи членове на въоръжените сили.</w:t>
      </w:r>
      <w:r w:rsidR="00685F44" w:rsidRPr="006A5AC8">
        <w:rPr>
          <w:lang w:val="bg-BG"/>
        </w:rPr>
        <w:t xml:space="preserve"> Изключенията, отнасящи се до цивилни лица, </w:t>
      </w:r>
      <w:r w:rsidR="00524BBB">
        <w:rPr>
          <w:lang w:val="bg-BG"/>
        </w:rPr>
        <w:t>приравнени</w:t>
      </w:r>
      <w:r w:rsidR="00524BBB" w:rsidRPr="006A5AC8">
        <w:rPr>
          <w:lang w:val="bg-BG"/>
        </w:rPr>
        <w:t xml:space="preserve"> </w:t>
      </w:r>
      <w:r w:rsidR="00685F44" w:rsidRPr="006A5AC8">
        <w:rPr>
          <w:lang w:val="bg-BG"/>
        </w:rPr>
        <w:t xml:space="preserve">към </w:t>
      </w:r>
      <w:r w:rsidR="00E96D78" w:rsidRPr="006A5AC8">
        <w:rPr>
          <w:lang w:val="bg-BG"/>
        </w:rPr>
        <w:t>военнослужещи</w:t>
      </w:r>
      <w:r w:rsidR="00685F44" w:rsidRPr="006A5AC8">
        <w:rPr>
          <w:lang w:val="bg-BG"/>
        </w:rPr>
        <w:t xml:space="preserve">, обикновено се </w:t>
      </w:r>
      <w:r w:rsidR="00E96D78" w:rsidRPr="006A5AC8">
        <w:rPr>
          <w:lang w:val="bg-BG"/>
        </w:rPr>
        <w:t>разглеждат</w:t>
      </w:r>
      <w:r w:rsidR="00685F44" w:rsidRPr="006A5AC8">
        <w:rPr>
          <w:lang w:val="bg-BG"/>
        </w:rPr>
        <w:t xml:space="preserve"> и се тълкуват ограничително </w:t>
      </w:r>
      <w:r w:rsidR="00E96D78" w:rsidRPr="006A5AC8">
        <w:rPr>
          <w:lang w:val="bg-BG"/>
        </w:rPr>
        <w:t>(виж A/63/223, параграф 26).</w:t>
      </w:r>
    </w:p>
    <w:p w14:paraId="6A9C10C9" w14:textId="75CB3AEF" w:rsidR="009B32B3" w:rsidRPr="006A5AC8" w:rsidRDefault="005C5787" w:rsidP="00EE31D5">
      <w:pPr>
        <w:pStyle w:val="JuQuot"/>
        <w:rPr>
          <w:lang w:val="bg-BG"/>
        </w:rPr>
      </w:pPr>
      <w:r w:rsidRPr="006A5AC8">
        <w:rPr>
          <w:lang w:val="bg-BG"/>
        </w:rPr>
        <w:t>54.  </w:t>
      </w:r>
      <w:r w:rsidR="009B32B3" w:rsidRPr="006A5AC8">
        <w:rPr>
          <w:lang w:val="bg-BG"/>
        </w:rPr>
        <w:t xml:space="preserve">Специалният докладчик държи да подчертае, че съдебните процеси срещу цивилни лица пред военни или специални съдилища пораждат сериозни съмнения относно независимостта </w:t>
      </w:r>
      <w:r w:rsidR="004427B7">
        <w:rPr>
          <w:lang w:val="bg-BG"/>
        </w:rPr>
        <w:t>на правораздаването чрез</w:t>
      </w:r>
      <w:r w:rsidR="009B32B3" w:rsidRPr="006A5AC8">
        <w:rPr>
          <w:lang w:val="bg-BG"/>
        </w:rPr>
        <w:t xml:space="preserve"> военните съдилища и спазването на гаранциите, посочени в член 14 от Пакта. Поради това той счита, че компетентността на военните съдилища следва да бъде ограничена до строго военни престъпления, извършени от членове на </w:t>
      </w:r>
      <w:r w:rsidR="00E110AA">
        <w:rPr>
          <w:lang w:val="bg-BG"/>
        </w:rPr>
        <w:t xml:space="preserve">състава на </w:t>
      </w:r>
      <w:r w:rsidR="009B32B3" w:rsidRPr="006A5AC8">
        <w:rPr>
          <w:lang w:val="bg-BG"/>
        </w:rPr>
        <w:t>въоръжените сили.</w:t>
      </w:r>
    </w:p>
    <w:p w14:paraId="003CCCFC" w14:textId="77777777" w:rsidR="005C5787" w:rsidRPr="006A5AC8" w:rsidRDefault="009B32B3" w:rsidP="00EE31D5">
      <w:pPr>
        <w:pStyle w:val="JuQuot"/>
        <w:rPr>
          <w:lang w:val="bg-BG"/>
        </w:rPr>
      </w:pPr>
      <w:r w:rsidRPr="006A5AC8">
        <w:rPr>
          <w:lang w:val="bg-BG"/>
        </w:rPr>
        <w:t xml:space="preserve"> </w:t>
      </w:r>
      <w:r w:rsidR="005C5787" w:rsidRPr="006A5AC8">
        <w:rPr>
          <w:lang w:val="bg-BG"/>
        </w:rPr>
        <w:t>(...)</w:t>
      </w:r>
    </w:p>
    <w:p w14:paraId="37908A7B" w14:textId="77777777" w:rsidR="005C5787" w:rsidRPr="006A5AC8" w:rsidRDefault="005C5787" w:rsidP="00EE31D5">
      <w:pPr>
        <w:pStyle w:val="JuQuot"/>
        <w:rPr>
          <w:lang w:val="bg-BG"/>
        </w:rPr>
      </w:pPr>
      <w:r w:rsidRPr="006A5AC8">
        <w:rPr>
          <w:lang w:val="bg-BG"/>
        </w:rPr>
        <w:t>V.  </w:t>
      </w:r>
      <w:r w:rsidR="009B32B3" w:rsidRPr="006A5AC8">
        <w:rPr>
          <w:lang w:val="bg-BG"/>
        </w:rPr>
        <w:t>Заключения</w:t>
      </w:r>
    </w:p>
    <w:p w14:paraId="3F1D6D99" w14:textId="77777777" w:rsidR="005C5787" w:rsidRPr="006A5AC8" w:rsidRDefault="005C5787" w:rsidP="00EE31D5">
      <w:pPr>
        <w:pStyle w:val="JuQuot"/>
        <w:rPr>
          <w:lang w:val="bg-BG"/>
        </w:rPr>
      </w:pPr>
      <w:r w:rsidRPr="006A5AC8">
        <w:rPr>
          <w:lang w:val="bg-BG"/>
        </w:rPr>
        <w:t>(...)</w:t>
      </w:r>
    </w:p>
    <w:p w14:paraId="6702516F" w14:textId="054C8B3A" w:rsidR="00B24846" w:rsidRPr="006A5AC8" w:rsidRDefault="005C5787" w:rsidP="00EE31D5">
      <w:pPr>
        <w:pStyle w:val="JuQuot"/>
        <w:rPr>
          <w:lang w:val="bg-BG"/>
        </w:rPr>
      </w:pPr>
      <w:r w:rsidRPr="006A5AC8">
        <w:rPr>
          <w:lang w:val="bg-BG"/>
        </w:rPr>
        <w:t>87.  </w:t>
      </w:r>
      <w:r w:rsidR="00B24846" w:rsidRPr="006A5AC8">
        <w:rPr>
          <w:lang w:val="bg-BG"/>
        </w:rPr>
        <w:t xml:space="preserve">От съдебната практика, установена </w:t>
      </w:r>
      <w:r w:rsidR="00C171E0">
        <w:rPr>
          <w:lang w:val="bg-BG"/>
        </w:rPr>
        <w:t>по отношение на</w:t>
      </w:r>
      <w:r w:rsidR="00C171E0" w:rsidRPr="006A5AC8">
        <w:rPr>
          <w:lang w:val="bg-BG"/>
        </w:rPr>
        <w:t xml:space="preserve"> </w:t>
      </w:r>
      <w:r w:rsidR="00B24846" w:rsidRPr="006A5AC8">
        <w:rPr>
          <w:lang w:val="bg-BG"/>
        </w:rPr>
        <w:t xml:space="preserve">военните съдилища от </w:t>
      </w:r>
      <w:r w:rsidR="0033089C">
        <w:rPr>
          <w:lang w:val="bg-BG"/>
        </w:rPr>
        <w:t xml:space="preserve">страна на </w:t>
      </w:r>
      <w:r w:rsidR="00B24846" w:rsidRPr="006A5AC8">
        <w:rPr>
          <w:lang w:val="bg-BG"/>
        </w:rPr>
        <w:t xml:space="preserve">Комитета по правата на човека и от международните и регионални механизми за правата на човека, </w:t>
      </w:r>
      <w:r w:rsidR="00C171E0">
        <w:rPr>
          <w:lang w:val="bg-BG"/>
        </w:rPr>
        <w:t>изглежда</w:t>
      </w:r>
      <w:r w:rsidR="00B24846" w:rsidRPr="006A5AC8">
        <w:rPr>
          <w:lang w:val="bg-BG"/>
        </w:rPr>
        <w:t>, че независимостта и безпристрастността на тези съдилища, съдебните процеси срещу цивилни лица или военнослужещи, обвинени в сериозни нарушения на правата на човека, и гаранциите за справедлив процес в тези съдилища, са силно проблематични.</w:t>
      </w:r>
    </w:p>
    <w:p w14:paraId="5EFAFAC5" w14:textId="77777777" w:rsidR="005C5787" w:rsidRPr="006A5AC8" w:rsidRDefault="00B24846" w:rsidP="00EE31D5">
      <w:pPr>
        <w:pStyle w:val="JuQuot"/>
        <w:rPr>
          <w:lang w:val="bg-BG"/>
        </w:rPr>
      </w:pPr>
      <w:r w:rsidRPr="006A5AC8">
        <w:rPr>
          <w:lang w:val="bg-BG"/>
        </w:rPr>
        <w:t xml:space="preserve"> </w:t>
      </w:r>
      <w:r w:rsidR="005C5787" w:rsidRPr="006A5AC8">
        <w:rPr>
          <w:lang w:val="bg-BG"/>
        </w:rPr>
        <w:t>(...)</w:t>
      </w:r>
    </w:p>
    <w:p w14:paraId="5D734389" w14:textId="5ABB8FA3" w:rsidR="007153BC" w:rsidRPr="006A5AC8" w:rsidRDefault="005C5787" w:rsidP="00EE31D5">
      <w:pPr>
        <w:pStyle w:val="JuQuot"/>
        <w:rPr>
          <w:lang w:val="bg-BG"/>
        </w:rPr>
      </w:pPr>
      <w:r w:rsidRPr="006A5AC8">
        <w:rPr>
          <w:lang w:val="bg-BG"/>
        </w:rPr>
        <w:t>89.  </w:t>
      </w:r>
      <w:r w:rsidR="007153BC" w:rsidRPr="006A5AC8">
        <w:rPr>
          <w:lang w:val="bg-BG"/>
        </w:rPr>
        <w:t xml:space="preserve">Доколкото имат специфичната цел да </w:t>
      </w:r>
      <w:r w:rsidR="00DA4959" w:rsidRPr="006A5AC8">
        <w:rPr>
          <w:lang w:val="bg-BG"/>
        </w:rPr>
        <w:t>разглеждат</w:t>
      </w:r>
      <w:r w:rsidR="007153BC" w:rsidRPr="006A5AC8">
        <w:rPr>
          <w:lang w:val="bg-BG"/>
        </w:rPr>
        <w:t xml:space="preserve"> престъпления, свързани с военна</w:t>
      </w:r>
      <w:r w:rsidR="00DA4959" w:rsidRPr="006A5AC8">
        <w:rPr>
          <w:lang w:val="bg-BG"/>
        </w:rPr>
        <w:t>та</w:t>
      </w:r>
      <w:r w:rsidR="007153BC" w:rsidRPr="006A5AC8">
        <w:rPr>
          <w:lang w:val="bg-BG"/>
        </w:rPr>
        <w:t xml:space="preserve"> служба, военните съдилища трябва да упражняват своята юрисдикция </w:t>
      </w:r>
      <w:r w:rsidR="0033089C">
        <w:rPr>
          <w:lang w:val="bg-BG"/>
        </w:rPr>
        <w:t>само</w:t>
      </w:r>
      <w:r w:rsidR="007153BC" w:rsidRPr="006A5AC8">
        <w:rPr>
          <w:lang w:val="bg-BG"/>
        </w:rPr>
        <w:t xml:space="preserve"> </w:t>
      </w:r>
      <w:r w:rsidR="00DA4959" w:rsidRPr="006A5AC8">
        <w:rPr>
          <w:lang w:val="bg-BG"/>
        </w:rPr>
        <w:t xml:space="preserve">спрямо </w:t>
      </w:r>
      <w:r w:rsidR="007153BC" w:rsidRPr="006A5AC8">
        <w:rPr>
          <w:lang w:val="bg-BG"/>
        </w:rPr>
        <w:t xml:space="preserve">членове на </w:t>
      </w:r>
      <w:r w:rsidR="0033089C">
        <w:rPr>
          <w:lang w:val="bg-BG"/>
        </w:rPr>
        <w:t xml:space="preserve">състава на </w:t>
      </w:r>
      <w:r w:rsidR="007153BC" w:rsidRPr="006A5AC8">
        <w:rPr>
          <w:lang w:val="bg-BG"/>
        </w:rPr>
        <w:t xml:space="preserve">въоръжените сили, извършили военно престъпление или дисциплинарно </w:t>
      </w:r>
      <w:r w:rsidR="00DA4959" w:rsidRPr="006A5AC8">
        <w:rPr>
          <w:lang w:val="bg-BG"/>
        </w:rPr>
        <w:t>нарушение</w:t>
      </w:r>
      <w:r w:rsidR="007153BC" w:rsidRPr="006A5AC8">
        <w:rPr>
          <w:lang w:val="bg-BG"/>
        </w:rPr>
        <w:t>, и т</w:t>
      </w:r>
      <w:r w:rsidR="00D25097">
        <w:rPr>
          <w:lang w:val="bg-BG"/>
        </w:rPr>
        <w:t>о</w:t>
      </w:r>
      <w:r w:rsidR="007153BC" w:rsidRPr="006A5AC8">
        <w:rPr>
          <w:lang w:val="bg-BG"/>
        </w:rPr>
        <w:t xml:space="preserve"> </w:t>
      </w:r>
      <w:r w:rsidR="00DA4959" w:rsidRPr="006A5AC8">
        <w:rPr>
          <w:lang w:val="bg-BG"/>
        </w:rPr>
        <w:t>единствено</w:t>
      </w:r>
      <w:r w:rsidR="007153BC" w:rsidRPr="006A5AC8">
        <w:rPr>
          <w:lang w:val="bg-BG"/>
        </w:rPr>
        <w:t xml:space="preserve"> когато престъплението или </w:t>
      </w:r>
      <w:r w:rsidR="00DA4959" w:rsidRPr="006A5AC8">
        <w:rPr>
          <w:lang w:val="bg-BG"/>
        </w:rPr>
        <w:t>нарушението</w:t>
      </w:r>
      <w:r w:rsidR="007153BC" w:rsidRPr="006A5AC8">
        <w:rPr>
          <w:lang w:val="bg-BG"/>
        </w:rPr>
        <w:t xml:space="preserve"> не </w:t>
      </w:r>
      <w:r w:rsidR="0056289C">
        <w:rPr>
          <w:lang w:val="bg-BG"/>
        </w:rPr>
        <w:t>представляват</w:t>
      </w:r>
      <w:r w:rsidR="00DA4959" w:rsidRPr="006A5AC8">
        <w:rPr>
          <w:lang w:val="bg-BG"/>
        </w:rPr>
        <w:t xml:space="preserve"> </w:t>
      </w:r>
      <w:r w:rsidR="007153BC" w:rsidRPr="006A5AC8">
        <w:rPr>
          <w:lang w:val="bg-BG"/>
        </w:rPr>
        <w:t xml:space="preserve">сериозно нарушение на правата на човека. Този принцип може да се </w:t>
      </w:r>
      <w:r w:rsidR="00DA4959" w:rsidRPr="006A5AC8">
        <w:rPr>
          <w:lang w:val="bg-BG"/>
        </w:rPr>
        <w:t>пр</w:t>
      </w:r>
      <w:r w:rsidR="00D25097">
        <w:rPr>
          <w:lang w:val="bg-BG"/>
        </w:rPr>
        <w:t>е</w:t>
      </w:r>
      <w:r w:rsidR="00DA4959" w:rsidRPr="006A5AC8">
        <w:rPr>
          <w:lang w:val="bg-BG"/>
        </w:rPr>
        <w:t>стъпи</w:t>
      </w:r>
      <w:r w:rsidR="007153BC" w:rsidRPr="006A5AC8">
        <w:rPr>
          <w:lang w:val="bg-BG"/>
        </w:rPr>
        <w:t xml:space="preserve"> само при изключителни обстоятелства и с единствената цел да се </w:t>
      </w:r>
      <w:r w:rsidR="00DA4959" w:rsidRPr="006A5AC8">
        <w:rPr>
          <w:lang w:val="bg-BG"/>
        </w:rPr>
        <w:t>съдят</w:t>
      </w:r>
      <w:r w:rsidR="007153BC" w:rsidRPr="006A5AC8">
        <w:rPr>
          <w:lang w:val="bg-BG"/>
        </w:rPr>
        <w:t xml:space="preserve"> цивилни </w:t>
      </w:r>
      <w:r w:rsidR="00DA4959" w:rsidRPr="006A5AC8">
        <w:rPr>
          <w:lang w:val="bg-BG"/>
        </w:rPr>
        <w:t>лица, които се намират</w:t>
      </w:r>
      <w:r w:rsidR="007153BC" w:rsidRPr="006A5AC8">
        <w:rPr>
          <w:lang w:val="bg-BG"/>
        </w:rPr>
        <w:t xml:space="preserve"> в чужбина</w:t>
      </w:r>
      <w:r w:rsidR="00DA4959" w:rsidRPr="006A5AC8">
        <w:rPr>
          <w:lang w:val="bg-BG"/>
        </w:rPr>
        <w:t xml:space="preserve"> и</w:t>
      </w:r>
      <w:r w:rsidR="007153BC" w:rsidRPr="006A5AC8">
        <w:rPr>
          <w:lang w:val="bg-BG"/>
        </w:rPr>
        <w:t xml:space="preserve"> които са </w:t>
      </w:r>
      <w:r w:rsidR="00DA4959" w:rsidRPr="006A5AC8">
        <w:rPr>
          <w:lang w:val="bg-BG"/>
        </w:rPr>
        <w:t>присвоени</w:t>
      </w:r>
      <w:r w:rsidR="007153BC" w:rsidRPr="006A5AC8">
        <w:rPr>
          <w:lang w:val="bg-BG"/>
        </w:rPr>
        <w:t xml:space="preserve"> към </w:t>
      </w:r>
      <w:r w:rsidR="00DA4959" w:rsidRPr="006A5AC8">
        <w:rPr>
          <w:lang w:val="bg-BG"/>
        </w:rPr>
        <w:t>състава</w:t>
      </w:r>
      <w:r w:rsidR="007153BC" w:rsidRPr="006A5AC8">
        <w:rPr>
          <w:lang w:val="bg-BG"/>
        </w:rPr>
        <w:t xml:space="preserve"> на въоръжените сили.</w:t>
      </w:r>
    </w:p>
    <w:p w14:paraId="29F2D528" w14:textId="33357B9C" w:rsidR="000E4878" w:rsidRPr="006A5AC8" w:rsidRDefault="005C5787" w:rsidP="005A10B9">
      <w:pPr>
        <w:pStyle w:val="JuQuot"/>
        <w:rPr>
          <w:lang w:val="bg-BG"/>
        </w:rPr>
      </w:pPr>
      <w:r w:rsidRPr="006A5AC8">
        <w:rPr>
          <w:lang w:val="bg-BG"/>
        </w:rPr>
        <w:t>90.  </w:t>
      </w:r>
      <w:r w:rsidR="000E4878" w:rsidRPr="006A5AC8">
        <w:rPr>
          <w:lang w:val="bg-BG"/>
        </w:rPr>
        <w:t xml:space="preserve">За да гарантират независимостта и целостта на съдебната система, държавите са задължени да създадат съдилища с обща компетентност, които да са независими, безпристрастни, компетентни и отговорни и следователно способни да се борят с безнаказаността. </w:t>
      </w:r>
      <w:r w:rsidR="005A10B9" w:rsidRPr="00163F37">
        <w:rPr>
          <w:lang w:val="bg-BG"/>
        </w:rPr>
        <w:t>Ако гореописаното не е постигнато, това не може да служи за обосноваване на наличието на военни или специални съдилища, пред които да се изправят цивилни лица.</w:t>
      </w:r>
    </w:p>
    <w:p w14:paraId="63E83912" w14:textId="77777777" w:rsidR="005C5787" w:rsidRPr="006A5AC8" w:rsidRDefault="005C5787" w:rsidP="00EE31D5">
      <w:pPr>
        <w:pStyle w:val="JuQuot"/>
        <w:rPr>
          <w:lang w:val="bg-BG"/>
        </w:rPr>
      </w:pPr>
      <w:r w:rsidRPr="006A5AC8">
        <w:rPr>
          <w:lang w:val="bg-BG"/>
        </w:rPr>
        <w:t>VI.  </w:t>
      </w:r>
      <w:r w:rsidR="000E4878" w:rsidRPr="006A5AC8">
        <w:rPr>
          <w:lang w:val="bg-BG"/>
        </w:rPr>
        <w:t>Препоръки</w:t>
      </w:r>
    </w:p>
    <w:p w14:paraId="5EE243B3" w14:textId="77777777" w:rsidR="00C078F9" w:rsidRPr="006A5AC8" w:rsidRDefault="005C5787" w:rsidP="00EE31D5">
      <w:pPr>
        <w:pStyle w:val="JuQuot"/>
        <w:rPr>
          <w:lang w:val="bg-BG"/>
        </w:rPr>
      </w:pPr>
      <w:r w:rsidRPr="006A5AC8">
        <w:rPr>
          <w:lang w:val="bg-BG"/>
        </w:rPr>
        <w:lastRenderedPageBreak/>
        <w:t>91.  </w:t>
      </w:r>
      <w:r w:rsidR="00C078F9" w:rsidRPr="006A5AC8">
        <w:rPr>
          <w:lang w:val="bg-BG"/>
        </w:rPr>
        <w:t xml:space="preserve">Чрез следните препоръки Специалният докладчик се стреми да помогне на държавите, създали военно правораздаване, да гарантират, че военните съдилища упражняват правораздаване в пълно съответствие с международното право в областта на правата на човека и </w:t>
      </w:r>
      <w:r w:rsidR="00314987" w:rsidRPr="006A5AC8">
        <w:rPr>
          <w:lang w:val="bg-BG"/>
        </w:rPr>
        <w:t xml:space="preserve">със </w:t>
      </w:r>
      <w:r w:rsidR="00C078F9" w:rsidRPr="006A5AC8">
        <w:rPr>
          <w:lang w:val="bg-BG"/>
        </w:rPr>
        <w:t xml:space="preserve">свързаните с него международни </w:t>
      </w:r>
      <w:r w:rsidR="00314987" w:rsidRPr="006A5AC8">
        <w:rPr>
          <w:lang w:val="bg-BG"/>
        </w:rPr>
        <w:t>норми.</w:t>
      </w:r>
    </w:p>
    <w:p w14:paraId="294C13E7" w14:textId="77777777" w:rsidR="005C5787" w:rsidRPr="006A5AC8" w:rsidRDefault="00314987" w:rsidP="00EE31D5">
      <w:pPr>
        <w:pStyle w:val="JuQuot"/>
        <w:rPr>
          <w:lang w:val="bg-BG"/>
        </w:rPr>
      </w:pPr>
      <w:r w:rsidRPr="006A5AC8">
        <w:rPr>
          <w:lang w:val="bg-BG"/>
        </w:rPr>
        <w:t xml:space="preserve"> </w:t>
      </w:r>
      <w:r w:rsidR="005C5787" w:rsidRPr="006A5AC8">
        <w:rPr>
          <w:lang w:val="bg-BG"/>
        </w:rPr>
        <w:t>(...)</w:t>
      </w:r>
    </w:p>
    <w:p w14:paraId="66A451A4" w14:textId="4B84715A" w:rsidR="00ED47E1" w:rsidRPr="006A5AC8" w:rsidRDefault="005C5787" w:rsidP="00EE31D5">
      <w:pPr>
        <w:pStyle w:val="JuQuot"/>
        <w:rPr>
          <w:lang w:val="bg-BG"/>
        </w:rPr>
      </w:pPr>
      <w:r w:rsidRPr="006A5AC8">
        <w:rPr>
          <w:lang w:val="bg-BG"/>
        </w:rPr>
        <w:t>98.  </w:t>
      </w:r>
      <w:r w:rsidR="00ED47E1" w:rsidRPr="006A5AC8">
        <w:rPr>
          <w:lang w:val="bg-BG"/>
        </w:rPr>
        <w:t xml:space="preserve">Компетентността </w:t>
      </w:r>
      <w:r w:rsidR="00ED47E1" w:rsidRPr="006A5AC8">
        <w:rPr>
          <w:i/>
          <w:lang w:val="bg-BG"/>
        </w:rPr>
        <w:t>ratione materiae</w:t>
      </w:r>
      <w:r w:rsidR="00ED47E1" w:rsidRPr="006A5AC8">
        <w:rPr>
          <w:lang w:val="bg-BG"/>
        </w:rPr>
        <w:t xml:space="preserve"> на военните съдилища, специализираните юрисдикции, призвани да отговорят на конкретните нужди на армиите по отношение на дисциплина</w:t>
      </w:r>
      <w:r w:rsidR="0033089C">
        <w:rPr>
          <w:lang w:val="bg-BG"/>
        </w:rPr>
        <w:t>та</w:t>
      </w:r>
      <w:r w:rsidR="00ED47E1" w:rsidRPr="006A5AC8">
        <w:rPr>
          <w:lang w:val="bg-BG"/>
        </w:rPr>
        <w:t>, трябва да бъд</w:t>
      </w:r>
      <w:r w:rsidR="005A10B9">
        <w:rPr>
          <w:lang w:val="bg-BG"/>
        </w:rPr>
        <w:t>е</w:t>
      </w:r>
      <w:r w:rsidR="00ED47E1" w:rsidRPr="006A5AC8">
        <w:rPr>
          <w:lang w:val="bg-BG"/>
        </w:rPr>
        <w:t xml:space="preserve"> ограничен</w:t>
      </w:r>
      <w:r w:rsidR="005A10B9">
        <w:rPr>
          <w:lang w:val="bg-BG"/>
        </w:rPr>
        <w:t>а</w:t>
      </w:r>
      <w:r w:rsidR="00ED47E1" w:rsidRPr="006A5AC8">
        <w:rPr>
          <w:lang w:val="bg-BG"/>
        </w:rPr>
        <w:t xml:space="preserve"> до престъпления на</w:t>
      </w:r>
      <w:r w:rsidR="003D0358" w:rsidRPr="006A5AC8">
        <w:rPr>
          <w:lang w:val="bg-BG"/>
        </w:rPr>
        <w:t xml:space="preserve"> „строго военн</w:t>
      </w:r>
      <w:r w:rsidR="00ED47E1" w:rsidRPr="006A5AC8">
        <w:rPr>
          <w:lang w:val="bg-BG"/>
        </w:rPr>
        <w:t>ия ред“ или с други думи до престъпленията, които по своето естество дори се отнасят до законно защитените интереси на военния ред, като дезертиране, неподчинение или изоставяне на пост или командване.</w:t>
      </w:r>
    </w:p>
    <w:p w14:paraId="48DD00C8" w14:textId="07BABE9C" w:rsidR="00ED47E1" w:rsidRPr="006A5AC8" w:rsidRDefault="005C5787" w:rsidP="00EE31D5">
      <w:pPr>
        <w:pStyle w:val="JuQuot"/>
        <w:rPr>
          <w:lang w:val="bg-BG"/>
        </w:rPr>
      </w:pPr>
      <w:r w:rsidRPr="006A5AC8">
        <w:rPr>
          <w:lang w:val="bg-BG"/>
        </w:rPr>
        <w:t>99.  </w:t>
      </w:r>
      <w:r w:rsidR="00ED47E1" w:rsidRPr="006A5AC8">
        <w:rPr>
          <w:lang w:val="bg-BG"/>
        </w:rPr>
        <w:t xml:space="preserve">Държавите не трябва да се позовават на концепцията за </w:t>
      </w:r>
      <w:r w:rsidR="0033089C">
        <w:rPr>
          <w:lang w:val="bg-BG"/>
        </w:rPr>
        <w:t>деянията</w:t>
      </w:r>
      <w:r w:rsidR="00ED47E1" w:rsidRPr="006A5AC8">
        <w:rPr>
          <w:lang w:val="bg-BG"/>
        </w:rPr>
        <w:t>, свързани с длъжността, за да лишат съдилищата с обща компетентност от техните правомощия в полза на военни съдилища. Престъпленията от общ характер, извършени от военнослужещи, трябва да бъдат разглеждани пред съдилищата с обща компетентност, освен в случаите, в които последните не са в състояние да упражнят своите правомощия поради специфичните обстоятелства на престъплението (</w:t>
      </w:r>
      <w:r w:rsidR="005A10B9">
        <w:rPr>
          <w:lang w:val="bg-BG"/>
        </w:rPr>
        <w:t xml:space="preserve">т.е. </w:t>
      </w:r>
      <w:r w:rsidR="00ED47E1" w:rsidRPr="006A5AC8">
        <w:rPr>
          <w:lang w:val="bg-BG"/>
        </w:rPr>
        <w:t>изключително в случаи на престъпления, извършени извън територията на държавата), като тези случаи трябва да бъдат изрично предвидени от закона.</w:t>
      </w:r>
    </w:p>
    <w:p w14:paraId="6173CA54" w14:textId="77777777" w:rsidR="005C5787" w:rsidRPr="006A5AC8" w:rsidRDefault="003D0358" w:rsidP="00EE31D5">
      <w:pPr>
        <w:pStyle w:val="JuQuot"/>
        <w:rPr>
          <w:lang w:val="bg-BG"/>
        </w:rPr>
      </w:pPr>
      <w:r w:rsidRPr="006A5AC8">
        <w:rPr>
          <w:lang w:val="bg-BG"/>
        </w:rPr>
        <w:t>Г</w:t>
      </w:r>
      <w:r w:rsidR="005C5787" w:rsidRPr="006A5AC8">
        <w:rPr>
          <w:lang w:val="bg-BG"/>
        </w:rPr>
        <w:t>.  </w:t>
      </w:r>
      <w:r w:rsidR="009331A6" w:rsidRPr="006A5AC8">
        <w:rPr>
          <w:lang w:val="bg-BG"/>
        </w:rPr>
        <w:t>Съдебен процес срещу</w:t>
      </w:r>
      <w:r w:rsidR="00ED47E1" w:rsidRPr="006A5AC8">
        <w:rPr>
          <w:lang w:val="bg-BG"/>
        </w:rPr>
        <w:t xml:space="preserve"> цивилни лица</w:t>
      </w:r>
      <w:r w:rsidR="009331A6" w:rsidRPr="006A5AC8">
        <w:rPr>
          <w:lang w:val="bg-BG"/>
        </w:rPr>
        <w:t xml:space="preserve"> пред военните съдилища</w:t>
      </w:r>
    </w:p>
    <w:p w14:paraId="3225D1E8" w14:textId="77777777" w:rsidR="003E5333" w:rsidRPr="006A5AC8" w:rsidRDefault="005C5787" w:rsidP="00EE31D5">
      <w:pPr>
        <w:pStyle w:val="JuQuot"/>
        <w:rPr>
          <w:lang w:val="bg-BG"/>
        </w:rPr>
      </w:pPr>
      <w:r w:rsidRPr="006A5AC8">
        <w:rPr>
          <w:lang w:val="bg-BG"/>
        </w:rPr>
        <w:t>100.  </w:t>
      </w:r>
      <w:r w:rsidR="003E5333" w:rsidRPr="006A5AC8">
        <w:rPr>
          <w:lang w:val="bg-BG"/>
        </w:rPr>
        <w:t>Всички военни съдилища трябва да съдят единствено членове на състава на въоръжените сили, които са извършили военно престъпление или са нарушили военната дисциплина.</w:t>
      </w:r>
    </w:p>
    <w:p w14:paraId="6FF27F81" w14:textId="77777777" w:rsidR="00C65714" w:rsidRPr="006A5AC8" w:rsidRDefault="005C5787" w:rsidP="00EE31D5">
      <w:pPr>
        <w:pStyle w:val="JuQuot"/>
        <w:rPr>
          <w:lang w:val="bg-BG"/>
        </w:rPr>
      </w:pPr>
      <w:r w:rsidRPr="006A5AC8">
        <w:rPr>
          <w:lang w:val="bg-BG"/>
        </w:rPr>
        <w:t>101.  </w:t>
      </w:r>
      <w:r w:rsidR="00C65714" w:rsidRPr="006A5AC8">
        <w:rPr>
          <w:lang w:val="bg-BG"/>
        </w:rPr>
        <w:t>Съдебният процес срещу цивилни лица пред военни съдилища следва да се забрани, освен в случай на единственото изключение, предвидено в параграф 102 по-долу. Всеки военен съд, създаден на територията на дадена държава, в никакъв случай не може да упражнява юрисдикцията си спрямо цивилни лица, обвинени в престъпление на територията на същата държава.</w:t>
      </w:r>
    </w:p>
    <w:p w14:paraId="451269FB" w14:textId="77777777" w:rsidR="001B7C19" w:rsidRPr="006A5AC8" w:rsidRDefault="005C5787" w:rsidP="00EE31D5">
      <w:pPr>
        <w:pStyle w:val="JuQuot"/>
        <w:rPr>
          <w:lang w:val="bg-BG"/>
        </w:rPr>
      </w:pPr>
      <w:r w:rsidRPr="006A5AC8">
        <w:rPr>
          <w:lang w:val="bg-BG"/>
        </w:rPr>
        <w:t>102. </w:t>
      </w:r>
      <w:r w:rsidR="001B7C19" w:rsidRPr="006A5AC8">
        <w:rPr>
          <w:lang w:val="bg-BG"/>
        </w:rPr>
        <w:t xml:space="preserve">Съдебният процес срещу цивилни лица пред военните съдилища трябва да бъде строго ограничен до изключителни случаи, отнасящи се до цивилни лица, приравнени към състава на </w:t>
      </w:r>
      <w:r w:rsidR="000E5745" w:rsidRPr="006A5AC8">
        <w:rPr>
          <w:lang w:val="bg-BG"/>
        </w:rPr>
        <w:t>въоръжените сили</w:t>
      </w:r>
      <w:r w:rsidR="001B7C19" w:rsidRPr="006A5AC8">
        <w:rPr>
          <w:lang w:val="bg-BG"/>
        </w:rPr>
        <w:t xml:space="preserve"> поради тяхната </w:t>
      </w:r>
      <w:r w:rsidR="00826AB5">
        <w:rPr>
          <w:lang w:val="bg-BG"/>
        </w:rPr>
        <w:t>длъжност</w:t>
      </w:r>
      <w:r w:rsidR="001B7C19" w:rsidRPr="006A5AC8">
        <w:rPr>
          <w:lang w:val="bg-BG"/>
        </w:rPr>
        <w:t xml:space="preserve"> или мястото, </w:t>
      </w:r>
      <w:r w:rsidR="00826AB5">
        <w:rPr>
          <w:lang w:val="bg-BG"/>
        </w:rPr>
        <w:t>на което</w:t>
      </w:r>
      <w:r w:rsidR="001B7C19" w:rsidRPr="006A5AC8">
        <w:rPr>
          <w:lang w:val="bg-BG"/>
        </w:rPr>
        <w:t xml:space="preserve"> се намират, които са обвинени в извършване на престъпление извън територията на държавата и когато съдилища</w:t>
      </w:r>
      <w:r w:rsidR="000E5745" w:rsidRPr="006A5AC8">
        <w:rPr>
          <w:lang w:val="bg-BG"/>
        </w:rPr>
        <w:t>та с обща компетентност</w:t>
      </w:r>
      <w:r w:rsidR="001B7C19" w:rsidRPr="006A5AC8">
        <w:rPr>
          <w:lang w:val="bg-BG"/>
        </w:rPr>
        <w:t xml:space="preserve"> на място или в държавата на произход не могат да разгледат делото</w:t>
      </w:r>
      <w:r w:rsidR="000E5745" w:rsidRPr="006A5AC8">
        <w:rPr>
          <w:lang w:val="bg-BG"/>
        </w:rPr>
        <w:t>.</w:t>
      </w:r>
    </w:p>
    <w:p w14:paraId="6E788E3C" w14:textId="77777777" w:rsidR="005C5787" w:rsidRPr="006A5AC8" w:rsidRDefault="005C5787" w:rsidP="005908B5">
      <w:pPr>
        <w:pStyle w:val="JuQuot"/>
        <w:rPr>
          <w:lang w:val="bg-BG"/>
        </w:rPr>
      </w:pPr>
      <w:r w:rsidRPr="006A5AC8">
        <w:rPr>
          <w:lang w:val="bg-BG"/>
        </w:rPr>
        <w:t> 103.  </w:t>
      </w:r>
      <w:r w:rsidR="00B063C5" w:rsidRPr="006A5AC8">
        <w:rPr>
          <w:lang w:val="bg-BG"/>
        </w:rPr>
        <w:t xml:space="preserve">Задължението да се докаже съществуването на тези изключителни обстоятелства е на държавата, като тези обстоятелства трябва да бъдат установени във всеки конкретен случай, тъй като отнасянето на определени категории престъпления </w:t>
      </w:r>
      <w:proofErr w:type="spellStart"/>
      <w:r w:rsidR="00B063C5" w:rsidRPr="006A5AC8">
        <w:rPr>
          <w:i/>
          <w:lang w:val="bg-BG"/>
        </w:rPr>
        <w:t>in</w:t>
      </w:r>
      <w:proofErr w:type="spellEnd"/>
      <w:r w:rsidR="00B063C5" w:rsidRPr="006A5AC8">
        <w:rPr>
          <w:i/>
          <w:lang w:val="bg-BG"/>
        </w:rPr>
        <w:t xml:space="preserve"> </w:t>
      </w:r>
      <w:proofErr w:type="spellStart"/>
      <w:r w:rsidR="00B063C5" w:rsidRPr="006A5AC8">
        <w:rPr>
          <w:i/>
          <w:lang w:val="bg-BG"/>
        </w:rPr>
        <w:t>abstracto</w:t>
      </w:r>
      <w:proofErr w:type="spellEnd"/>
      <w:r w:rsidR="00B063C5" w:rsidRPr="006A5AC8">
        <w:rPr>
          <w:lang w:val="bg-BG"/>
        </w:rPr>
        <w:t xml:space="preserve"> към военните съдилища не е достатъчно. Тези изключителни случаи трябва да бъдат изрично определени със закон.</w:t>
      </w:r>
      <w:r w:rsidR="005908B5" w:rsidRPr="006A5AC8">
        <w:rPr>
          <w:lang w:val="bg-BG"/>
        </w:rPr>
        <w:t xml:space="preserve"> (...)“</w:t>
      </w:r>
    </w:p>
    <w:bookmarkStart w:id="9" w:name="Para19"/>
    <w:p w14:paraId="21F57BA6" w14:textId="32FD5CF1"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20</w:t>
      </w:r>
      <w:r w:rsidRPr="006A5AC8">
        <w:rPr>
          <w:lang w:val="bg-BG"/>
        </w:rPr>
        <w:fldChar w:fldCharType="end"/>
      </w:r>
      <w:bookmarkEnd w:id="9"/>
      <w:r w:rsidRPr="006A5AC8">
        <w:rPr>
          <w:lang w:val="bg-BG"/>
        </w:rPr>
        <w:t>.  </w:t>
      </w:r>
      <w:r w:rsidR="00383C4B" w:rsidRPr="006A5AC8">
        <w:rPr>
          <w:lang w:val="bg-BG"/>
        </w:rPr>
        <w:t xml:space="preserve">Други елементи, относими към международната ситуация в областта на съдебния процес срещу цивилни лица пред военните съдилища, са </w:t>
      </w:r>
      <w:r w:rsidR="00AB1EFF">
        <w:rPr>
          <w:lang w:val="bg-BG"/>
        </w:rPr>
        <w:t>описани</w:t>
      </w:r>
      <w:r w:rsidR="00AB1EFF" w:rsidRPr="006A5AC8">
        <w:rPr>
          <w:lang w:val="bg-BG"/>
        </w:rPr>
        <w:t xml:space="preserve"> </w:t>
      </w:r>
      <w:r w:rsidR="00383C4B" w:rsidRPr="006A5AC8">
        <w:rPr>
          <w:lang w:val="bg-BG"/>
        </w:rPr>
        <w:t>в решенията</w:t>
      </w:r>
      <w:r w:rsidRPr="006A5AC8">
        <w:rPr>
          <w:lang w:val="bg-BG"/>
        </w:rPr>
        <w:t xml:space="preserve"> </w:t>
      </w:r>
      <w:proofErr w:type="spellStart"/>
      <w:r w:rsidRPr="006A5AC8">
        <w:rPr>
          <w:i/>
          <w:lang w:val="bg-BG"/>
        </w:rPr>
        <w:t>Maszni</w:t>
      </w:r>
      <w:proofErr w:type="spellEnd"/>
      <w:r w:rsidRPr="006A5AC8">
        <w:rPr>
          <w:i/>
          <w:lang w:val="bg-BG"/>
        </w:rPr>
        <w:t xml:space="preserve"> </w:t>
      </w:r>
      <w:r w:rsidR="00383C4B" w:rsidRPr="006A5AC8">
        <w:rPr>
          <w:i/>
          <w:lang w:val="bg-BG"/>
        </w:rPr>
        <w:t xml:space="preserve">срещу </w:t>
      </w:r>
      <w:r w:rsidR="007753D5" w:rsidRPr="006A5AC8">
        <w:rPr>
          <w:i/>
          <w:lang w:val="bg-BG"/>
        </w:rPr>
        <w:t>Румъния</w:t>
      </w:r>
      <w:r w:rsidRPr="006A5AC8">
        <w:rPr>
          <w:lang w:val="bg-BG"/>
        </w:rPr>
        <w:t xml:space="preserve"> (</w:t>
      </w:r>
      <w:r w:rsidR="00383C4B" w:rsidRPr="006A5AC8">
        <w:rPr>
          <w:lang w:val="bg-BG"/>
        </w:rPr>
        <w:t>№</w:t>
      </w:r>
      <w:r w:rsidRPr="006A5AC8">
        <w:rPr>
          <w:lang w:val="bg-BG"/>
        </w:rPr>
        <w:t xml:space="preserve"> 59892/00, §§ 27-33, </w:t>
      </w:r>
      <w:r w:rsidR="00383C4B" w:rsidRPr="006A5AC8">
        <w:rPr>
          <w:lang w:val="bg-BG"/>
        </w:rPr>
        <w:t xml:space="preserve">от </w:t>
      </w:r>
      <w:r w:rsidRPr="006A5AC8">
        <w:rPr>
          <w:lang w:val="bg-BG"/>
        </w:rPr>
        <w:t>21 </w:t>
      </w:r>
      <w:r w:rsidR="00383C4B" w:rsidRPr="006A5AC8">
        <w:rPr>
          <w:lang w:val="bg-BG"/>
        </w:rPr>
        <w:t>септември</w:t>
      </w:r>
      <w:r w:rsidRPr="006A5AC8">
        <w:rPr>
          <w:lang w:val="bg-BG"/>
        </w:rPr>
        <w:t xml:space="preserve"> 2006</w:t>
      </w:r>
      <w:r w:rsidR="00383C4B" w:rsidRPr="006A5AC8">
        <w:rPr>
          <w:lang w:val="bg-BG"/>
        </w:rPr>
        <w:t xml:space="preserve"> г.</w:t>
      </w:r>
      <w:r w:rsidRPr="006A5AC8">
        <w:rPr>
          <w:lang w:val="bg-BG"/>
        </w:rPr>
        <w:t>)</w:t>
      </w:r>
      <w:r w:rsidR="00383C4B" w:rsidRPr="006A5AC8">
        <w:rPr>
          <w:lang w:val="bg-BG"/>
        </w:rPr>
        <w:t xml:space="preserve"> и</w:t>
      </w:r>
      <w:r w:rsidRPr="006A5AC8">
        <w:rPr>
          <w:lang w:val="bg-BG"/>
        </w:rPr>
        <w:t xml:space="preserve"> </w:t>
      </w:r>
      <w:proofErr w:type="spellStart"/>
      <w:r w:rsidRPr="006A5AC8">
        <w:rPr>
          <w:i/>
          <w:lang w:val="bg-BG"/>
        </w:rPr>
        <w:t>Ergin</w:t>
      </w:r>
      <w:proofErr w:type="spellEnd"/>
      <w:r w:rsidRPr="006A5AC8">
        <w:rPr>
          <w:i/>
          <w:lang w:val="bg-BG"/>
        </w:rPr>
        <w:t xml:space="preserve"> </w:t>
      </w:r>
      <w:r w:rsidR="00383C4B" w:rsidRPr="006A5AC8">
        <w:rPr>
          <w:i/>
          <w:lang w:val="bg-BG"/>
        </w:rPr>
        <w:t>срещу Турция</w:t>
      </w:r>
      <w:r w:rsidRPr="006A5AC8">
        <w:rPr>
          <w:i/>
          <w:lang w:val="bg-BG"/>
        </w:rPr>
        <w:t xml:space="preserve"> (</w:t>
      </w:r>
      <w:r w:rsidR="00383C4B" w:rsidRPr="006A5AC8">
        <w:rPr>
          <w:i/>
          <w:lang w:val="bg-BG"/>
        </w:rPr>
        <w:t>№</w:t>
      </w:r>
      <w:r w:rsidRPr="006A5AC8">
        <w:rPr>
          <w:i/>
          <w:lang w:val="bg-BG"/>
        </w:rPr>
        <w:t xml:space="preserve"> 6)</w:t>
      </w:r>
      <w:r w:rsidRPr="006A5AC8">
        <w:rPr>
          <w:lang w:val="bg-BG"/>
        </w:rPr>
        <w:t xml:space="preserve"> (</w:t>
      </w:r>
      <w:r w:rsidR="00383C4B" w:rsidRPr="006A5AC8">
        <w:rPr>
          <w:lang w:val="bg-BG"/>
        </w:rPr>
        <w:t>№</w:t>
      </w:r>
      <w:r w:rsidRPr="006A5AC8">
        <w:rPr>
          <w:lang w:val="bg-BG"/>
        </w:rPr>
        <w:t xml:space="preserve"> 47533/99, §§ 20-25, </w:t>
      </w:r>
      <w:r w:rsidR="00AC709E" w:rsidRPr="006A5AC8">
        <w:rPr>
          <w:lang w:val="bg-BG"/>
        </w:rPr>
        <w:t>ЕСПЧ</w:t>
      </w:r>
      <w:r w:rsidRPr="006A5AC8">
        <w:rPr>
          <w:lang w:val="bg-BG"/>
        </w:rPr>
        <w:t xml:space="preserve"> 2006</w:t>
      </w:r>
      <w:r w:rsidRPr="006A5AC8">
        <w:rPr>
          <w:lang w:val="bg-BG"/>
        </w:rPr>
        <w:noBreakHyphen/>
        <w:t>VI (</w:t>
      </w:r>
      <w:r w:rsidR="00383C4B" w:rsidRPr="006A5AC8">
        <w:rPr>
          <w:lang w:val="bg-BG"/>
        </w:rPr>
        <w:t>извадки</w:t>
      </w:r>
      <w:r w:rsidRPr="006A5AC8">
        <w:rPr>
          <w:lang w:val="bg-BG"/>
        </w:rPr>
        <w:t>)).</w:t>
      </w:r>
    </w:p>
    <w:p w14:paraId="61955FDA" w14:textId="77777777" w:rsidR="005C5787" w:rsidRPr="006A5AC8" w:rsidRDefault="00247DA9" w:rsidP="00EE31D5">
      <w:pPr>
        <w:pStyle w:val="JuHHead"/>
        <w:rPr>
          <w:lang w:val="bg-BG"/>
        </w:rPr>
      </w:pPr>
      <w:r w:rsidRPr="006A5AC8">
        <w:rPr>
          <w:lang w:val="bg-BG"/>
        </w:rPr>
        <w:lastRenderedPageBreak/>
        <w:t>ПРАВО</w:t>
      </w:r>
    </w:p>
    <w:p w14:paraId="3A8B1226" w14:textId="3CE35BD3" w:rsidR="005C5787" w:rsidRPr="00A66D63" w:rsidRDefault="00247DA9" w:rsidP="005B3898">
      <w:pPr>
        <w:pStyle w:val="JuHIRoman"/>
        <w:rPr>
          <w:lang w:val="bg-BG"/>
        </w:rPr>
      </w:pPr>
      <w:r w:rsidRPr="00A66D63">
        <w:rPr>
          <w:lang w:val="bg-BG"/>
        </w:rPr>
        <w:t>ТВЪРДЯНО НАРУШЕНИЕ НА ЧЛЕН 6</w:t>
      </w:r>
      <w:r w:rsidR="00E7769E">
        <w:rPr>
          <w:lang w:val="bg-BG"/>
        </w:rPr>
        <w:t xml:space="preserve"> § </w:t>
      </w:r>
      <w:r w:rsidRPr="00A66D63">
        <w:rPr>
          <w:lang w:val="bg-BG"/>
        </w:rPr>
        <w:t>1 ОТ КОН</w:t>
      </w:r>
      <w:r w:rsidR="00A66D63">
        <w:rPr>
          <w:lang w:val="bg-BG"/>
        </w:rPr>
        <w:t>вен</w:t>
      </w:r>
      <w:r w:rsidRPr="00A66D63">
        <w:rPr>
          <w:lang w:val="bg-BG"/>
        </w:rPr>
        <w:t>ЦИЯТА</w:t>
      </w:r>
    </w:p>
    <w:p w14:paraId="0444217D" w14:textId="60D4B29E" w:rsidR="007753D5"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21</w:t>
      </w:r>
      <w:r w:rsidRPr="006A5AC8">
        <w:rPr>
          <w:lang w:val="bg-BG"/>
        </w:rPr>
        <w:fldChar w:fldCharType="end"/>
      </w:r>
      <w:r w:rsidRPr="006A5AC8">
        <w:rPr>
          <w:lang w:val="bg-BG"/>
        </w:rPr>
        <w:t>.  </w:t>
      </w:r>
      <w:r w:rsidR="007753D5" w:rsidRPr="006A5AC8">
        <w:rPr>
          <w:lang w:val="bg-BG"/>
        </w:rPr>
        <w:t xml:space="preserve">Жалбоподателят се оплаква, че съдебният процес </w:t>
      </w:r>
      <w:r w:rsidR="00D21E46">
        <w:rPr>
          <w:lang w:val="bg-BG"/>
        </w:rPr>
        <w:t xml:space="preserve">срещу него </w:t>
      </w:r>
      <w:r w:rsidR="007753D5" w:rsidRPr="006A5AC8">
        <w:rPr>
          <w:lang w:val="bg-BG"/>
        </w:rPr>
        <w:t>пред военния съд и Военно-апелатив</w:t>
      </w:r>
      <w:r w:rsidR="00D21E46">
        <w:rPr>
          <w:lang w:val="bg-BG"/>
        </w:rPr>
        <w:t>ния</w:t>
      </w:r>
      <w:r w:rsidR="007753D5" w:rsidRPr="006A5AC8">
        <w:rPr>
          <w:lang w:val="bg-BG"/>
        </w:rPr>
        <w:t xml:space="preserve"> съд не отговаря на изискванията на член 6</w:t>
      </w:r>
      <w:r w:rsidR="00E748D0">
        <w:rPr>
          <w:lang w:val="bg-BG"/>
        </w:rPr>
        <w:t xml:space="preserve"> §</w:t>
      </w:r>
      <w:r w:rsidR="007753D5" w:rsidRPr="006A5AC8">
        <w:rPr>
          <w:lang w:val="bg-BG"/>
        </w:rPr>
        <w:t xml:space="preserve"> 1 от Конвенцията. По-конкретно той посочва, че военният съд се състои от един военен съдия и двама офицери, а Военно-апелативният съд от трима военни съдии. Поради това той счита, че тези две юрисдикции не могат да се разглеждат като независими и безпристрастни съдилища. В тази връзка той твърди, че явяването като цивилно лице пред съдилища, съставени изключително от военнослужещи, само по себе си представлява нарушение на член 6, </w:t>
      </w:r>
      <w:r w:rsidR="00E748D0">
        <w:rPr>
          <w:lang w:val="bg-BG"/>
        </w:rPr>
        <w:t>§</w:t>
      </w:r>
      <w:r w:rsidR="00E748D0" w:rsidRPr="006A5AC8">
        <w:rPr>
          <w:lang w:val="bg-BG"/>
        </w:rPr>
        <w:t xml:space="preserve"> </w:t>
      </w:r>
      <w:r w:rsidR="007753D5" w:rsidRPr="006A5AC8">
        <w:rPr>
          <w:lang w:val="bg-BG"/>
        </w:rPr>
        <w:t>1 от Конвенцията, чиито относими към делото части са формулирани по следния начин:</w:t>
      </w:r>
    </w:p>
    <w:p w14:paraId="44C5582E" w14:textId="7F1C29CD" w:rsidR="007753D5" w:rsidRDefault="007753D5" w:rsidP="00EE31D5">
      <w:pPr>
        <w:pStyle w:val="JuQuot"/>
        <w:rPr>
          <w:lang w:val="bg-BG"/>
        </w:rPr>
      </w:pPr>
      <w:r w:rsidRPr="006A5AC8">
        <w:rPr>
          <w:lang w:val="bg-BG"/>
        </w:rPr>
        <w:t>„</w:t>
      </w:r>
      <w:r w:rsidR="00A44A35">
        <w:t>Β</w:t>
      </w:r>
      <w:proofErr w:type="spellStart"/>
      <w:r w:rsidR="00A44A35" w:rsidRPr="007725DF">
        <w:rPr>
          <w:lang w:val="bg-BG"/>
        </w:rPr>
        <w:t>сяко</w:t>
      </w:r>
      <w:proofErr w:type="spellEnd"/>
      <w:r w:rsidR="00A44A35" w:rsidRPr="007725DF">
        <w:rPr>
          <w:lang w:val="bg-BG"/>
        </w:rPr>
        <w:t xml:space="preserve"> лице</w:t>
      </w:r>
      <w:r w:rsidR="00A44A35">
        <w:rPr>
          <w:lang w:val="bg-BG"/>
        </w:rPr>
        <w:t xml:space="preserve"> </w:t>
      </w:r>
      <w:r w:rsidR="00A44A35" w:rsidRPr="00882A1E">
        <w:rPr>
          <w:lang w:val="bg-BG"/>
        </w:rPr>
        <w:t xml:space="preserve">при решаването на </w:t>
      </w:r>
      <w:r w:rsidR="00A44A35">
        <w:rPr>
          <w:lang w:val="bg-BG"/>
        </w:rPr>
        <w:t xml:space="preserve">(…) </w:t>
      </w:r>
      <w:r w:rsidR="00A44A35" w:rsidRPr="00882A1E">
        <w:rPr>
          <w:lang w:val="bg-BG"/>
        </w:rPr>
        <w:t>основателността на каквото и да е наказателно обвинение срещу него, има право на справедливо и публично гледане на неговото дело в разумен срок, от независим и безпристрастен съд, създаден в съответствие със закона.</w:t>
      </w:r>
      <w:r w:rsidR="00A44A35">
        <w:rPr>
          <w:lang w:val="bg-BG"/>
        </w:rPr>
        <w:t>“</w:t>
      </w:r>
    </w:p>
    <w:p w14:paraId="045F8108" w14:textId="77777777" w:rsidR="00CF0300" w:rsidRDefault="00CF0300" w:rsidP="00EE31D5">
      <w:pPr>
        <w:pStyle w:val="JuPara"/>
        <w:rPr>
          <w:lang w:val="bg-BG"/>
        </w:rPr>
      </w:pPr>
    </w:p>
    <w:p w14:paraId="61D4B726"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22</w:t>
      </w:r>
      <w:r w:rsidRPr="006A5AC8">
        <w:rPr>
          <w:lang w:val="bg-BG"/>
        </w:rPr>
        <w:fldChar w:fldCharType="end"/>
      </w:r>
      <w:r w:rsidRPr="006A5AC8">
        <w:rPr>
          <w:lang w:val="bg-BG"/>
        </w:rPr>
        <w:t>.  </w:t>
      </w:r>
      <w:r w:rsidR="007753D5" w:rsidRPr="006A5AC8">
        <w:rPr>
          <w:lang w:val="bg-BG"/>
        </w:rPr>
        <w:t>Правителството отхвърля тази теза</w:t>
      </w:r>
      <w:r w:rsidRPr="006A5AC8">
        <w:rPr>
          <w:lang w:val="bg-BG"/>
        </w:rPr>
        <w:t>.</w:t>
      </w:r>
    </w:p>
    <w:p w14:paraId="38830FDC" w14:textId="77777777" w:rsidR="005C5787" w:rsidRPr="006A5AC8" w:rsidRDefault="003C0D27" w:rsidP="00EE31D5">
      <w:pPr>
        <w:pStyle w:val="JuHA"/>
        <w:rPr>
          <w:lang w:val="bg-BG"/>
        </w:rPr>
      </w:pPr>
      <w:r w:rsidRPr="006A5AC8">
        <w:rPr>
          <w:lang w:val="bg-BG"/>
        </w:rPr>
        <w:t>Допустимост</w:t>
      </w:r>
    </w:p>
    <w:p w14:paraId="170449B6" w14:textId="0EF84431" w:rsidR="007C2285"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23</w:t>
      </w:r>
      <w:r w:rsidRPr="006A5AC8">
        <w:rPr>
          <w:lang w:val="bg-BG"/>
        </w:rPr>
        <w:fldChar w:fldCharType="end"/>
      </w:r>
      <w:r w:rsidRPr="006A5AC8">
        <w:rPr>
          <w:lang w:val="bg-BG"/>
        </w:rPr>
        <w:t>.  </w:t>
      </w:r>
      <w:r w:rsidR="007C2285" w:rsidRPr="006A5AC8">
        <w:rPr>
          <w:lang w:val="bg-BG"/>
        </w:rPr>
        <w:t>Установявайки, че това оплакване не е явно необосновано по смисъла на член 35</w:t>
      </w:r>
      <w:r w:rsidR="007725DF">
        <w:rPr>
          <w:lang w:val="bg-BG"/>
        </w:rPr>
        <w:t xml:space="preserve"> §</w:t>
      </w:r>
      <w:r w:rsidR="007725DF" w:rsidRPr="006A5AC8">
        <w:rPr>
          <w:lang w:val="bg-BG"/>
        </w:rPr>
        <w:t xml:space="preserve"> </w:t>
      </w:r>
      <w:r w:rsidR="007C2285" w:rsidRPr="006A5AC8">
        <w:rPr>
          <w:lang w:val="bg-BG"/>
        </w:rPr>
        <w:t>3, буква а) от Конвенцията</w:t>
      </w:r>
      <w:r w:rsidR="00220DC9" w:rsidRPr="006A5AC8">
        <w:rPr>
          <w:lang w:val="bg-BG"/>
        </w:rPr>
        <w:t>, както</w:t>
      </w:r>
      <w:r w:rsidR="007C2285" w:rsidRPr="006A5AC8">
        <w:rPr>
          <w:lang w:val="bg-BG"/>
        </w:rPr>
        <w:t xml:space="preserve"> и че не противоречи на друго основание за допустимост, Съдът го обявява за допустимо.</w:t>
      </w:r>
    </w:p>
    <w:p w14:paraId="1A8C75FB" w14:textId="77777777" w:rsidR="005C5787" w:rsidRPr="006A5AC8" w:rsidRDefault="007C2285" w:rsidP="00EE31D5">
      <w:pPr>
        <w:pStyle w:val="JuHA"/>
        <w:rPr>
          <w:lang w:val="bg-BG"/>
        </w:rPr>
      </w:pPr>
      <w:r w:rsidRPr="006A5AC8">
        <w:rPr>
          <w:lang w:val="bg-BG"/>
        </w:rPr>
        <w:t>По същество</w:t>
      </w:r>
    </w:p>
    <w:p w14:paraId="1996CDC4" w14:textId="77777777" w:rsidR="005C5787" w:rsidRPr="006A5AC8" w:rsidRDefault="00C455A6" w:rsidP="00EE31D5">
      <w:pPr>
        <w:pStyle w:val="JuH1"/>
        <w:rPr>
          <w:lang w:val="bg-BG"/>
        </w:rPr>
      </w:pPr>
      <w:r w:rsidRPr="006A5AC8">
        <w:rPr>
          <w:lang w:val="bg-BG"/>
        </w:rPr>
        <w:t>Аргументите на страните</w:t>
      </w:r>
    </w:p>
    <w:p w14:paraId="496098CB" w14:textId="77777777" w:rsidR="001A52F9"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24</w:t>
      </w:r>
      <w:r w:rsidRPr="006A5AC8">
        <w:rPr>
          <w:lang w:val="bg-BG"/>
        </w:rPr>
        <w:fldChar w:fldCharType="end"/>
      </w:r>
      <w:r w:rsidRPr="006A5AC8">
        <w:rPr>
          <w:lang w:val="bg-BG"/>
        </w:rPr>
        <w:t>.  </w:t>
      </w:r>
      <w:r w:rsidR="001A52F9" w:rsidRPr="006A5AC8">
        <w:rPr>
          <w:lang w:val="bg-BG"/>
        </w:rPr>
        <w:t>Според жалбоподателя, след като са станали военни магистрати, съдиите се интегрират в структурата на военнослужещите, присвоява им се звание и също подлежат на военна дисциплина. Той излага, че съдебните заседатели на военния съд също са офицери от армията и са назначени по предложение на командирите на военните части. Посочва и, че както военните съдии, така и съдебните заседатели са длъжни да носят военна униформа по време на съдебните заседания.</w:t>
      </w:r>
    </w:p>
    <w:p w14:paraId="19D26D41" w14:textId="5F75C55F" w:rsidR="005A36AD"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25</w:t>
      </w:r>
      <w:r w:rsidRPr="006A5AC8">
        <w:rPr>
          <w:lang w:val="bg-BG"/>
        </w:rPr>
        <w:fldChar w:fldCharType="end"/>
      </w:r>
      <w:r w:rsidRPr="006A5AC8">
        <w:rPr>
          <w:lang w:val="bg-BG"/>
        </w:rPr>
        <w:t>.  </w:t>
      </w:r>
      <w:r w:rsidR="005A36AD" w:rsidRPr="006A5AC8">
        <w:rPr>
          <w:lang w:val="bg-BG"/>
        </w:rPr>
        <w:t>Жалбоподателят не счита</w:t>
      </w:r>
      <w:r w:rsidR="00CD4CB8">
        <w:rPr>
          <w:lang w:val="bg-BG"/>
        </w:rPr>
        <w:t>, че е било</w:t>
      </w:r>
      <w:r w:rsidR="005A36AD" w:rsidRPr="006A5AC8">
        <w:rPr>
          <w:lang w:val="bg-BG"/>
        </w:rPr>
        <w:t xml:space="preserve">  необходимо делото му да бъде разгледано </w:t>
      </w:r>
      <w:r w:rsidR="007D714E">
        <w:rPr>
          <w:lang w:val="bg-BG"/>
        </w:rPr>
        <w:t>пред</w:t>
      </w:r>
      <w:r w:rsidR="005A36AD" w:rsidRPr="006A5AC8">
        <w:rPr>
          <w:lang w:val="bg-BG"/>
        </w:rPr>
        <w:t xml:space="preserve"> военните съдилища. Той излага, че законът предвижда изключителна компетентност на военните съдилища да разглеждат престъпления, извършени съвместно от </w:t>
      </w:r>
      <w:r w:rsidR="005A36AD" w:rsidRPr="006A5AC8">
        <w:rPr>
          <w:lang w:val="bg-BG"/>
        </w:rPr>
        <w:lastRenderedPageBreak/>
        <w:t xml:space="preserve">военнослужещи и цивилни лица. </w:t>
      </w:r>
      <w:r w:rsidR="00432ADC" w:rsidRPr="006A5AC8">
        <w:rPr>
          <w:lang w:val="bg-BG"/>
        </w:rPr>
        <w:t>Д</w:t>
      </w:r>
      <w:r w:rsidR="005A36AD" w:rsidRPr="006A5AC8">
        <w:rPr>
          <w:lang w:val="bg-BG"/>
        </w:rPr>
        <w:t>обавя също, че единствената причина, по</w:t>
      </w:r>
      <w:r w:rsidR="00432ADC" w:rsidRPr="006A5AC8">
        <w:rPr>
          <w:lang w:val="bg-BG"/>
        </w:rPr>
        <w:t>ради която неговото дело</w:t>
      </w:r>
      <w:r w:rsidR="005A36AD" w:rsidRPr="006A5AC8">
        <w:rPr>
          <w:lang w:val="bg-BG"/>
        </w:rPr>
        <w:t xml:space="preserve"> е разгледан</w:t>
      </w:r>
      <w:r w:rsidR="00432ADC" w:rsidRPr="006A5AC8">
        <w:rPr>
          <w:lang w:val="bg-BG"/>
        </w:rPr>
        <w:t>о</w:t>
      </w:r>
      <w:r w:rsidR="005A36AD" w:rsidRPr="006A5AC8">
        <w:rPr>
          <w:lang w:val="bg-BG"/>
        </w:rPr>
        <w:t xml:space="preserve"> от военните съдилища, е, че един от обвиняемите е </w:t>
      </w:r>
      <w:r w:rsidR="00432ADC" w:rsidRPr="006A5AC8">
        <w:rPr>
          <w:lang w:val="bg-BG"/>
        </w:rPr>
        <w:t>бил част от</w:t>
      </w:r>
      <w:r w:rsidR="005A36AD" w:rsidRPr="006A5AC8">
        <w:rPr>
          <w:lang w:val="bg-BG"/>
        </w:rPr>
        <w:t xml:space="preserve"> </w:t>
      </w:r>
      <w:r w:rsidR="00273B0B">
        <w:rPr>
          <w:lang w:val="bg-BG"/>
        </w:rPr>
        <w:t xml:space="preserve">състава на </w:t>
      </w:r>
      <w:r w:rsidR="005A36AD" w:rsidRPr="006A5AC8">
        <w:rPr>
          <w:lang w:val="bg-BG"/>
        </w:rPr>
        <w:t xml:space="preserve">въоръжените сили към момента на </w:t>
      </w:r>
      <w:r w:rsidR="00273B0B">
        <w:rPr>
          <w:lang w:val="bg-BG"/>
        </w:rPr>
        <w:t xml:space="preserve">извършване на </w:t>
      </w:r>
      <w:r w:rsidR="00432ADC" w:rsidRPr="006A5AC8">
        <w:rPr>
          <w:lang w:val="bg-BG"/>
        </w:rPr>
        <w:t>деянията, в които са били обвинени (виж п</w:t>
      </w:r>
      <w:r w:rsidR="005A36AD" w:rsidRPr="006A5AC8">
        <w:rPr>
          <w:lang w:val="bg-BG"/>
        </w:rPr>
        <w:t xml:space="preserve">араграф 6 по-горе). И накрая, </w:t>
      </w:r>
      <w:r w:rsidR="00071322" w:rsidRPr="006A5AC8">
        <w:rPr>
          <w:lang w:val="bg-BG"/>
        </w:rPr>
        <w:t xml:space="preserve">жалбоподателят счита, че </w:t>
      </w:r>
      <w:r w:rsidR="00273B0B">
        <w:rPr>
          <w:lang w:val="bg-BG"/>
        </w:rPr>
        <w:t>въпреки факта</w:t>
      </w:r>
      <w:r w:rsidR="005A36AD" w:rsidRPr="006A5AC8">
        <w:rPr>
          <w:lang w:val="bg-BG"/>
        </w:rPr>
        <w:t>, че Върховният касацио</w:t>
      </w:r>
      <w:r w:rsidR="00273B0B">
        <w:rPr>
          <w:lang w:val="bg-BG"/>
        </w:rPr>
        <w:t>нен съд е компетентен да разгле</w:t>
      </w:r>
      <w:r w:rsidR="005A36AD" w:rsidRPr="006A5AC8">
        <w:rPr>
          <w:lang w:val="bg-BG"/>
        </w:rPr>
        <w:t xml:space="preserve">да делото </w:t>
      </w:r>
      <w:r w:rsidR="00432ADC" w:rsidRPr="006A5AC8">
        <w:rPr>
          <w:lang w:val="bg-BG"/>
        </w:rPr>
        <w:t>на последна</w:t>
      </w:r>
      <w:r w:rsidR="005A36AD" w:rsidRPr="006A5AC8">
        <w:rPr>
          <w:lang w:val="bg-BG"/>
        </w:rPr>
        <w:t xml:space="preserve"> инстанция, това не може да промени</w:t>
      </w:r>
      <w:r w:rsidR="00432ADC" w:rsidRPr="006A5AC8">
        <w:rPr>
          <w:lang w:val="bg-BG"/>
        </w:rPr>
        <w:t xml:space="preserve"> нищо по</w:t>
      </w:r>
      <w:r w:rsidR="005A36AD" w:rsidRPr="006A5AC8">
        <w:rPr>
          <w:lang w:val="bg-BG"/>
        </w:rPr>
        <w:t xml:space="preserve"> процедурата, </w:t>
      </w:r>
      <w:r w:rsidR="00432ADC" w:rsidRPr="006A5AC8">
        <w:rPr>
          <w:lang w:val="bg-BG"/>
        </w:rPr>
        <w:t xml:space="preserve">тъй като </w:t>
      </w:r>
      <w:r w:rsidR="005A36AD" w:rsidRPr="006A5AC8">
        <w:rPr>
          <w:lang w:val="bg-BG"/>
        </w:rPr>
        <w:t xml:space="preserve">член 396, </w:t>
      </w:r>
      <w:r w:rsidR="00432ADC" w:rsidRPr="006A5AC8">
        <w:rPr>
          <w:lang w:val="bg-BG"/>
        </w:rPr>
        <w:t>алинея 2 от НПК предоставя</w:t>
      </w:r>
      <w:r w:rsidR="005A36AD" w:rsidRPr="006A5AC8">
        <w:rPr>
          <w:lang w:val="bg-BG"/>
        </w:rPr>
        <w:t xml:space="preserve"> изключителна компетентност на военните съдилища</w:t>
      </w:r>
      <w:r w:rsidR="00432ADC" w:rsidRPr="006A5AC8">
        <w:rPr>
          <w:lang w:val="bg-BG"/>
        </w:rPr>
        <w:t>.</w:t>
      </w:r>
    </w:p>
    <w:p w14:paraId="38B6115C" w14:textId="4421AA59" w:rsidR="00F85639"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26</w:t>
      </w:r>
      <w:r w:rsidRPr="006A5AC8">
        <w:rPr>
          <w:lang w:val="bg-BG"/>
        </w:rPr>
        <w:fldChar w:fldCharType="end"/>
      </w:r>
      <w:r w:rsidRPr="006A5AC8">
        <w:rPr>
          <w:lang w:val="bg-BG"/>
        </w:rPr>
        <w:t>.  </w:t>
      </w:r>
      <w:r w:rsidR="00F85639" w:rsidRPr="006A5AC8">
        <w:rPr>
          <w:lang w:val="bg-BG"/>
        </w:rPr>
        <w:t>Правителството твърди, че съдиите във военните съдилища отговарят на критериите за независимост и безпристрастност, изисквани от член 6</w:t>
      </w:r>
      <w:r w:rsidR="00CD4CB8">
        <w:rPr>
          <w:lang w:val="bg-BG"/>
        </w:rPr>
        <w:t xml:space="preserve"> §</w:t>
      </w:r>
      <w:r w:rsidR="00F85639" w:rsidRPr="006A5AC8">
        <w:rPr>
          <w:lang w:val="bg-BG"/>
        </w:rPr>
        <w:t xml:space="preserve"> 1 от Конвенцията. То посочва, че начинът им на назначаване, несменяемостта и стабилността на тяхната длъжност, които им се предоставят, както и техните права и задължения са идентични с тези на техните колеги от гражданските съдилища и в неговите очи предлагат достатъчно гаранции за независимост и безпристрастност. Допълва, че военните съдии не са обвързани със заповеди и инструкции, издадени от Министерството на отбраната.</w:t>
      </w:r>
    </w:p>
    <w:p w14:paraId="3BC4B97C" w14:textId="5A90F431" w:rsidR="00F377DD"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27</w:t>
      </w:r>
      <w:r w:rsidRPr="006A5AC8">
        <w:rPr>
          <w:lang w:val="bg-BG"/>
        </w:rPr>
        <w:fldChar w:fldCharType="end"/>
      </w:r>
      <w:r w:rsidRPr="006A5AC8">
        <w:rPr>
          <w:lang w:val="bg-BG"/>
        </w:rPr>
        <w:t>.  </w:t>
      </w:r>
      <w:r w:rsidR="00F377DD" w:rsidRPr="006A5AC8">
        <w:rPr>
          <w:lang w:val="bg-BG"/>
        </w:rPr>
        <w:t xml:space="preserve">Правителството </w:t>
      </w:r>
      <w:r w:rsidR="00564644" w:rsidRPr="006A5AC8">
        <w:rPr>
          <w:lang w:val="bg-BG"/>
        </w:rPr>
        <w:t>пледира</w:t>
      </w:r>
      <w:r w:rsidR="00F377DD" w:rsidRPr="006A5AC8">
        <w:rPr>
          <w:lang w:val="bg-BG"/>
        </w:rPr>
        <w:t xml:space="preserve">, че съдебният процес срещу жалбоподателя трябва да бъде в компетентността на военните съдилища, за да могат </w:t>
      </w:r>
      <w:r w:rsidR="00071322">
        <w:rPr>
          <w:lang w:val="bg-BG"/>
        </w:rPr>
        <w:t>последните</w:t>
      </w:r>
      <w:r w:rsidR="00F377DD" w:rsidRPr="006A5AC8">
        <w:rPr>
          <w:lang w:val="bg-BG"/>
        </w:rPr>
        <w:t xml:space="preserve"> да анализират съвкупността от факти.</w:t>
      </w:r>
      <w:r w:rsidR="00564644" w:rsidRPr="006A5AC8">
        <w:rPr>
          <w:lang w:val="bg-BG"/>
        </w:rPr>
        <w:t xml:space="preserve"> То излага</w:t>
      </w:r>
      <w:r w:rsidR="00F377DD" w:rsidRPr="006A5AC8">
        <w:rPr>
          <w:lang w:val="bg-BG"/>
        </w:rPr>
        <w:t>, че престъпленията, з</w:t>
      </w:r>
      <w:r w:rsidR="00564644" w:rsidRPr="006A5AC8">
        <w:rPr>
          <w:lang w:val="bg-BG"/>
        </w:rPr>
        <w:t>а които е повдигнато обвинение срещу</w:t>
      </w:r>
      <w:r w:rsidR="00F377DD" w:rsidRPr="006A5AC8">
        <w:rPr>
          <w:lang w:val="bg-BG"/>
        </w:rPr>
        <w:t xml:space="preserve"> жалбоподателя, </w:t>
      </w:r>
      <w:r w:rsidR="00564644" w:rsidRPr="006A5AC8">
        <w:rPr>
          <w:lang w:val="bg-BG"/>
        </w:rPr>
        <w:t>се отнасят до организиране</w:t>
      </w:r>
      <w:r w:rsidR="00F377DD" w:rsidRPr="006A5AC8">
        <w:rPr>
          <w:lang w:val="bg-BG"/>
        </w:rPr>
        <w:t xml:space="preserve"> и </w:t>
      </w:r>
      <w:r w:rsidR="00564644" w:rsidRPr="006A5AC8">
        <w:rPr>
          <w:lang w:val="bg-BG"/>
        </w:rPr>
        <w:t>ръководене</w:t>
      </w:r>
      <w:r w:rsidR="00F377DD" w:rsidRPr="006A5AC8">
        <w:rPr>
          <w:lang w:val="bg-BG"/>
        </w:rPr>
        <w:t xml:space="preserve"> на престъпна група, както и </w:t>
      </w:r>
      <w:r w:rsidR="00071322">
        <w:rPr>
          <w:lang w:val="bg-BG"/>
        </w:rPr>
        <w:t xml:space="preserve">до </w:t>
      </w:r>
      <w:r w:rsidR="00564644" w:rsidRPr="006A5AC8">
        <w:rPr>
          <w:lang w:val="bg-BG"/>
        </w:rPr>
        <w:t>деяния</w:t>
      </w:r>
      <w:r w:rsidR="00F377DD" w:rsidRPr="006A5AC8">
        <w:rPr>
          <w:lang w:val="bg-BG"/>
        </w:rPr>
        <w:t xml:space="preserve">, извършени в хода на дейностите, извършвани от </w:t>
      </w:r>
      <w:r w:rsidR="00CD4CB8">
        <w:rPr>
          <w:lang w:val="bg-BG"/>
        </w:rPr>
        <w:t>тази</w:t>
      </w:r>
      <w:r w:rsidR="00CD4CB8" w:rsidRPr="006A5AC8">
        <w:rPr>
          <w:lang w:val="bg-BG"/>
        </w:rPr>
        <w:t xml:space="preserve"> </w:t>
      </w:r>
      <w:r w:rsidR="00F377DD" w:rsidRPr="006A5AC8">
        <w:rPr>
          <w:lang w:val="bg-BG"/>
        </w:rPr>
        <w:t>груп</w:t>
      </w:r>
      <w:r w:rsidR="00564644" w:rsidRPr="006A5AC8">
        <w:rPr>
          <w:lang w:val="bg-BG"/>
        </w:rPr>
        <w:t>а, и следователно те са неделима част</w:t>
      </w:r>
      <w:r w:rsidR="00F377DD" w:rsidRPr="006A5AC8">
        <w:rPr>
          <w:lang w:val="bg-BG"/>
        </w:rPr>
        <w:t xml:space="preserve"> от </w:t>
      </w:r>
      <w:r w:rsidR="00071322">
        <w:rPr>
          <w:lang w:val="bg-BG"/>
        </w:rPr>
        <w:t>деянията</w:t>
      </w:r>
      <w:r w:rsidR="00F377DD" w:rsidRPr="006A5AC8">
        <w:rPr>
          <w:lang w:val="bg-BG"/>
        </w:rPr>
        <w:t xml:space="preserve">, </w:t>
      </w:r>
      <w:r w:rsidR="00564644" w:rsidRPr="006A5AC8">
        <w:rPr>
          <w:lang w:val="bg-BG"/>
        </w:rPr>
        <w:t xml:space="preserve">по </w:t>
      </w:r>
      <w:r w:rsidR="00F377DD" w:rsidRPr="006A5AC8">
        <w:rPr>
          <w:lang w:val="bg-BG"/>
        </w:rPr>
        <w:t xml:space="preserve">които </w:t>
      </w:r>
      <w:r w:rsidR="00564644" w:rsidRPr="006A5AC8">
        <w:rPr>
          <w:lang w:val="bg-BG"/>
        </w:rPr>
        <w:t>е</w:t>
      </w:r>
      <w:r w:rsidR="00F377DD" w:rsidRPr="006A5AC8">
        <w:rPr>
          <w:lang w:val="bg-BG"/>
        </w:rPr>
        <w:t xml:space="preserve"> повдигнато обвинение </w:t>
      </w:r>
      <w:r w:rsidR="00564644" w:rsidRPr="006A5AC8">
        <w:rPr>
          <w:lang w:val="bg-BG"/>
        </w:rPr>
        <w:t>срещу</w:t>
      </w:r>
      <w:r w:rsidR="00F377DD" w:rsidRPr="006A5AC8">
        <w:rPr>
          <w:lang w:val="bg-BG"/>
        </w:rPr>
        <w:t xml:space="preserve"> други</w:t>
      </w:r>
      <w:r w:rsidR="00564644" w:rsidRPr="006A5AC8">
        <w:rPr>
          <w:lang w:val="bg-BG"/>
        </w:rPr>
        <w:t>те</w:t>
      </w:r>
      <w:r w:rsidR="00F377DD" w:rsidRPr="006A5AC8">
        <w:rPr>
          <w:lang w:val="bg-BG"/>
        </w:rPr>
        <w:t xml:space="preserve"> обвиняем</w:t>
      </w:r>
      <w:r w:rsidR="00564644" w:rsidRPr="006A5AC8">
        <w:rPr>
          <w:lang w:val="bg-BG"/>
        </w:rPr>
        <w:t>и</w:t>
      </w:r>
      <w:r w:rsidR="00F377DD" w:rsidRPr="006A5AC8">
        <w:rPr>
          <w:lang w:val="bg-BG"/>
        </w:rPr>
        <w:t xml:space="preserve">. Накрая </w:t>
      </w:r>
      <w:r w:rsidR="00564644" w:rsidRPr="006A5AC8">
        <w:rPr>
          <w:lang w:val="bg-BG"/>
        </w:rPr>
        <w:t>добавя</w:t>
      </w:r>
      <w:r w:rsidR="00F377DD" w:rsidRPr="006A5AC8">
        <w:rPr>
          <w:lang w:val="bg-BG"/>
        </w:rPr>
        <w:t xml:space="preserve">, че делата, разгледани от военните съдилища, не подлежат на </w:t>
      </w:r>
      <w:r w:rsidR="00564644" w:rsidRPr="006A5AC8">
        <w:rPr>
          <w:lang w:val="bg-BG"/>
        </w:rPr>
        <w:t>специфични</w:t>
      </w:r>
      <w:r w:rsidR="00F377DD" w:rsidRPr="006A5AC8">
        <w:rPr>
          <w:lang w:val="bg-BG"/>
        </w:rPr>
        <w:t xml:space="preserve"> процесуални правила и че </w:t>
      </w:r>
      <w:r w:rsidR="00CE02BD" w:rsidRPr="006A5AC8">
        <w:rPr>
          <w:lang w:val="bg-BG"/>
        </w:rPr>
        <w:t xml:space="preserve">винаги </w:t>
      </w:r>
      <w:r w:rsidR="00564644" w:rsidRPr="006A5AC8">
        <w:rPr>
          <w:lang w:val="bg-BG"/>
        </w:rPr>
        <w:t xml:space="preserve">на последна инстанция се произнася </w:t>
      </w:r>
      <w:r w:rsidR="00F377DD" w:rsidRPr="006A5AC8">
        <w:rPr>
          <w:lang w:val="bg-BG"/>
        </w:rPr>
        <w:t>Върховният касационен съд</w:t>
      </w:r>
      <w:r w:rsidR="00564644" w:rsidRPr="006A5AC8">
        <w:rPr>
          <w:lang w:val="bg-BG"/>
        </w:rPr>
        <w:t>.</w:t>
      </w:r>
    </w:p>
    <w:p w14:paraId="050C9355" w14:textId="77777777" w:rsidR="005C5787" w:rsidRPr="006A5AC8" w:rsidRDefault="001B1866" w:rsidP="00EE31D5">
      <w:pPr>
        <w:pStyle w:val="JuH1"/>
        <w:rPr>
          <w:lang w:val="bg-BG"/>
        </w:rPr>
      </w:pPr>
      <w:r w:rsidRPr="006A5AC8">
        <w:rPr>
          <w:lang w:val="bg-BG"/>
        </w:rPr>
        <w:t>Общи принципи</w:t>
      </w:r>
    </w:p>
    <w:p w14:paraId="4E7CC9B8" w14:textId="20AE5879" w:rsidR="00D719DA"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28</w:t>
      </w:r>
      <w:r w:rsidRPr="006A5AC8">
        <w:rPr>
          <w:lang w:val="bg-BG"/>
        </w:rPr>
        <w:fldChar w:fldCharType="end"/>
      </w:r>
      <w:r w:rsidRPr="006A5AC8">
        <w:rPr>
          <w:lang w:val="bg-BG"/>
        </w:rPr>
        <w:t>.  </w:t>
      </w:r>
      <w:r w:rsidR="00D719DA" w:rsidRPr="006A5AC8">
        <w:rPr>
          <w:lang w:val="bg-BG"/>
        </w:rPr>
        <w:t>Най-напред Съдът отново потвърждава, че</w:t>
      </w:r>
      <w:r w:rsidR="00566838">
        <w:rPr>
          <w:lang w:val="bg-BG"/>
        </w:rPr>
        <w:t>,</w:t>
      </w:r>
      <w:r w:rsidR="00D719DA" w:rsidRPr="006A5AC8">
        <w:rPr>
          <w:lang w:val="bg-BG"/>
        </w:rPr>
        <w:t xml:space="preserve"> за да се установи дали един съд може да се счита за „независим“ по смисъла на член 6</w:t>
      </w:r>
      <w:r w:rsidR="00D0623B">
        <w:rPr>
          <w:lang w:val="bg-BG"/>
        </w:rPr>
        <w:t xml:space="preserve"> §</w:t>
      </w:r>
      <w:r w:rsidR="00D719DA" w:rsidRPr="006A5AC8">
        <w:rPr>
          <w:lang w:val="bg-BG"/>
        </w:rPr>
        <w:t xml:space="preserve"> 1 от Конвенцията, трябва да се вземат предвид именно методът на назначаване и продължителността на мандата на неговите членове, наличието на защита срещу външен натиск и значението на това дали изглежда или не независим (виж, наред с други, </w:t>
      </w:r>
      <w:proofErr w:type="spellStart"/>
      <w:r w:rsidR="00D719DA" w:rsidRPr="006A5AC8">
        <w:rPr>
          <w:i/>
          <w:lang w:val="bg-BG"/>
        </w:rPr>
        <w:t>Maktouf</w:t>
      </w:r>
      <w:proofErr w:type="spellEnd"/>
      <w:r w:rsidR="00D719DA" w:rsidRPr="006A5AC8">
        <w:rPr>
          <w:i/>
          <w:lang w:val="bg-BG"/>
        </w:rPr>
        <w:t xml:space="preserve"> и </w:t>
      </w:r>
      <w:proofErr w:type="spellStart"/>
      <w:r w:rsidR="00D719DA" w:rsidRPr="006A5AC8">
        <w:rPr>
          <w:i/>
          <w:lang w:val="bg-BG"/>
        </w:rPr>
        <w:t>Damjanović</w:t>
      </w:r>
      <w:proofErr w:type="spellEnd"/>
      <w:r w:rsidR="00D719DA" w:rsidRPr="006A5AC8">
        <w:rPr>
          <w:i/>
          <w:lang w:val="bg-BG"/>
        </w:rPr>
        <w:t xml:space="preserve"> срещу Босна и Херцеговина </w:t>
      </w:r>
      <w:r w:rsidR="00D719DA" w:rsidRPr="006A5AC8">
        <w:rPr>
          <w:lang w:val="bg-BG"/>
        </w:rPr>
        <w:t>[GC], № 2312/08 и 34179/08, § 49, ЕСПЧ 2013 (извадки)).</w:t>
      </w:r>
      <w:r w:rsidR="00C24850" w:rsidRPr="006A5AC8">
        <w:rPr>
          <w:lang w:val="bg-BG"/>
        </w:rPr>
        <w:t xml:space="preserve"> Освен това той счита, че в конкретния контекст на настоящото дело въпросът за безпристрастността на един съд трябва да се оценява според обективен подход, водещ до гарантиране, че той предлага достатъчно гаранции за изключване на всякакви основателни съмнения в това отношение (виж, </w:t>
      </w:r>
      <w:r w:rsidR="00C24850" w:rsidRPr="006A5AC8">
        <w:rPr>
          <w:lang w:val="bg-BG"/>
        </w:rPr>
        <w:lastRenderedPageBreak/>
        <w:t xml:space="preserve">наред с други, </w:t>
      </w:r>
      <w:proofErr w:type="spellStart"/>
      <w:r w:rsidR="00C24850" w:rsidRPr="006A5AC8">
        <w:rPr>
          <w:i/>
          <w:lang w:val="bg-BG"/>
        </w:rPr>
        <w:t>Bulut</w:t>
      </w:r>
      <w:proofErr w:type="spellEnd"/>
      <w:r w:rsidR="00C24850" w:rsidRPr="006A5AC8">
        <w:rPr>
          <w:i/>
          <w:lang w:val="bg-BG"/>
        </w:rPr>
        <w:t xml:space="preserve"> срещу Австрия</w:t>
      </w:r>
      <w:r w:rsidR="00C24850" w:rsidRPr="006A5AC8">
        <w:rPr>
          <w:lang w:val="bg-BG"/>
        </w:rPr>
        <w:t xml:space="preserve">, 22 февруари 1996 г., § 31, </w:t>
      </w:r>
      <w:proofErr w:type="spellStart"/>
      <w:r w:rsidR="0081645B" w:rsidRPr="006A5AC8">
        <w:rPr>
          <w:i/>
          <w:lang w:val="bg-BG"/>
        </w:rPr>
        <w:t>Recueil</w:t>
      </w:r>
      <w:proofErr w:type="spellEnd"/>
      <w:r w:rsidR="0081645B" w:rsidRPr="006A5AC8">
        <w:rPr>
          <w:i/>
          <w:lang w:val="bg-BG"/>
        </w:rPr>
        <w:t xml:space="preserve"> </w:t>
      </w:r>
      <w:proofErr w:type="spellStart"/>
      <w:r w:rsidR="0081645B" w:rsidRPr="006A5AC8">
        <w:rPr>
          <w:i/>
          <w:lang w:val="bg-BG"/>
        </w:rPr>
        <w:t>des</w:t>
      </w:r>
      <w:proofErr w:type="spellEnd"/>
      <w:r w:rsidR="0081645B" w:rsidRPr="006A5AC8">
        <w:rPr>
          <w:i/>
          <w:lang w:val="bg-BG"/>
        </w:rPr>
        <w:t xml:space="preserve"> </w:t>
      </w:r>
      <w:proofErr w:type="spellStart"/>
      <w:r w:rsidR="0081645B" w:rsidRPr="006A5AC8">
        <w:rPr>
          <w:i/>
          <w:lang w:val="bg-BG"/>
        </w:rPr>
        <w:t>arrêts</w:t>
      </w:r>
      <w:proofErr w:type="spellEnd"/>
      <w:r w:rsidR="0081645B" w:rsidRPr="006A5AC8">
        <w:rPr>
          <w:i/>
          <w:lang w:val="bg-BG"/>
        </w:rPr>
        <w:t xml:space="preserve"> </w:t>
      </w:r>
      <w:proofErr w:type="spellStart"/>
      <w:r w:rsidR="0081645B" w:rsidRPr="006A5AC8">
        <w:rPr>
          <w:i/>
          <w:lang w:val="bg-BG"/>
        </w:rPr>
        <w:t>et</w:t>
      </w:r>
      <w:proofErr w:type="spellEnd"/>
      <w:r w:rsidR="0081645B" w:rsidRPr="006A5AC8">
        <w:rPr>
          <w:i/>
          <w:lang w:val="bg-BG"/>
        </w:rPr>
        <w:t xml:space="preserve"> </w:t>
      </w:r>
      <w:proofErr w:type="spellStart"/>
      <w:r w:rsidR="0081645B" w:rsidRPr="006A5AC8">
        <w:rPr>
          <w:i/>
          <w:lang w:val="bg-BG"/>
        </w:rPr>
        <w:t>décisions</w:t>
      </w:r>
      <w:proofErr w:type="spellEnd"/>
      <w:r w:rsidR="0081645B" w:rsidRPr="006A5AC8">
        <w:rPr>
          <w:lang w:val="bg-BG"/>
        </w:rPr>
        <w:t xml:space="preserve"> </w:t>
      </w:r>
      <w:r w:rsidR="00C24850" w:rsidRPr="006A5AC8">
        <w:rPr>
          <w:lang w:val="bg-BG"/>
        </w:rPr>
        <w:t xml:space="preserve">1996 II, и </w:t>
      </w:r>
      <w:proofErr w:type="spellStart"/>
      <w:r w:rsidR="00C24850" w:rsidRPr="006A5AC8">
        <w:rPr>
          <w:i/>
          <w:lang w:val="bg-BG"/>
        </w:rPr>
        <w:t>Thomann</w:t>
      </w:r>
      <w:proofErr w:type="spellEnd"/>
      <w:r w:rsidR="00C24850" w:rsidRPr="006A5AC8">
        <w:rPr>
          <w:i/>
          <w:lang w:val="bg-BG"/>
        </w:rPr>
        <w:t xml:space="preserve"> срещу Швейцария</w:t>
      </w:r>
      <w:r w:rsidR="00C24850" w:rsidRPr="006A5AC8">
        <w:rPr>
          <w:lang w:val="bg-BG"/>
        </w:rPr>
        <w:t xml:space="preserve">, 10 юни 1996 г., § 30, </w:t>
      </w:r>
      <w:proofErr w:type="spellStart"/>
      <w:r w:rsidR="0081645B" w:rsidRPr="006A5AC8">
        <w:rPr>
          <w:i/>
          <w:lang w:val="bg-BG"/>
        </w:rPr>
        <w:t>Recueil</w:t>
      </w:r>
      <w:proofErr w:type="spellEnd"/>
      <w:r w:rsidR="0081645B" w:rsidRPr="006A5AC8">
        <w:rPr>
          <w:i/>
          <w:lang w:val="bg-BG"/>
        </w:rPr>
        <w:t xml:space="preserve"> </w:t>
      </w:r>
      <w:r w:rsidR="0081645B" w:rsidRPr="006A5AC8">
        <w:rPr>
          <w:lang w:val="bg-BG"/>
        </w:rPr>
        <w:t>1996 III).</w:t>
      </w:r>
    </w:p>
    <w:p w14:paraId="24536745" w14:textId="77777777" w:rsidR="00E507B0"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29</w:t>
      </w:r>
      <w:r w:rsidRPr="006A5AC8">
        <w:rPr>
          <w:lang w:val="bg-BG"/>
        </w:rPr>
        <w:fldChar w:fldCharType="end"/>
      </w:r>
      <w:r w:rsidRPr="006A5AC8">
        <w:rPr>
          <w:lang w:val="bg-BG"/>
        </w:rPr>
        <w:t>.  </w:t>
      </w:r>
      <w:r w:rsidR="00E507B0" w:rsidRPr="006A5AC8">
        <w:rPr>
          <w:lang w:val="bg-BG"/>
        </w:rPr>
        <w:t>Съдът отбеляза, че трябва да се прави разграничение от една страна между граждански и административни производства и наказателни производства от друга. Той ще ограничи разглеждането му до тази конкретна област, а именно обстоятелствата по настоящото дело относно наказателното производство.</w:t>
      </w:r>
    </w:p>
    <w:p w14:paraId="2EAD8A39" w14:textId="5B84CBEF" w:rsidR="003134FF"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30</w:t>
      </w:r>
      <w:r w:rsidRPr="006A5AC8">
        <w:rPr>
          <w:lang w:val="bg-BG"/>
        </w:rPr>
        <w:fldChar w:fldCharType="end"/>
      </w:r>
      <w:r w:rsidRPr="006A5AC8">
        <w:rPr>
          <w:lang w:val="bg-BG"/>
        </w:rPr>
        <w:t>.  </w:t>
      </w:r>
      <w:r w:rsidR="003134FF" w:rsidRPr="006A5AC8">
        <w:rPr>
          <w:lang w:val="bg-BG"/>
        </w:rPr>
        <w:t>Съдът припомня, че Конвенцията не забранява на военните съдилища да се произнасят по наказателни обвинения срещу членове на състава на въоръжените сили, при условие че са спазени гаранциите за независимост и безпристрастност, предвидени в член 6</w:t>
      </w:r>
      <w:r w:rsidR="00D0623B">
        <w:rPr>
          <w:lang w:val="bg-BG"/>
        </w:rPr>
        <w:t xml:space="preserve"> §</w:t>
      </w:r>
      <w:r w:rsidR="003134FF" w:rsidRPr="006A5AC8">
        <w:rPr>
          <w:lang w:val="bg-BG"/>
        </w:rPr>
        <w:t xml:space="preserve"> 1 от Конвенцията (</w:t>
      </w:r>
      <w:proofErr w:type="spellStart"/>
      <w:r w:rsidR="003134FF" w:rsidRPr="006A5AC8">
        <w:rPr>
          <w:i/>
          <w:lang w:val="bg-BG"/>
        </w:rPr>
        <w:t>Morris</w:t>
      </w:r>
      <w:proofErr w:type="spellEnd"/>
      <w:r w:rsidR="003134FF" w:rsidRPr="006A5AC8">
        <w:rPr>
          <w:i/>
          <w:lang w:val="bg-BG"/>
        </w:rPr>
        <w:t xml:space="preserve"> срещу Обединеното Кралство</w:t>
      </w:r>
      <w:r w:rsidR="003134FF" w:rsidRPr="006A5AC8">
        <w:rPr>
          <w:lang w:val="bg-BG"/>
        </w:rPr>
        <w:t xml:space="preserve">, № 38784/97, § 59, ЕСПЧ 2002 I, </w:t>
      </w:r>
      <w:proofErr w:type="spellStart"/>
      <w:r w:rsidR="003134FF" w:rsidRPr="006A5AC8">
        <w:rPr>
          <w:i/>
          <w:lang w:val="bg-BG"/>
        </w:rPr>
        <w:t>Cooper</w:t>
      </w:r>
      <w:proofErr w:type="spellEnd"/>
      <w:r w:rsidR="003134FF" w:rsidRPr="006A5AC8">
        <w:rPr>
          <w:i/>
          <w:lang w:val="bg-BG"/>
        </w:rPr>
        <w:t xml:space="preserve"> срещу Обединеното Кралство</w:t>
      </w:r>
      <w:r w:rsidR="003134FF" w:rsidRPr="006A5AC8">
        <w:rPr>
          <w:lang w:val="bg-BG"/>
        </w:rPr>
        <w:t xml:space="preserve"> [GC], № 48843/99, § 106, ЕСПЧ 2003-XII, и </w:t>
      </w:r>
      <w:proofErr w:type="spellStart"/>
      <w:r w:rsidR="003134FF" w:rsidRPr="006A5AC8">
        <w:rPr>
          <w:i/>
          <w:lang w:val="bg-BG"/>
        </w:rPr>
        <w:t>Önen</w:t>
      </w:r>
      <w:proofErr w:type="spellEnd"/>
      <w:r w:rsidR="003134FF" w:rsidRPr="006A5AC8">
        <w:rPr>
          <w:i/>
          <w:lang w:val="bg-BG"/>
        </w:rPr>
        <w:t xml:space="preserve"> срещу Турция</w:t>
      </w:r>
      <w:r w:rsidR="003134FF" w:rsidRPr="006A5AC8">
        <w:rPr>
          <w:lang w:val="bg-BG"/>
        </w:rPr>
        <w:t>, (дек.), № 32860/96, 10 февруари 2004 г.).</w:t>
      </w:r>
    </w:p>
    <w:p w14:paraId="529C8379" w14:textId="0BE4B659" w:rsidR="00B23250"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31</w:t>
      </w:r>
      <w:r w:rsidRPr="006A5AC8">
        <w:rPr>
          <w:lang w:val="bg-BG"/>
        </w:rPr>
        <w:fldChar w:fldCharType="end"/>
      </w:r>
      <w:r w:rsidRPr="006A5AC8">
        <w:rPr>
          <w:lang w:val="bg-BG"/>
        </w:rPr>
        <w:t>.  </w:t>
      </w:r>
      <w:r w:rsidR="00B23250" w:rsidRPr="006A5AC8">
        <w:rPr>
          <w:lang w:val="bg-BG"/>
        </w:rPr>
        <w:t>Различно е обаче, когато националното законодателство допуска този тип съд</w:t>
      </w:r>
      <w:r w:rsidR="00566838">
        <w:rPr>
          <w:lang w:val="bg-BG"/>
        </w:rPr>
        <w:t>илища да се произнасят спрямо</w:t>
      </w:r>
      <w:r w:rsidR="00B23250" w:rsidRPr="006A5AC8">
        <w:rPr>
          <w:lang w:val="bg-BG"/>
        </w:rPr>
        <w:t xml:space="preserve"> цивилни лица по наказателни дела (</w:t>
      </w:r>
      <w:proofErr w:type="spellStart"/>
      <w:r w:rsidR="00B23250" w:rsidRPr="006A5AC8">
        <w:rPr>
          <w:i/>
          <w:lang w:val="bg-BG"/>
        </w:rPr>
        <w:t>Ergin</w:t>
      </w:r>
      <w:proofErr w:type="spellEnd"/>
      <w:r w:rsidR="00B23250" w:rsidRPr="006A5AC8">
        <w:rPr>
          <w:i/>
          <w:lang w:val="bg-BG"/>
        </w:rPr>
        <w:t xml:space="preserve"> срещу Турция (№ 6)</w:t>
      </w:r>
      <w:r w:rsidR="00B23250" w:rsidRPr="006A5AC8">
        <w:rPr>
          <w:lang w:val="bg-BG"/>
        </w:rPr>
        <w:t xml:space="preserve">, № 47533/99, § 41, ЕСПЧ 2006 VI (извадки) и </w:t>
      </w:r>
      <w:proofErr w:type="spellStart"/>
      <w:r w:rsidR="00B23250" w:rsidRPr="006A5AC8">
        <w:rPr>
          <w:i/>
          <w:lang w:val="bg-BG"/>
        </w:rPr>
        <w:t>Maszni</w:t>
      </w:r>
      <w:proofErr w:type="spellEnd"/>
      <w:r w:rsidR="00B23250" w:rsidRPr="006A5AC8">
        <w:rPr>
          <w:i/>
          <w:lang w:val="bg-BG"/>
        </w:rPr>
        <w:t xml:space="preserve"> </w:t>
      </w:r>
      <w:proofErr w:type="spellStart"/>
      <w:r w:rsidR="00B23250" w:rsidRPr="006A5AC8">
        <w:rPr>
          <w:i/>
          <w:lang w:val="bg-BG"/>
        </w:rPr>
        <w:t>cрещу</w:t>
      </w:r>
      <w:proofErr w:type="spellEnd"/>
      <w:r w:rsidR="00B23250" w:rsidRPr="006A5AC8">
        <w:rPr>
          <w:i/>
          <w:lang w:val="bg-BG"/>
        </w:rPr>
        <w:t xml:space="preserve"> Румъния</w:t>
      </w:r>
      <w:r w:rsidR="00B23250" w:rsidRPr="006A5AC8">
        <w:rPr>
          <w:lang w:val="bg-BG"/>
        </w:rPr>
        <w:t xml:space="preserve">, № 59892/00, § 43, 21 септември 2006 г., параграфи 17-20 по-горе). Ситуации, при които военен съд упражнява юрисдикция над цивилни лица за деяния, насочени срещу въоръжените сили, могат да породят основателни съмнения относно обективната безпристрастност на такъв съд (горецитираното </w:t>
      </w:r>
      <w:proofErr w:type="spellStart"/>
      <w:r w:rsidR="00B23250" w:rsidRPr="006A5AC8">
        <w:rPr>
          <w:i/>
          <w:lang w:val="bg-BG"/>
        </w:rPr>
        <w:t>Ergin</w:t>
      </w:r>
      <w:proofErr w:type="spellEnd"/>
      <w:r w:rsidR="00B23250" w:rsidRPr="006A5AC8">
        <w:rPr>
          <w:lang w:val="bg-BG"/>
        </w:rPr>
        <w:t xml:space="preserve">, § 49). Съдът счита, че това </w:t>
      </w:r>
      <w:r w:rsidR="00936B4C">
        <w:rPr>
          <w:lang w:val="bg-BG"/>
        </w:rPr>
        <w:t>важи</w:t>
      </w:r>
      <w:r w:rsidR="00936B4C" w:rsidRPr="006A5AC8">
        <w:rPr>
          <w:lang w:val="bg-BG"/>
        </w:rPr>
        <w:t xml:space="preserve"> </w:t>
      </w:r>
      <w:r w:rsidR="00B23250" w:rsidRPr="006A5AC8">
        <w:rPr>
          <w:lang w:val="bg-BG"/>
        </w:rPr>
        <w:t xml:space="preserve">с още по-голяма сила при престъпленията от общ характер, като се вземе предвид </w:t>
      </w:r>
      <w:r w:rsidR="00CD345F" w:rsidRPr="006A5AC8">
        <w:rPr>
          <w:lang w:val="bg-BG"/>
        </w:rPr>
        <w:t>именно</w:t>
      </w:r>
      <w:r w:rsidR="00B23250" w:rsidRPr="006A5AC8">
        <w:rPr>
          <w:lang w:val="bg-BG"/>
        </w:rPr>
        <w:t xml:space="preserve"> развитието на концепцията за ролята на военните съдилища на международно ниво (виж параграф 19 по-горе). </w:t>
      </w:r>
      <w:r w:rsidR="00B23250" w:rsidRPr="00936B4C">
        <w:rPr>
          <w:lang w:val="bg-BG"/>
        </w:rPr>
        <w:t xml:space="preserve">Съдебна система, в </w:t>
      </w:r>
      <w:r w:rsidR="00CD345F" w:rsidRPr="00936B4C">
        <w:rPr>
          <w:lang w:val="bg-BG"/>
        </w:rPr>
        <w:t xml:space="preserve">рамките на </w:t>
      </w:r>
      <w:r w:rsidR="00B23250" w:rsidRPr="00936B4C">
        <w:rPr>
          <w:lang w:val="bg-BG"/>
        </w:rPr>
        <w:t xml:space="preserve">която военен съд </w:t>
      </w:r>
      <w:r w:rsidR="003614D2" w:rsidRPr="00936B4C">
        <w:rPr>
          <w:lang w:val="bg-BG"/>
        </w:rPr>
        <w:t xml:space="preserve">може </w:t>
      </w:r>
      <w:r w:rsidR="00DA6BAB" w:rsidRPr="00936B4C">
        <w:rPr>
          <w:lang w:val="bg-BG"/>
        </w:rPr>
        <w:t>да се произн</w:t>
      </w:r>
      <w:r w:rsidR="003614D2" w:rsidRPr="00936B4C">
        <w:rPr>
          <w:lang w:val="bg-BG"/>
        </w:rPr>
        <w:t>ася</w:t>
      </w:r>
      <w:r w:rsidR="00CD345F" w:rsidRPr="006A5AC8">
        <w:rPr>
          <w:lang w:val="bg-BG"/>
        </w:rPr>
        <w:t xml:space="preserve"> срещу лице, което не принадлежи към </w:t>
      </w:r>
      <w:r w:rsidR="00DA6BAB">
        <w:rPr>
          <w:lang w:val="bg-BG"/>
        </w:rPr>
        <w:t xml:space="preserve">състава на </w:t>
      </w:r>
      <w:r w:rsidR="00CD345F" w:rsidRPr="006A5AC8">
        <w:rPr>
          <w:lang w:val="bg-BG"/>
        </w:rPr>
        <w:t>въоръжените сили</w:t>
      </w:r>
      <w:r w:rsidR="00B23250" w:rsidRPr="006A5AC8">
        <w:rPr>
          <w:lang w:val="bg-BG"/>
        </w:rPr>
        <w:t xml:space="preserve">, лесно може да се възприеме като </w:t>
      </w:r>
      <w:r w:rsidR="00CD345F" w:rsidRPr="006A5AC8">
        <w:rPr>
          <w:lang w:val="bg-BG"/>
        </w:rPr>
        <w:t>такава, която пренебрегва</w:t>
      </w:r>
      <w:r w:rsidR="00B23250" w:rsidRPr="006A5AC8">
        <w:rPr>
          <w:lang w:val="bg-BG"/>
        </w:rPr>
        <w:t xml:space="preserve"> необходимото </w:t>
      </w:r>
      <w:r w:rsidR="00CD345F" w:rsidRPr="006A5AC8">
        <w:rPr>
          <w:lang w:val="bg-BG"/>
        </w:rPr>
        <w:t>разграничение</w:t>
      </w:r>
      <w:r w:rsidR="00B23250" w:rsidRPr="006A5AC8">
        <w:rPr>
          <w:lang w:val="bg-BG"/>
        </w:rPr>
        <w:t xml:space="preserve"> между съда и страните </w:t>
      </w:r>
      <w:r w:rsidR="00CD345F" w:rsidRPr="006A5AC8">
        <w:rPr>
          <w:lang w:val="bg-BG"/>
        </w:rPr>
        <w:t>по</w:t>
      </w:r>
      <w:r w:rsidR="00B23250" w:rsidRPr="006A5AC8">
        <w:rPr>
          <w:lang w:val="bg-BG"/>
        </w:rPr>
        <w:t xml:space="preserve"> наказателното производство, дори ако съществуват </w:t>
      </w:r>
      <w:r w:rsidR="00CD345F" w:rsidRPr="006A5AC8">
        <w:rPr>
          <w:lang w:val="bg-BG"/>
        </w:rPr>
        <w:t xml:space="preserve">достатъчно </w:t>
      </w:r>
      <w:r w:rsidR="00B23250" w:rsidRPr="006A5AC8">
        <w:rPr>
          <w:lang w:val="bg-BG"/>
        </w:rPr>
        <w:t xml:space="preserve">мерки </w:t>
      </w:r>
      <w:r w:rsidR="00CD345F" w:rsidRPr="006A5AC8">
        <w:rPr>
          <w:lang w:val="bg-BG"/>
        </w:rPr>
        <w:t xml:space="preserve">за </w:t>
      </w:r>
      <w:r w:rsidR="00B23250" w:rsidRPr="006A5AC8">
        <w:rPr>
          <w:lang w:val="bg-BG"/>
        </w:rPr>
        <w:t xml:space="preserve">защита, за да </w:t>
      </w:r>
      <w:r w:rsidR="00CD345F" w:rsidRPr="006A5AC8">
        <w:rPr>
          <w:lang w:val="bg-BG"/>
        </w:rPr>
        <w:t xml:space="preserve">се </w:t>
      </w:r>
      <w:r w:rsidR="00B23250" w:rsidRPr="006A5AC8">
        <w:rPr>
          <w:lang w:val="bg-BG"/>
        </w:rPr>
        <w:t>гарантира независимостта на този съд (</w:t>
      </w:r>
      <w:r w:rsidR="00CD345F" w:rsidRPr="006A5AC8">
        <w:rPr>
          <w:lang w:val="bg-BG"/>
        </w:rPr>
        <w:t xml:space="preserve">горецитираното </w:t>
      </w:r>
      <w:proofErr w:type="spellStart"/>
      <w:r w:rsidR="00CD345F" w:rsidRPr="006A5AC8">
        <w:rPr>
          <w:i/>
          <w:lang w:val="bg-BG"/>
        </w:rPr>
        <w:t>Ergin</w:t>
      </w:r>
      <w:proofErr w:type="spellEnd"/>
      <w:r w:rsidR="00CD345F" w:rsidRPr="006A5AC8">
        <w:rPr>
          <w:lang w:val="bg-BG"/>
        </w:rPr>
        <w:t>, § 49</w:t>
      </w:r>
      <w:r w:rsidR="00B23250" w:rsidRPr="006A5AC8">
        <w:rPr>
          <w:lang w:val="bg-BG"/>
        </w:rPr>
        <w:t>).</w:t>
      </w:r>
    </w:p>
    <w:p w14:paraId="596C9FD5" w14:textId="77777777" w:rsidR="001E7F0E"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32</w:t>
      </w:r>
      <w:r w:rsidRPr="006A5AC8">
        <w:rPr>
          <w:lang w:val="bg-BG"/>
        </w:rPr>
        <w:fldChar w:fldCharType="end"/>
      </w:r>
      <w:r w:rsidRPr="006A5AC8">
        <w:rPr>
          <w:lang w:val="bg-BG"/>
        </w:rPr>
        <w:t>.  </w:t>
      </w:r>
      <w:r w:rsidR="001E7F0E" w:rsidRPr="006A5AC8">
        <w:rPr>
          <w:lang w:val="bg-BG"/>
        </w:rPr>
        <w:t xml:space="preserve">Съдът отбеляза, че не може да се твърди, че Конвенцията изключва изцяло всякаква компетентност на военните съдилища за разглеждане на дела, свързани с цивилни лица. Въпреки това той счита, че съществуването на такава юрисдикция следва да </w:t>
      </w:r>
      <w:r w:rsidR="00A7698D" w:rsidRPr="006A5AC8">
        <w:rPr>
          <w:lang w:val="bg-BG"/>
        </w:rPr>
        <w:t>бъде подложено на особено строго разглеждане</w:t>
      </w:r>
      <w:r w:rsidR="001E7F0E" w:rsidRPr="006A5AC8">
        <w:rPr>
          <w:lang w:val="bg-BG"/>
        </w:rPr>
        <w:t xml:space="preserve"> (пак там, § 42, и </w:t>
      </w:r>
      <w:r w:rsidR="00A7698D" w:rsidRPr="006A5AC8">
        <w:rPr>
          <w:lang w:val="bg-BG"/>
        </w:rPr>
        <w:t xml:space="preserve">горецитираното </w:t>
      </w:r>
      <w:proofErr w:type="spellStart"/>
      <w:r w:rsidR="001E7F0E" w:rsidRPr="006A5AC8">
        <w:rPr>
          <w:i/>
          <w:lang w:val="bg-BG"/>
        </w:rPr>
        <w:t>Maszni</w:t>
      </w:r>
      <w:proofErr w:type="spellEnd"/>
      <w:r w:rsidR="001E7F0E" w:rsidRPr="006A5AC8">
        <w:rPr>
          <w:lang w:val="bg-BG"/>
        </w:rPr>
        <w:t xml:space="preserve">, </w:t>
      </w:r>
      <w:r w:rsidR="00A7698D" w:rsidRPr="006A5AC8">
        <w:rPr>
          <w:lang w:val="bg-BG"/>
        </w:rPr>
        <w:t xml:space="preserve">§ 44; </w:t>
      </w:r>
      <w:r w:rsidR="001E7F0E" w:rsidRPr="006A5AC8">
        <w:rPr>
          <w:lang w:val="bg-BG"/>
        </w:rPr>
        <w:t xml:space="preserve"> </w:t>
      </w:r>
      <w:r w:rsidR="00A7698D" w:rsidRPr="006A5AC8">
        <w:rPr>
          <w:lang w:val="bg-BG"/>
        </w:rPr>
        <w:t>п</w:t>
      </w:r>
      <w:r w:rsidR="001E7F0E" w:rsidRPr="006A5AC8">
        <w:rPr>
          <w:lang w:val="bg-BG"/>
        </w:rPr>
        <w:t>араграфи 17-20 по-горе).</w:t>
      </w:r>
    </w:p>
    <w:p w14:paraId="373C9748" w14:textId="76D4309D" w:rsidR="00DF77FF"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33</w:t>
      </w:r>
      <w:r w:rsidRPr="006A5AC8">
        <w:rPr>
          <w:lang w:val="bg-BG"/>
        </w:rPr>
        <w:fldChar w:fldCharType="end"/>
      </w:r>
      <w:r w:rsidRPr="006A5AC8">
        <w:rPr>
          <w:lang w:val="bg-BG"/>
        </w:rPr>
        <w:t>.  </w:t>
      </w:r>
      <w:r w:rsidR="00DF321E" w:rsidRPr="006A5AC8">
        <w:rPr>
          <w:lang w:val="bg-BG"/>
        </w:rPr>
        <w:t xml:space="preserve">В редица </w:t>
      </w:r>
      <w:r w:rsidR="002B47DD">
        <w:rPr>
          <w:lang w:val="bg-BG"/>
        </w:rPr>
        <w:t>случаи</w:t>
      </w:r>
      <w:r w:rsidR="002B47DD" w:rsidRPr="006A5AC8">
        <w:rPr>
          <w:lang w:val="bg-BG"/>
        </w:rPr>
        <w:t xml:space="preserve"> </w:t>
      </w:r>
      <w:r w:rsidR="00DF321E" w:rsidRPr="006A5AC8">
        <w:rPr>
          <w:lang w:val="bg-BG"/>
        </w:rPr>
        <w:t>т</w:t>
      </w:r>
      <w:r w:rsidR="00DF77FF" w:rsidRPr="006A5AC8">
        <w:rPr>
          <w:lang w:val="bg-BG"/>
        </w:rPr>
        <w:t xml:space="preserve">ой също така придава значение на обстоятелството, че едно цивилно лице трябва да се яви пред съд, съставен дори само </w:t>
      </w:r>
      <w:r w:rsidR="00DF321E" w:rsidRPr="006A5AC8">
        <w:rPr>
          <w:lang w:val="bg-BG"/>
        </w:rPr>
        <w:t>от части</w:t>
      </w:r>
      <w:r w:rsidR="00DF77FF" w:rsidRPr="006A5AC8">
        <w:rPr>
          <w:lang w:val="bg-BG"/>
        </w:rPr>
        <w:t xml:space="preserve"> от военнослужещи (виж, наред с други, </w:t>
      </w:r>
      <w:proofErr w:type="spellStart"/>
      <w:r w:rsidR="00DF77FF" w:rsidRPr="006A5AC8">
        <w:rPr>
          <w:i/>
          <w:lang w:val="bg-BG"/>
        </w:rPr>
        <w:t>Şahiner</w:t>
      </w:r>
      <w:proofErr w:type="spellEnd"/>
      <w:r w:rsidR="00DF77FF" w:rsidRPr="006A5AC8">
        <w:rPr>
          <w:lang w:val="bg-BG"/>
        </w:rPr>
        <w:t xml:space="preserve"> </w:t>
      </w:r>
      <w:r w:rsidR="00DF77FF" w:rsidRPr="006A5AC8">
        <w:rPr>
          <w:i/>
          <w:lang w:val="bg-BG"/>
        </w:rPr>
        <w:t>срещу Турция</w:t>
      </w:r>
      <w:r w:rsidR="00DF77FF" w:rsidRPr="006A5AC8">
        <w:rPr>
          <w:lang w:val="bg-BG"/>
        </w:rPr>
        <w:t xml:space="preserve">, № 29279/95, § 45, ЕСПЧ 2001 IX, </w:t>
      </w:r>
      <w:proofErr w:type="spellStart"/>
      <w:r w:rsidR="00DF77FF" w:rsidRPr="006A5AC8">
        <w:rPr>
          <w:i/>
          <w:lang w:val="bg-BG"/>
        </w:rPr>
        <w:t>Öcalan</w:t>
      </w:r>
      <w:proofErr w:type="spellEnd"/>
      <w:r w:rsidR="00DF77FF" w:rsidRPr="006A5AC8">
        <w:rPr>
          <w:i/>
          <w:lang w:val="bg-BG"/>
        </w:rPr>
        <w:t xml:space="preserve"> </w:t>
      </w:r>
      <w:r w:rsidR="00DF77FF" w:rsidRPr="006A5AC8">
        <w:rPr>
          <w:i/>
          <w:lang w:val="bg-BG"/>
        </w:rPr>
        <w:lastRenderedPageBreak/>
        <w:t xml:space="preserve">срещу Турция </w:t>
      </w:r>
      <w:r w:rsidR="00DF77FF" w:rsidRPr="006A5AC8">
        <w:rPr>
          <w:lang w:val="bg-BG"/>
        </w:rPr>
        <w:t xml:space="preserve">[GC], № 46221/99, § 116, ЕСПЧ 2005 IV, горецитираното </w:t>
      </w:r>
      <w:proofErr w:type="spellStart"/>
      <w:r w:rsidR="00DF77FF" w:rsidRPr="006A5AC8">
        <w:rPr>
          <w:i/>
          <w:lang w:val="bg-BG"/>
        </w:rPr>
        <w:t>Ergin</w:t>
      </w:r>
      <w:proofErr w:type="spellEnd"/>
      <w:r w:rsidR="00DF77FF" w:rsidRPr="006A5AC8">
        <w:rPr>
          <w:lang w:val="bg-BG"/>
        </w:rPr>
        <w:t xml:space="preserve">, § 43, горецитираното </w:t>
      </w:r>
      <w:proofErr w:type="spellStart"/>
      <w:r w:rsidR="00DF77FF" w:rsidRPr="006A5AC8">
        <w:rPr>
          <w:i/>
          <w:lang w:val="bg-BG"/>
        </w:rPr>
        <w:t>Maszni</w:t>
      </w:r>
      <w:proofErr w:type="spellEnd"/>
      <w:r w:rsidR="00DF77FF" w:rsidRPr="006A5AC8">
        <w:rPr>
          <w:lang w:val="bg-BG"/>
        </w:rPr>
        <w:t xml:space="preserve">, § 45, </w:t>
      </w:r>
      <w:proofErr w:type="spellStart"/>
      <w:r w:rsidR="00DF77FF" w:rsidRPr="006A5AC8">
        <w:rPr>
          <w:i/>
          <w:lang w:val="bg-BG"/>
        </w:rPr>
        <w:t>Ahmet</w:t>
      </w:r>
      <w:proofErr w:type="spellEnd"/>
      <w:r w:rsidR="00DF77FF" w:rsidRPr="006A5AC8">
        <w:rPr>
          <w:i/>
          <w:lang w:val="bg-BG"/>
        </w:rPr>
        <w:t xml:space="preserve"> </w:t>
      </w:r>
      <w:proofErr w:type="spellStart"/>
      <w:r w:rsidR="00DF77FF" w:rsidRPr="006A5AC8">
        <w:rPr>
          <w:i/>
          <w:lang w:val="bg-BG"/>
        </w:rPr>
        <w:t>Doğan</w:t>
      </w:r>
      <w:proofErr w:type="spellEnd"/>
      <w:r w:rsidR="00DF77FF" w:rsidRPr="006A5AC8">
        <w:rPr>
          <w:i/>
          <w:lang w:val="bg-BG"/>
        </w:rPr>
        <w:t xml:space="preserve"> срещу Турция</w:t>
      </w:r>
      <w:r w:rsidR="00DF77FF" w:rsidRPr="006A5AC8">
        <w:rPr>
          <w:lang w:val="bg-BG"/>
        </w:rPr>
        <w:t xml:space="preserve">, № 37033/03, § 23, 10 март 2009 г., и </w:t>
      </w:r>
      <w:proofErr w:type="spellStart"/>
      <w:r w:rsidR="00DF77FF" w:rsidRPr="006A5AC8">
        <w:rPr>
          <w:i/>
          <w:lang w:val="bg-BG"/>
        </w:rPr>
        <w:t>Pop</w:t>
      </w:r>
      <w:proofErr w:type="spellEnd"/>
      <w:r w:rsidR="00DF77FF" w:rsidRPr="006A5AC8">
        <w:rPr>
          <w:i/>
          <w:lang w:val="bg-BG"/>
        </w:rPr>
        <w:t xml:space="preserve"> и други срещу Румъния</w:t>
      </w:r>
      <w:r w:rsidR="00DF77FF" w:rsidRPr="006A5AC8">
        <w:rPr>
          <w:lang w:val="bg-BG"/>
        </w:rPr>
        <w:t xml:space="preserve">, № 31269/06, §§ 53-55, 24 март 2015 г.). Той счита, че подобна ситуация застрашава сериозно доверието, което съдилищата трябва да вдъхват в едно демократично общество (виж </w:t>
      </w:r>
      <w:proofErr w:type="spellStart"/>
      <w:r w:rsidR="00DF77FF" w:rsidRPr="006A5AC8">
        <w:rPr>
          <w:i/>
          <w:lang w:val="bg-BG"/>
        </w:rPr>
        <w:t>mutatis</w:t>
      </w:r>
      <w:proofErr w:type="spellEnd"/>
      <w:r w:rsidR="00DF77FF" w:rsidRPr="006A5AC8">
        <w:rPr>
          <w:i/>
          <w:lang w:val="bg-BG"/>
        </w:rPr>
        <w:t xml:space="preserve"> </w:t>
      </w:r>
      <w:proofErr w:type="spellStart"/>
      <w:r w:rsidR="00DF77FF" w:rsidRPr="006A5AC8">
        <w:rPr>
          <w:i/>
          <w:lang w:val="bg-BG"/>
        </w:rPr>
        <w:t>mutandis</w:t>
      </w:r>
      <w:proofErr w:type="spellEnd"/>
      <w:r w:rsidR="00DF77FF" w:rsidRPr="006A5AC8">
        <w:rPr>
          <w:i/>
          <w:lang w:val="bg-BG"/>
        </w:rPr>
        <w:t xml:space="preserve">, </w:t>
      </w:r>
      <w:proofErr w:type="spellStart"/>
      <w:r w:rsidR="00DF77FF" w:rsidRPr="006A5AC8">
        <w:rPr>
          <w:i/>
          <w:lang w:val="bg-BG"/>
        </w:rPr>
        <w:t>Canevi</w:t>
      </w:r>
      <w:proofErr w:type="spellEnd"/>
      <w:r w:rsidR="00DF77FF" w:rsidRPr="006A5AC8">
        <w:rPr>
          <w:i/>
          <w:lang w:val="bg-BG"/>
        </w:rPr>
        <w:t xml:space="preserve"> и други срещу Турция</w:t>
      </w:r>
      <w:r w:rsidR="00DF77FF" w:rsidRPr="006A5AC8">
        <w:rPr>
          <w:lang w:val="bg-BG"/>
        </w:rPr>
        <w:t>, № 40395/98, § 33, 10 ноември 2004 г.).</w:t>
      </w:r>
    </w:p>
    <w:p w14:paraId="2A846406" w14:textId="2895EDAB" w:rsidR="00DF321E"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34</w:t>
      </w:r>
      <w:r w:rsidRPr="006A5AC8">
        <w:rPr>
          <w:lang w:val="bg-BG"/>
        </w:rPr>
        <w:fldChar w:fldCharType="end"/>
      </w:r>
      <w:r w:rsidRPr="006A5AC8">
        <w:rPr>
          <w:lang w:val="bg-BG"/>
        </w:rPr>
        <w:t>.  </w:t>
      </w:r>
      <w:r w:rsidR="002B47DD">
        <w:rPr>
          <w:lang w:val="bg-BG"/>
        </w:rPr>
        <w:t>Поради т</w:t>
      </w:r>
      <w:r w:rsidR="00DF321E" w:rsidRPr="006A5AC8">
        <w:rPr>
          <w:lang w:val="bg-BG"/>
        </w:rPr>
        <w:t>ова притеснение Съд</w:t>
      </w:r>
      <w:r w:rsidR="002B47DD">
        <w:rPr>
          <w:lang w:val="bg-BG"/>
        </w:rPr>
        <w:t>ът</w:t>
      </w:r>
      <w:r w:rsidR="00DF321E" w:rsidRPr="006A5AC8">
        <w:rPr>
          <w:lang w:val="bg-BG"/>
        </w:rPr>
        <w:t xml:space="preserve"> </w:t>
      </w:r>
      <w:r w:rsidR="002B47DD" w:rsidRPr="006A5AC8">
        <w:rPr>
          <w:lang w:val="bg-BG"/>
        </w:rPr>
        <w:t xml:space="preserve">вече </w:t>
      </w:r>
      <w:r w:rsidR="002B47DD">
        <w:rPr>
          <w:lang w:val="bg-BG"/>
        </w:rPr>
        <w:t>е</w:t>
      </w:r>
      <w:r w:rsidR="002B47DD" w:rsidRPr="006A5AC8">
        <w:rPr>
          <w:lang w:val="bg-BG"/>
        </w:rPr>
        <w:t xml:space="preserve"> </w:t>
      </w:r>
      <w:r w:rsidR="00DF321E" w:rsidRPr="006A5AC8">
        <w:rPr>
          <w:lang w:val="bg-BG"/>
        </w:rPr>
        <w:t>потвър</w:t>
      </w:r>
      <w:r w:rsidR="002B47DD">
        <w:rPr>
          <w:lang w:val="bg-BG"/>
        </w:rPr>
        <w:t>ж</w:t>
      </w:r>
      <w:r w:rsidR="00DF321E" w:rsidRPr="006A5AC8">
        <w:rPr>
          <w:lang w:val="bg-BG"/>
        </w:rPr>
        <w:t>д</w:t>
      </w:r>
      <w:r w:rsidR="002B47DD">
        <w:rPr>
          <w:lang w:val="bg-BG"/>
        </w:rPr>
        <w:t>авал</w:t>
      </w:r>
      <w:r w:rsidR="00DF321E" w:rsidRPr="006A5AC8">
        <w:rPr>
          <w:lang w:val="bg-BG"/>
        </w:rPr>
        <w:t xml:space="preserve">, че фактът, че такива съдилища решават наказателни обвинения срещу цивилни лица, може да се </w:t>
      </w:r>
      <w:r w:rsidR="00DA6BAB">
        <w:rPr>
          <w:lang w:val="bg-BG"/>
        </w:rPr>
        <w:t>счете за съответстващ на</w:t>
      </w:r>
      <w:r w:rsidR="00DF321E" w:rsidRPr="006A5AC8">
        <w:rPr>
          <w:lang w:val="bg-BG"/>
        </w:rPr>
        <w:t xml:space="preserve"> член 6 от Конвенцията единствено при изключителни обстоятелства. Съществуващата на международно ниво тенденция за изключване </w:t>
      </w:r>
      <w:r w:rsidR="002B47DD" w:rsidRPr="006A5AC8">
        <w:rPr>
          <w:lang w:val="bg-BG"/>
        </w:rPr>
        <w:t xml:space="preserve">от юрисдикцията на военните съдилища </w:t>
      </w:r>
      <w:r w:rsidR="00DF321E" w:rsidRPr="006A5AC8">
        <w:rPr>
          <w:lang w:val="bg-BG"/>
        </w:rPr>
        <w:t>на наказателната сфера, когато става въпрос за съдебен процес срещу цивилни лица</w:t>
      </w:r>
      <w:r w:rsidR="00E23731">
        <w:rPr>
          <w:lang w:val="bg-BG"/>
        </w:rPr>
        <w:t>,</w:t>
      </w:r>
      <w:r w:rsidR="00DF321E" w:rsidRPr="006A5AC8">
        <w:rPr>
          <w:lang w:val="bg-BG"/>
        </w:rPr>
        <w:t xml:space="preserve"> подсилва убеждението на Съда (горецитираното </w:t>
      </w:r>
      <w:proofErr w:type="spellStart"/>
      <w:r w:rsidR="00DF321E" w:rsidRPr="006A5AC8">
        <w:rPr>
          <w:i/>
          <w:lang w:val="bg-BG"/>
        </w:rPr>
        <w:t>Ergin</w:t>
      </w:r>
      <w:proofErr w:type="spellEnd"/>
      <w:r w:rsidR="00DF321E" w:rsidRPr="006A5AC8">
        <w:rPr>
          <w:lang w:val="bg-BG"/>
        </w:rPr>
        <w:t xml:space="preserve">, §§ 44 и 45, горецитираното </w:t>
      </w:r>
      <w:proofErr w:type="spellStart"/>
      <w:r w:rsidR="00DF321E" w:rsidRPr="006A5AC8">
        <w:rPr>
          <w:i/>
          <w:lang w:val="bg-BG"/>
        </w:rPr>
        <w:t>Maszni</w:t>
      </w:r>
      <w:proofErr w:type="spellEnd"/>
      <w:r w:rsidR="00DF321E" w:rsidRPr="006A5AC8">
        <w:rPr>
          <w:lang w:val="bg-BG"/>
        </w:rPr>
        <w:t>, §§ 46 и 47; виж параграфи 17-20 по-горе).</w:t>
      </w:r>
    </w:p>
    <w:p w14:paraId="33FDFCDE" w14:textId="77777777" w:rsidR="00DF321E"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35</w:t>
      </w:r>
      <w:r w:rsidRPr="006A5AC8">
        <w:rPr>
          <w:lang w:val="bg-BG"/>
        </w:rPr>
        <w:fldChar w:fldCharType="end"/>
      </w:r>
      <w:r w:rsidRPr="006A5AC8">
        <w:rPr>
          <w:lang w:val="bg-BG"/>
        </w:rPr>
        <w:t>.  </w:t>
      </w:r>
      <w:r w:rsidR="00DF321E" w:rsidRPr="006A5AC8">
        <w:rPr>
          <w:lang w:val="bg-BG"/>
        </w:rPr>
        <w:t xml:space="preserve">Той припомня, че специалното място, </w:t>
      </w:r>
      <w:r w:rsidR="00C67B8C" w:rsidRPr="006A5AC8">
        <w:rPr>
          <w:lang w:val="bg-BG"/>
        </w:rPr>
        <w:t>което</w:t>
      </w:r>
      <w:r w:rsidR="00DF321E" w:rsidRPr="006A5AC8">
        <w:rPr>
          <w:lang w:val="bg-BG"/>
        </w:rPr>
        <w:t xml:space="preserve"> армията </w:t>
      </w:r>
      <w:r w:rsidR="00C67B8C" w:rsidRPr="006A5AC8">
        <w:rPr>
          <w:lang w:val="bg-BG"/>
        </w:rPr>
        <w:t xml:space="preserve">заема </w:t>
      </w:r>
      <w:r w:rsidR="00DF321E" w:rsidRPr="006A5AC8">
        <w:rPr>
          <w:lang w:val="bg-BG"/>
        </w:rPr>
        <w:t xml:space="preserve">в конституционната организация на демократичните държави, трябва да бъде ограничено до </w:t>
      </w:r>
      <w:r w:rsidR="00C67B8C" w:rsidRPr="006A5AC8">
        <w:rPr>
          <w:lang w:val="bg-BG"/>
        </w:rPr>
        <w:t>сферата</w:t>
      </w:r>
      <w:r w:rsidR="00DF321E" w:rsidRPr="006A5AC8">
        <w:rPr>
          <w:lang w:val="bg-BG"/>
        </w:rPr>
        <w:t xml:space="preserve"> на националната сигурност, като съдебната власт от своя страна </w:t>
      </w:r>
      <w:r w:rsidR="00E23731">
        <w:rPr>
          <w:lang w:val="bg-BG"/>
        </w:rPr>
        <w:t>по правило</w:t>
      </w:r>
      <w:r w:rsidR="00E23731" w:rsidRPr="006A5AC8">
        <w:rPr>
          <w:lang w:val="bg-BG"/>
        </w:rPr>
        <w:t xml:space="preserve"> </w:t>
      </w:r>
      <w:r w:rsidR="00DF321E" w:rsidRPr="006A5AC8">
        <w:rPr>
          <w:lang w:val="bg-BG"/>
        </w:rPr>
        <w:t xml:space="preserve">попада </w:t>
      </w:r>
      <w:r w:rsidR="00C67B8C" w:rsidRPr="006A5AC8">
        <w:rPr>
          <w:lang w:val="bg-BG"/>
        </w:rPr>
        <w:t>в</w:t>
      </w:r>
      <w:r w:rsidR="00DF321E" w:rsidRPr="006A5AC8">
        <w:rPr>
          <w:lang w:val="bg-BG"/>
        </w:rPr>
        <w:t xml:space="preserve"> областта на гражданското общество. Той също така взема предвид наличието на специални правила, регулиращи вътрешната организация и йерархичната структура на въоръжените сили (</w:t>
      </w:r>
      <w:r w:rsidR="002E0012" w:rsidRPr="006A5AC8">
        <w:rPr>
          <w:lang w:val="bg-BG"/>
        </w:rPr>
        <w:t xml:space="preserve">горецитираното </w:t>
      </w:r>
      <w:proofErr w:type="spellStart"/>
      <w:r w:rsidR="002E0012" w:rsidRPr="006A5AC8">
        <w:rPr>
          <w:i/>
          <w:lang w:val="bg-BG"/>
        </w:rPr>
        <w:t>Ergin</w:t>
      </w:r>
      <w:proofErr w:type="spellEnd"/>
      <w:r w:rsidR="00DF321E" w:rsidRPr="006A5AC8">
        <w:rPr>
          <w:lang w:val="bg-BG"/>
        </w:rPr>
        <w:t xml:space="preserve">, § 46, и </w:t>
      </w:r>
      <w:r w:rsidR="002E0012" w:rsidRPr="006A5AC8">
        <w:rPr>
          <w:lang w:val="bg-BG"/>
        </w:rPr>
        <w:t xml:space="preserve">горецитираното </w:t>
      </w:r>
      <w:proofErr w:type="spellStart"/>
      <w:r w:rsidR="002E0012" w:rsidRPr="006A5AC8">
        <w:rPr>
          <w:i/>
          <w:lang w:val="bg-BG"/>
        </w:rPr>
        <w:t>Maszni</w:t>
      </w:r>
      <w:proofErr w:type="spellEnd"/>
      <w:r w:rsidR="002E0012" w:rsidRPr="006A5AC8">
        <w:rPr>
          <w:i/>
          <w:lang w:val="bg-BG"/>
        </w:rPr>
        <w:t>,</w:t>
      </w:r>
      <w:r w:rsidR="002E0012" w:rsidRPr="006A5AC8">
        <w:rPr>
          <w:lang w:val="bg-BG"/>
        </w:rPr>
        <w:t xml:space="preserve"> </w:t>
      </w:r>
      <w:r w:rsidR="00DF321E" w:rsidRPr="006A5AC8">
        <w:rPr>
          <w:lang w:val="bg-BG"/>
        </w:rPr>
        <w:t>§ 50).</w:t>
      </w:r>
    </w:p>
    <w:bookmarkStart w:id="10" w:name="Para35"/>
    <w:p w14:paraId="31DA9D73" w14:textId="77777777" w:rsidR="00413423"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36</w:t>
      </w:r>
      <w:r w:rsidRPr="006A5AC8">
        <w:rPr>
          <w:lang w:val="bg-BG"/>
        </w:rPr>
        <w:fldChar w:fldCharType="end"/>
      </w:r>
      <w:bookmarkEnd w:id="10"/>
      <w:r w:rsidRPr="006A5AC8">
        <w:rPr>
          <w:lang w:val="bg-BG"/>
        </w:rPr>
        <w:t>.  </w:t>
      </w:r>
      <w:r w:rsidR="00413423" w:rsidRPr="006A5AC8">
        <w:rPr>
          <w:lang w:val="bg-BG"/>
        </w:rPr>
        <w:t xml:space="preserve">Правомощията на военното наказателно правосъдие следва да се разпростира върху цивилни лица единствено при наличие на наложителни причини, обосноваващи подобна ситуация, и то на ясна и предвидима правна основа. Наличието на такива причини трябва да бъде доказано </w:t>
      </w:r>
      <w:proofErr w:type="spellStart"/>
      <w:r w:rsidR="00413423" w:rsidRPr="006A5AC8">
        <w:rPr>
          <w:i/>
          <w:iCs/>
          <w:lang w:val="bg-BG"/>
        </w:rPr>
        <w:t>in</w:t>
      </w:r>
      <w:proofErr w:type="spellEnd"/>
      <w:r w:rsidR="00413423" w:rsidRPr="006A5AC8">
        <w:rPr>
          <w:i/>
          <w:iCs/>
          <w:lang w:val="bg-BG"/>
        </w:rPr>
        <w:t xml:space="preserve"> </w:t>
      </w:r>
      <w:proofErr w:type="spellStart"/>
      <w:r w:rsidR="00413423" w:rsidRPr="006A5AC8">
        <w:rPr>
          <w:i/>
          <w:iCs/>
          <w:lang w:val="bg-BG"/>
        </w:rPr>
        <w:t>concreto</w:t>
      </w:r>
      <w:proofErr w:type="spellEnd"/>
      <w:r w:rsidR="00413423" w:rsidRPr="006A5AC8">
        <w:rPr>
          <w:lang w:val="bg-BG"/>
        </w:rPr>
        <w:t xml:space="preserve"> за всеки случай. </w:t>
      </w:r>
      <w:r w:rsidR="00097A24" w:rsidRPr="006A5AC8">
        <w:rPr>
          <w:lang w:val="bg-BG"/>
        </w:rPr>
        <w:t>Възлагането</w:t>
      </w:r>
      <w:r w:rsidR="00413423" w:rsidRPr="006A5AC8">
        <w:rPr>
          <w:lang w:val="bg-BG"/>
        </w:rPr>
        <w:t xml:space="preserve"> </w:t>
      </w:r>
      <w:proofErr w:type="spellStart"/>
      <w:r w:rsidR="00097A24" w:rsidRPr="006A5AC8">
        <w:rPr>
          <w:i/>
          <w:iCs/>
          <w:lang w:val="bg-BG"/>
        </w:rPr>
        <w:t>in</w:t>
      </w:r>
      <w:proofErr w:type="spellEnd"/>
      <w:r w:rsidR="00097A24" w:rsidRPr="006A5AC8">
        <w:rPr>
          <w:i/>
          <w:iCs/>
          <w:lang w:val="bg-BG"/>
        </w:rPr>
        <w:t xml:space="preserve"> </w:t>
      </w:r>
      <w:proofErr w:type="spellStart"/>
      <w:r w:rsidR="00097A24" w:rsidRPr="006A5AC8">
        <w:rPr>
          <w:i/>
          <w:iCs/>
          <w:lang w:val="bg-BG"/>
        </w:rPr>
        <w:t>abstracto</w:t>
      </w:r>
      <w:proofErr w:type="spellEnd"/>
      <w:r w:rsidR="00097A24" w:rsidRPr="006A5AC8">
        <w:rPr>
          <w:lang w:val="bg-BG"/>
        </w:rPr>
        <w:t xml:space="preserve"> </w:t>
      </w:r>
      <w:r w:rsidR="00413423" w:rsidRPr="006A5AC8">
        <w:rPr>
          <w:lang w:val="bg-BG"/>
        </w:rPr>
        <w:t>от</w:t>
      </w:r>
      <w:r w:rsidR="00097A24" w:rsidRPr="006A5AC8">
        <w:rPr>
          <w:lang w:val="bg-BG"/>
        </w:rPr>
        <w:t xml:space="preserve"> страна на</w:t>
      </w:r>
      <w:r w:rsidR="00413423" w:rsidRPr="006A5AC8">
        <w:rPr>
          <w:lang w:val="bg-BG"/>
        </w:rPr>
        <w:t xml:space="preserve"> националното законодателство на някои категории престъпления на военните съдилища не е достатъчно (</w:t>
      </w:r>
      <w:r w:rsidR="00097A24" w:rsidRPr="006A5AC8">
        <w:rPr>
          <w:lang w:val="bg-BG"/>
        </w:rPr>
        <w:t xml:space="preserve">горецитираното </w:t>
      </w:r>
      <w:proofErr w:type="spellStart"/>
      <w:r w:rsidR="00097A24" w:rsidRPr="006A5AC8">
        <w:rPr>
          <w:i/>
          <w:lang w:val="bg-BG"/>
        </w:rPr>
        <w:t>Ergin</w:t>
      </w:r>
      <w:proofErr w:type="spellEnd"/>
      <w:r w:rsidR="00097A24" w:rsidRPr="006A5AC8">
        <w:rPr>
          <w:lang w:val="bg-BG"/>
        </w:rPr>
        <w:t xml:space="preserve">, § 47, и горецитираното </w:t>
      </w:r>
      <w:proofErr w:type="spellStart"/>
      <w:r w:rsidR="00097A24" w:rsidRPr="006A5AC8">
        <w:rPr>
          <w:i/>
          <w:lang w:val="bg-BG"/>
        </w:rPr>
        <w:t>Maszni</w:t>
      </w:r>
      <w:proofErr w:type="spellEnd"/>
      <w:r w:rsidR="00097A24" w:rsidRPr="006A5AC8">
        <w:rPr>
          <w:i/>
          <w:lang w:val="bg-BG"/>
        </w:rPr>
        <w:t>,</w:t>
      </w:r>
      <w:r w:rsidR="00097A24" w:rsidRPr="006A5AC8">
        <w:rPr>
          <w:lang w:val="bg-BG"/>
        </w:rPr>
        <w:t xml:space="preserve"> § 5</w:t>
      </w:r>
      <w:r w:rsidR="008A3FFE" w:rsidRPr="006A5AC8">
        <w:rPr>
          <w:lang w:val="bg-BG"/>
        </w:rPr>
        <w:t>1</w:t>
      </w:r>
      <w:r w:rsidR="00413423" w:rsidRPr="006A5AC8">
        <w:rPr>
          <w:lang w:val="bg-BG"/>
        </w:rPr>
        <w:t>).</w:t>
      </w:r>
    </w:p>
    <w:p w14:paraId="2AD72596" w14:textId="77777777" w:rsidR="00DA4DC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37</w:t>
      </w:r>
      <w:r w:rsidRPr="006A5AC8">
        <w:rPr>
          <w:lang w:val="bg-BG"/>
        </w:rPr>
        <w:fldChar w:fldCharType="end"/>
      </w:r>
      <w:r w:rsidRPr="006A5AC8">
        <w:rPr>
          <w:lang w:val="bg-BG"/>
        </w:rPr>
        <w:t>.  </w:t>
      </w:r>
      <w:r w:rsidR="00DA4DC7" w:rsidRPr="006A5AC8">
        <w:rPr>
          <w:lang w:val="bg-BG"/>
        </w:rPr>
        <w:t xml:space="preserve">В действителност едно такова възлагане </w:t>
      </w:r>
      <w:proofErr w:type="spellStart"/>
      <w:r w:rsidR="00DA4DC7" w:rsidRPr="006A5AC8">
        <w:rPr>
          <w:i/>
          <w:iCs/>
          <w:lang w:val="bg-BG"/>
        </w:rPr>
        <w:t>in</w:t>
      </w:r>
      <w:proofErr w:type="spellEnd"/>
      <w:r w:rsidR="00DA4DC7" w:rsidRPr="006A5AC8">
        <w:rPr>
          <w:i/>
          <w:iCs/>
          <w:lang w:val="bg-BG"/>
        </w:rPr>
        <w:t xml:space="preserve"> </w:t>
      </w:r>
      <w:proofErr w:type="spellStart"/>
      <w:r w:rsidR="00DA4DC7" w:rsidRPr="006A5AC8">
        <w:rPr>
          <w:i/>
          <w:iCs/>
          <w:lang w:val="bg-BG"/>
        </w:rPr>
        <w:t>abstracto</w:t>
      </w:r>
      <w:proofErr w:type="spellEnd"/>
      <w:r w:rsidR="00DA4DC7" w:rsidRPr="006A5AC8">
        <w:rPr>
          <w:lang w:val="bg-BG"/>
        </w:rPr>
        <w:t xml:space="preserve"> може да постави засегнатите цивилни лица в значително по-различно положение от това на гражданите, изправени пред съдилищата с обща компетентност. Въпреки че военните съдилища могат да спазват </w:t>
      </w:r>
      <w:r w:rsidR="008A3FFE" w:rsidRPr="006A5AC8">
        <w:rPr>
          <w:lang w:val="bg-BG"/>
        </w:rPr>
        <w:t>нормите на К</w:t>
      </w:r>
      <w:r w:rsidR="00DA4DC7" w:rsidRPr="006A5AC8">
        <w:rPr>
          <w:lang w:val="bg-BG"/>
        </w:rPr>
        <w:t>онвенцията до същата степен като съдилища</w:t>
      </w:r>
      <w:r w:rsidR="008A3FFE" w:rsidRPr="006A5AC8">
        <w:rPr>
          <w:lang w:val="bg-BG"/>
        </w:rPr>
        <w:t>та с обща компетентност</w:t>
      </w:r>
      <w:r w:rsidR="00DA4DC7" w:rsidRPr="006A5AC8">
        <w:rPr>
          <w:lang w:val="bg-BG"/>
        </w:rPr>
        <w:t xml:space="preserve">, различия в третирането, свързани с естеството и целта на тези съдилища, могат да създадат проблем </w:t>
      </w:r>
      <w:r w:rsidR="008A3FFE" w:rsidRPr="006A5AC8">
        <w:rPr>
          <w:lang w:val="bg-BG"/>
        </w:rPr>
        <w:t>по отношение на</w:t>
      </w:r>
      <w:r w:rsidR="00DA4DC7" w:rsidRPr="006A5AC8">
        <w:rPr>
          <w:lang w:val="bg-BG"/>
        </w:rPr>
        <w:t xml:space="preserve"> неравенство</w:t>
      </w:r>
      <w:r w:rsidR="008A3FFE" w:rsidRPr="006A5AC8">
        <w:rPr>
          <w:lang w:val="bg-BG"/>
        </w:rPr>
        <w:t>то</w:t>
      </w:r>
      <w:r w:rsidR="00DA4DC7" w:rsidRPr="006A5AC8">
        <w:rPr>
          <w:lang w:val="bg-BG"/>
        </w:rPr>
        <w:t xml:space="preserve"> пред</w:t>
      </w:r>
      <w:r w:rsidR="008A3FFE" w:rsidRPr="006A5AC8">
        <w:rPr>
          <w:lang w:val="bg-BG"/>
        </w:rPr>
        <w:t xml:space="preserve"> правосъдието</w:t>
      </w:r>
      <w:r w:rsidR="00DA4DC7" w:rsidRPr="006A5AC8">
        <w:rPr>
          <w:lang w:val="bg-BG"/>
        </w:rPr>
        <w:t>, което трябва да се избягва</w:t>
      </w:r>
      <w:r w:rsidR="008A3FFE" w:rsidRPr="006A5AC8">
        <w:rPr>
          <w:lang w:val="bg-BG"/>
        </w:rPr>
        <w:t>,</w:t>
      </w:r>
      <w:r w:rsidR="00DA4DC7" w:rsidRPr="006A5AC8">
        <w:rPr>
          <w:lang w:val="bg-BG"/>
        </w:rPr>
        <w:t xml:space="preserve"> доколкото е възможно, особено по наказателни дела (</w:t>
      </w:r>
      <w:r w:rsidR="008A3FFE" w:rsidRPr="006A5AC8">
        <w:rPr>
          <w:lang w:val="bg-BG"/>
        </w:rPr>
        <w:t xml:space="preserve">горецитираното </w:t>
      </w:r>
      <w:proofErr w:type="spellStart"/>
      <w:r w:rsidR="008A3FFE" w:rsidRPr="006A5AC8">
        <w:rPr>
          <w:i/>
          <w:lang w:val="bg-BG"/>
        </w:rPr>
        <w:t>Ergin</w:t>
      </w:r>
      <w:proofErr w:type="spellEnd"/>
      <w:r w:rsidR="008A3FFE" w:rsidRPr="006A5AC8">
        <w:rPr>
          <w:lang w:val="bg-BG"/>
        </w:rPr>
        <w:t xml:space="preserve">, § 48, и горецитираното </w:t>
      </w:r>
      <w:proofErr w:type="spellStart"/>
      <w:r w:rsidR="008A3FFE" w:rsidRPr="006A5AC8">
        <w:rPr>
          <w:i/>
          <w:lang w:val="bg-BG"/>
        </w:rPr>
        <w:t>Maszni</w:t>
      </w:r>
      <w:proofErr w:type="spellEnd"/>
      <w:r w:rsidR="008A3FFE" w:rsidRPr="006A5AC8">
        <w:rPr>
          <w:i/>
          <w:lang w:val="bg-BG"/>
        </w:rPr>
        <w:t>,</w:t>
      </w:r>
      <w:r w:rsidR="008A3FFE" w:rsidRPr="006A5AC8">
        <w:rPr>
          <w:lang w:val="bg-BG"/>
        </w:rPr>
        <w:t xml:space="preserve"> § 52</w:t>
      </w:r>
      <w:r w:rsidR="00DA4DC7" w:rsidRPr="006A5AC8">
        <w:rPr>
          <w:lang w:val="bg-BG"/>
        </w:rPr>
        <w:t>)</w:t>
      </w:r>
    </w:p>
    <w:p w14:paraId="1AC9B90C" w14:textId="77777777" w:rsidR="005C5787" w:rsidRPr="006A5AC8" w:rsidRDefault="000E7E20" w:rsidP="00EE31D5">
      <w:pPr>
        <w:pStyle w:val="JuH1"/>
        <w:rPr>
          <w:lang w:val="bg-BG"/>
        </w:rPr>
      </w:pPr>
      <w:r w:rsidRPr="006A5AC8">
        <w:rPr>
          <w:lang w:val="bg-BG"/>
        </w:rPr>
        <w:lastRenderedPageBreak/>
        <w:t>Приложение на тези принципи по настоящото дело</w:t>
      </w:r>
    </w:p>
    <w:p w14:paraId="47CCB4C3" w14:textId="44E86A0E" w:rsidR="00B619F3"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38</w:t>
      </w:r>
      <w:r w:rsidRPr="006A5AC8">
        <w:rPr>
          <w:lang w:val="bg-BG"/>
        </w:rPr>
        <w:fldChar w:fldCharType="end"/>
      </w:r>
      <w:r w:rsidRPr="006A5AC8">
        <w:rPr>
          <w:lang w:val="bg-BG"/>
        </w:rPr>
        <w:t>.  </w:t>
      </w:r>
      <w:r w:rsidR="00B619F3" w:rsidRPr="006A5AC8">
        <w:rPr>
          <w:lang w:val="bg-BG"/>
        </w:rPr>
        <w:t xml:space="preserve">В настоящия случай Съдът отбелязва, че по силата на законовите разпоредби относно юрисдикцията на военните съдилища жалбоподателят, който не е имал връзка </w:t>
      </w:r>
      <w:r w:rsidR="00931CB3" w:rsidRPr="006A5AC8">
        <w:rPr>
          <w:lang w:val="bg-BG"/>
        </w:rPr>
        <w:t>на</w:t>
      </w:r>
      <w:r w:rsidR="00B619F3" w:rsidRPr="006A5AC8">
        <w:rPr>
          <w:lang w:val="bg-BG"/>
        </w:rPr>
        <w:t xml:space="preserve"> лоялност или подчинение с армията, </w:t>
      </w:r>
      <w:r w:rsidR="00931CB3" w:rsidRPr="006A5AC8">
        <w:rPr>
          <w:lang w:val="bg-BG"/>
        </w:rPr>
        <w:t xml:space="preserve">все пак </w:t>
      </w:r>
      <w:r w:rsidR="00B619F3" w:rsidRPr="006A5AC8">
        <w:rPr>
          <w:lang w:val="bg-BG"/>
        </w:rPr>
        <w:t xml:space="preserve">е бил изправен пред военните съдилища за </w:t>
      </w:r>
      <w:r w:rsidR="00931CB3" w:rsidRPr="006A5AC8">
        <w:rPr>
          <w:lang w:val="bg-BG"/>
        </w:rPr>
        <w:t xml:space="preserve">престъпления </w:t>
      </w:r>
      <w:r w:rsidR="00936B4C">
        <w:rPr>
          <w:lang w:val="bg-BG"/>
        </w:rPr>
        <w:t>с</w:t>
      </w:r>
      <w:r w:rsidR="00931CB3" w:rsidRPr="006A5AC8">
        <w:rPr>
          <w:lang w:val="bg-BG"/>
        </w:rPr>
        <w:t xml:space="preserve"> общ характер</w:t>
      </w:r>
      <w:r w:rsidR="00B619F3" w:rsidRPr="006A5AC8">
        <w:rPr>
          <w:lang w:val="bg-BG"/>
        </w:rPr>
        <w:t xml:space="preserve"> (виж параграф 6 по-горе)</w:t>
      </w:r>
      <w:r w:rsidR="00931CB3" w:rsidRPr="006A5AC8">
        <w:rPr>
          <w:lang w:val="bg-BG"/>
        </w:rPr>
        <w:t>.</w:t>
      </w:r>
    </w:p>
    <w:p w14:paraId="133F678C" w14:textId="77777777" w:rsidR="003605B2"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39</w:t>
      </w:r>
      <w:r w:rsidRPr="006A5AC8">
        <w:rPr>
          <w:lang w:val="bg-BG"/>
        </w:rPr>
        <w:fldChar w:fldCharType="end"/>
      </w:r>
      <w:r w:rsidRPr="006A5AC8">
        <w:rPr>
          <w:lang w:val="bg-BG"/>
        </w:rPr>
        <w:t>. </w:t>
      </w:r>
      <w:r w:rsidR="00E23731">
        <w:rPr>
          <w:lang w:val="bg-BG"/>
        </w:rPr>
        <w:t>По настоящото дело</w:t>
      </w:r>
      <w:r w:rsidR="003605B2" w:rsidRPr="006A5AC8">
        <w:rPr>
          <w:lang w:val="bg-BG"/>
        </w:rPr>
        <w:t xml:space="preserve">, тъй като доводите на жалбоподателя за оспорване както на независимостта, така и на безпристрастността на военните съдилища се основават на едни и същи факти и едни и същи аргументи, Съдът ще разгледа двата въпроса заедно. (виж, </w:t>
      </w:r>
      <w:proofErr w:type="spellStart"/>
      <w:r w:rsidR="003605B2" w:rsidRPr="006A5AC8">
        <w:rPr>
          <w:i/>
          <w:lang w:val="bg-BG"/>
        </w:rPr>
        <w:t>mutatis</w:t>
      </w:r>
      <w:proofErr w:type="spellEnd"/>
      <w:r w:rsidR="003605B2" w:rsidRPr="006A5AC8">
        <w:rPr>
          <w:i/>
          <w:lang w:val="bg-BG"/>
        </w:rPr>
        <w:t xml:space="preserve"> </w:t>
      </w:r>
      <w:proofErr w:type="spellStart"/>
      <w:r w:rsidR="003605B2" w:rsidRPr="006A5AC8">
        <w:rPr>
          <w:i/>
          <w:lang w:val="bg-BG"/>
        </w:rPr>
        <w:t>mutandis</w:t>
      </w:r>
      <w:proofErr w:type="spellEnd"/>
      <w:r w:rsidR="003605B2" w:rsidRPr="006A5AC8">
        <w:rPr>
          <w:i/>
          <w:lang w:val="bg-BG"/>
        </w:rPr>
        <w:t xml:space="preserve">, горецитираното </w:t>
      </w:r>
      <w:proofErr w:type="spellStart"/>
      <w:r w:rsidR="003605B2" w:rsidRPr="006A5AC8">
        <w:rPr>
          <w:i/>
          <w:lang w:val="bg-BG"/>
        </w:rPr>
        <w:t>Maszni</w:t>
      </w:r>
      <w:proofErr w:type="spellEnd"/>
      <w:r w:rsidR="003605B2" w:rsidRPr="006A5AC8">
        <w:rPr>
          <w:lang w:val="bg-BG"/>
        </w:rPr>
        <w:t xml:space="preserve">, § 54, горецитираното </w:t>
      </w:r>
      <w:proofErr w:type="spellStart"/>
      <w:r w:rsidR="003605B2" w:rsidRPr="006A5AC8">
        <w:rPr>
          <w:i/>
          <w:lang w:val="bg-BG"/>
        </w:rPr>
        <w:t>Ergin</w:t>
      </w:r>
      <w:proofErr w:type="spellEnd"/>
      <w:r w:rsidR="003605B2" w:rsidRPr="006A5AC8">
        <w:rPr>
          <w:lang w:val="bg-BG"/>
        </w:rPr>
        <w:t xml:space="preserve">, § 50, </w:t>
      </w:r>
      <w:proofErr w:type="spellStart"/>
      <w:r w:rsidR="003605B2" w:rsidRPr="006A5AC8">
        <w:rPr>
          <w:i/>
          <w:lang w:val="bg-BG"/>
        </w:rPr>
        <w:t>Incal</w:t>
      </w:r>
      <w:proofErr w:type="spellEnd"/>
      <w:r w:rsidR="003605B2" w:rsidRPr="006A5AC8">
        <w:rPr>
          <w:i/>
          <w:lang w:val="bg-BG"/>
        </w:rPr>
        <w:t xml:space="preserve"> срещу Турция</w:t>
      </w:r>
      <w:r w:rsidR="003605B2" w:rsidRPr="006A5AC8">
        <w:rPr>
          <w:lang w:val="bg-BG"/>
        </w:rPr>
        <w:t xml:space="preserve">, 9 юни 1998 г., § 65, </w:t>
      </w:r>
      <w:proofErr w:type="spellStart"/>
      <w:r w:rsidR="003605B2" w:rsidRPr="006A5AC8">
        <w:rPr>
          <w:i/>
          <w:lang w:val="bg-BG"/>
        </w:rPr>
        <w:t>Recueil</w:t>
      </w:r>
      <w:proofErr w:type="spellEnd"/>
      <w:r w:rsidR="003605B2" w:rsidRPr="006A5AC8">
        <w:rPr>
          <w:i/>
          <w:lang w:val="bg-BG"/>
        </w:rPr>
        <w:t xml:space="preserve"> </w:t>
      </w:r>
      <w:r w:rsidR="003605B2" w:rsidRPr="006A5AC8">
        <w:rPr>
          <w:lang w:val="bg-BG"/>
        </w:rPr>
        <w:t xml:space="preserve">1998 IV, и </w:t>
      </w:r>
      <w:proofErr w:type="spellStart"/>
      <w:r w:rsidR="003605B2" w:rsidRPr="006A5AC8">
        <w:rPr>
          <w:i/>
          <w:lang w:val="bg-BG"/>
        </w:rPr>
        <w:t>Çiraklar</w:t>
      </w:r>
      <w:proofErr w:type="spellEnd"/>
      <w:r w:rsidR="003605B2" w:rsidRPr="006A5AC8">
        <w:rPr>
          <w:i/>
          <w:lang w:val="bg-BG"/>
        </w:rPr>
        <w:t xml:space="preserve"> срещу Турция</w:t>
      </w:r>
      <w:r w:rsidR="003605B2" w:rsidRPr="006A5AC8">
        <w:rPr>
          <w:lang w:val="bg-BG"/>
        </w:rPr>
        <w:t xml:space="preserve">, 28 октомври 1998 г., § 38, </w:t>
      </w:r>
      <w:proofErr w:type="spellStart"/>
      <w:r w:rsidR="003605B2" w:rsidRPr="006A5AC8">
        <w:rPr>
          <w:i/>
          <w:lang w:val="bg-BG"/>
        </w:rPr>
        <w:t>Recueil</w:t>
      </w:r>
      <w:proofErr w:type="spellEnd"/>
      <w:r w:rsidR="003605B2" w:rsidRPr="006A5AC8">
        <w:rPr>
          <w:i/>
          <w:lang w:val="bg-BG"/>
        </w:rPr>
        <w:t xml:space="preserve"> </w:t>
      </w:r>
      <w:r w:rsidR="003605B2" w:rsidRPr="006A5AC8">
        <w:rPr>
          <w:lang w:val="bg-BG"/>
        </w:rPr>
        <w:t>1998 г. VII).</w:t>
      </w:r>
    </w:p>
    <w:p w14:paraId="02741D03" w14:textId="77777777" w:rsidR="003605B2" w:rsidRPr="006A5AC8" w:rsidRDefault="005C5787" w:rsidP="00EE31D5">
      <w:pPr>
        <w:pStyle w:val="JuPara"/>
        <w:rPr>
          <w:lang w:val="bg-BG"/>
        </w:rPr>
      </w:pPr>
      <w:r w:rsidRPr="006A5AC8">
        <w:rPr>
          <w:lang w:val="bg-BG"/>
        </w:rPr>
        <w:t> </w:t>
      </w: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40</w:t>
      </w:r>
      <w:r w:rsidRPr="006A5AC8">
        <w:rPr>
          <w:lang w:val="bg-BG"/>
        </w:rPr>
        <w:fldChar w:fldCharType="end"/>
      </w:r>
      <w:r w:rsidRPr="006A5AC8">
        <w:rPr>
          <w:lang w:val="bg-BG"/>
        </w:rPr>
        <w:t>.  </w:t>
      </w:r>
      <w:r w:rsidR="003605B2" w:rsidRPr="006A5AC8">
        <w:rPr>
          <w:lang w:val="bg-BG"/>
        </w:rPr>
        <w:t>Той отбелязва, че военният съд се е произнесъл по делото на жалбоподателя в състав от един съдия и двама съдебни заседатели, докато Военно-апелативният съд се е произнесъл в състав от трима военни съдии (виж параграфи 8 и 10 по-горе).</w:t>
      </w:r>
    </w:p>
    <w:p w14:paraId="3B89A394" w14:textId="77777777" w:rsidR="00E56BDF"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41</w:t>
      </w:r>
      <w:r w:rsidRPr="006A5AC8">
        <w:rPr>
          <w:lang w:val="bg-BG"/>
        </w:rPr>
        <w:fldChar w:fldCharType="end"/>
      </w:r>
      <w:r w:rsidRPr="006A5AC8">
        <w:rPr>
          <w:lang w:val="bg-BG"/>
        </w:rPr>
        <w:t>.  </w:t>
      </w:r>
      <w:r w:rsidR="00E56BDF" w:rsidRPr="006A5AC8">
        <w:rPr>
          <w:lang w:val="bg-BG"/>
        </w:rPr>
        <w:t>В тази връзка той отбелязва, че статутът на военните съдии предоставя определени гаранции за независимост и безпристрастност. Така военните съдии преминават същата професионална подготовка като колеги</w:t>
      </w:r>
      <w:r w:rsidR="00691E30" w:rsidRPr="006A5AC8">
        <w:rPr>
          <w:lang w:val="bg-BG"/>
        </w:rPr>
        <w:t>те им</w:t>
      </w:r>
      <w:r w:rsidR="00E56BDF" w:rsidRPr="006A5AC8">
        <w:rPr>
          <w:lang w:val="bg-BG"/>
        </w:rPr>
        <w:t xml:space="preserve"> от гражданските съдилища и се ползват от конституционни гаранции, идентични на тези, </w:t>
      </w:r>
      <w:r w:rsidR="00691E30" w:rsidRPr="006A5AC8">
        <w:rPr>
          <w:lang w:val="bg-BG"/>
        </w:rPr>
        <w:t>от</w:t>
      </w:r>
      <w:r w:rsidR="00E56BDF" w:rsidRPr="006A5AC8">
        <w:rPr>
          <w:lang w:val="bg-BG"/>
        </w:rPr>
        <w:t xml:space="preserve"> които се ползват съдии</w:t>
      </w:r>
      <w:r w:rsidR="00E23731">
        <w:rPr>
          <w:lang w:val="bg-BG"/>
        </w:rPr>
        <w:t>те към гражданските съдилища</w:t>
      </w:r>
      <w:r w:rsidR="00E56BDF" w:rsidRPr="006A5AC8">
        <w:rPr>
          <w:lang w:val="bg-BG"/>
        </w:rPr>
        <w:t xml:space="preserve">, доколкото те са назначени от Висшия съдебен съвет, </w:t>
      </w:r>
      <w:r w:rsidR="00691E30" w:rsidRPr="006A5AC8">
        <w:rPr>
          <w:lang w:val="bg-BG"/>
        </w:rPr>
        <w:t>несменяеми са</w:t>
      </w:r>
      <w:r w:rsidR="00E56BDF" w:rsidRPr="006A5AC8">
        <w:rPr>
          <w:lang w:val="bg-BG"/>
        </w:rPr>
        <w:t xml:space="preserve"> и се радват на стабилност </w:t>
      </w:r>
      <w:r w:rsidR="00691E30" w:rsidRPr="006A5AC8">
        <w:rPr>
          <w:lang w:val="bg-BG"/>
        </w:rPr>
        <w:t>на своята длъжност</w:t>
      </w:r>
      <w:r w:rsidR="00E56BDF" w:rsidRPr="006A5AC8">
        <w:rPr>
          <w:lang w:val="bg-BG"/>
        </w:rPr>
        <w:t xml:space="preserve"> (виж параграф 13 по-горе).</w:t>
      </w:r>
    </w:p>
    <w:p w14:paraId="2A55340B" w14:textId="52911B1D" w:rsidR="00574CE6"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42</w:t>
      </w:r>
      <w:r w:rsidRPr="006A5AC8">
        <w:rPr>
          <w:lang w:val="bg-BG"/>
        </w:rPr>
        <w:fldChar w:fldCharType="end"/>
      </w:r>
      <w:r w:rsidRPr="006A5AC8">
        <w:rPr>
          <w:lang w:val="bg-BG"/>
        </w:rPr>
        <w:t>.  </w:t>
      </w:r>
      <w:r w:rsidR="00574CE6" w:rsidRPr="006A5AC8">
        <w:rPr>
          <w:lang w:val="bg-BG"/>
        </w:rPr>
        <w:t xml:space="preserve">От друга страна, </w:t>
      </w:r>
      <w:r w:rsidR="00A05C87">
        <w:rPr>
          <w:lang w:val="bg-BG"/>
        </w:rPr>
        <w:t>З</w:t>
      </w:r>
      <w:r w:rsidR="00574CE6" w:rsidRPr="006A5AC8">
        <w:rPr>
          <w:lang w:val="bg-BG"/>
        </w:rPr>
        <w:t xml:space="preserve">аконът за съдебната власт предвижда военните съдии да бъдат подчинени на военна дисциплина (виж параграф 16 по-горе). След като бъдат назначени, военните съдии влизат в структурата на военнослужещите и им се </w:t>
      </w:r>
      <w:r w:rsidR="00C87654" w:rsidRPr="006A5AC8">
        <w:rPr>
          <w:lang w:val="bg-BG"/>
        </w:rPr>
        <w:t>присвоява</w:t>
      </w:r>
      <w:r w:rsidR="00574CE6" w:rsidRPr="006A5AC8">
        <w:rPr>
          <w:lang w:val="bg-BG"/>
        </w:rPr>
        <w:t xml:space="preserve"> звание. Що се отнася до съдебните заседатели на военния съд, те винаги са армейски офицери, назначени от </w:t>
      </w:r>
      <w:r w:rsidR="00A05C87">
        <w:rPr>
          <w:lang w:val="bg-BG"/>
        </w:rPr>
        <w:t xml:space="preserve">общото </w:t>
      </w:r>
      <w:r w:rsidR="00574CE6" w:rsidRPr="006A5AC8">
        <w:rPr>
          <w:lang w:val="bg-BG"/>
        </w:rPr>
        <w:t xml:space="preserve">събрание на съдиите на </w:t>
      </w:r>
      <w:r w:rsidR="00C87654" w:rsidRPr="006A5AC8">
        <w:rPr>
          <w:lang w:val="bg-BG"/>
        </w:rPr>
        <w:t>Военно-апелативния</w:t>
      </w:r>
      <w:r w:rsidR="00574CE6" w:rsidRPr="006A5AC8">
        <w:rPr>
          <w:lang w:val="bg-BG"/>
        </w:rPr>
        <w:t xml:space="preserve"> съд по предложение на командирите на военните части. Следователно обвиняем може да бъде признат за виновен и осъден от военен съд въз основа на паралелния вот на двамата съдебни заседатели (виж параграф 15 по-горе).</w:t>
      </w:r>
    </w:p>
    <w:p w14:paraId="21BA5B38" w14:textId="26A4B353" w:rsidR="00C87654"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43</w:t>
      </w:r>
      <w:r w:rsidRPr="006A5AC8">
        <w:rPr>
          <w:lang w:val="bg-BG"/>
        </w:rPr>
        <w:fldChar w:fldCharType="end"/>
      </w:r>
      <w:r w:rsidRPr="006A5AC8">
        <w:rPr>
          <w:lang w:val="bg-BG"/>
        </w:rPr>
        <w:t>.  </w:t>
      </w:r>
      <w:r w:rsidR="00C87654" w:rsidRPr="006A5AC8">
        <w:rPr>
          <w:lang w:val="bg-BG"/>
        </w:rPr>
        <w:t xml:space="preserve">Вярно е, че по отношение на статута на военните съдии българското законодателство предвижда режим, много близък до този на статута на съдиите по гражданки дела (виж параграфи 13 и 16 по-горе). В допълнение, в делата, разглеждани от военни съдилища, и в тези, които се разглеждат от наказателните съдилища с обща компетентност се прилагат едни и същи процедурни правила. Въпреки това елементи като подчиняването на военните съдии на военната дисциплина, официалната им принадлежност към структурата </w:t>
      </w:r>
      <w:r w:rsidR="00C87654" w:rsidRPr="006A5AC8">
        <w:rPr>
          <w:lang w:val="bg-BG"/>
        </w:rPr>
        <w:lastRenderedPageBreak/>
        <w:t xml:space="preserve">на военнослужещите, както и статутът на съдебните заседатели </w:t>
      </w:r>
      <w:r w:rsidR="004441EE" w:rsidRPr="006A5AC8">
        <w:rPr>
          <w:lang w:val="bg-BG"/>
        </w:rPr>
        <w:t>във</w:t>
      </w:r>
      <w:r w:rsidR="00C87654" w:rsidRPr="006A5AC8">
        <w:rPr>
          <w:lang w:val="bg-BG"/>
        </w:rPr>
        <w:t xml:space="preserve"> военния съд, които по дефиниция </w:t>
      </w:r>
      <w:r w:rsidR="004441EE" w:rsidRPr="006A5AC8">
        <w:rPr>
          <w:lang w:val="bg-BG"/>
        </w:rPr>
        <w:t xml:space="preserve">са армейски офицери, </w:t>
      </w:r>
      <w:r w:rsidR="00402A35">
        <w:rPr>
          <w:lang w:val="bg-BG"/>
        </w:rPr>
        <w:t>водят до предположението</w:t>
      </w:r>
      <w:r w:rsidR="004441EE" w:rsidRPr="006A5AC8">
        <w:rPr>
          <w:lang w:val="bg-BG"/>
        </w:rPr>
        <w:t>, че</w:t>
      </w:r>
      <w:r w:rsidR="00C87654" w:rsidRPr="006A5AC8">
        <w:rPr>
          <w:lang w:val="bg-BG"/>
        </w:rPr>
        <w:t xml:space="preserve"> военните съдилища според българското законодателство не </w:t>
      </w:r>
      <w:r w:rsidR="004441EE" w:rsidRPr="006A5AC8">
        <w:rPr>
          <w:lang w:val="bg-BG"/>
        </w:rPr>
        <w:t>могат да се считат за еквивалентни</w:t>
      </w:r>
      <w:r w:rsidR="00C87654" w:rsidRPr="006A5AC8">
        <w:rPr>
          <w:lang w:val="bg-BG"/>
        </w:rPr>
        <w:t xml:space="preserve"> на съдилища</w:t>
      </w:r>
      <w:r w:rsidR="004441EE" w:rsidRPr="006A5AC8">
        <w:rPr>
          <w:lang w:val="bg-BG"/>
        </w:rPr>
        <w:t>та с обща компетентност</w:t>
      </w:r>
      <w:r w:rsidR="00C87654" w:rsidRPr="006A5AC8">
        <w:rPr>
          <w:lang w:val="bg-BG"/>
        </w:rPr>
        <w:t xml:space="preserve">. Съдът </w:t>
      </w:r>
      <w:r w:rsidR="004441EE" w:rsidRPr="006A5AC8">
        <w:rPr>
          <w:lang w:val="bg-BG"/>
        </w:rPr>
        <w:t>намира</w:t>
      </w:r>
      <w:r w:rsidR="00C87654" w:rsidRPr="006A5AC8">
        <w:rPr>
          <w:lang w:val="bg-BG"/>
        </w:rPr>
        <w:t xml:space="preserve">, че </w:t>
      </w:r>
      <w:r w:rsidR="004441EE" w:rsidRPr="006A5AC8">
        <w:rPr>
          <w:lang w:val="bg-BG"/>
        </w:rPr>
        <w:t xml:space="preserve">е възможно </w:t>
      </w:r>
      <w:r w:rsidR="00C87654" w:rsidRPr="006A5AC8">
        <w:rPr>
          <w:lang w:val="bg-BG"/>
        </w:rPr>
        <w:t xml:space="preserve">тези характеристики на военните съдилища </w:t>
      </w:r>
      <w:r w:rsidR="004441EE" w:rsidRPr="006A5AC8">
        <w:rPr>
          <w:lang w:val="bg-BG"/>
        </w:rPr>
        <w:t>да</w:t>
      </w:r>
      <w:r w:rsidR="00C87654" w:rsidRPr="006A5AC8">
        <w:rPr>
          <w:lang w:val="bg-BG"/>
        </w:rPr>
        <w:t xml:space="preserve"> </w:t>
      </w:r>
      <w:r w:rsidR="004441EE" w:rsidRPr="006A5AC8">
        <w:rPr>
          <w:lang w:val="bg-BG"/>
        </w:rPr>
        <w:t>породят</w:t>
      </w:r>
      <w:r w:rsidR="00C87654" w:rsidRPr="006A5AC8">
        <w:rPr>
          <w:lang w:val="bg-BG"/>
        </w:rPr>
        <w:t xml:space="preserve"> известни съмнения относно тяхната неза</w:t>
      </w:r>
      <w:r w:rsidR="004441EE" w:rsidRPr="006A5AC8">
        <w:rPr>
          <w:lang w:val="bg-BG"/>
        </w:rPr>
        <w:t>висимост и безпристрастност (виж</w:t>
      </w:r>
      <w:r w:rsidR="00C87654" w:rsidRPr="006A5AC8">
        <w:rPr>
          <w:lang w:val="bg-BG"/>
        </w:rPr>
        <w:t xml:space="preserve">, </w:t>
      </w:r>
      <w:proofErr w:type="spellStart"/>
      <w:r w:rsidR="00C87654" w:rsidRPr="006A5AC8">
        <w:rPr>
          <w:lang w:val="bg-BG"/>
        </w:rPr>
        <w:t>Mutatis</w:t>
      </w:r>
      <w:proofErr w:type="spellEnd"/>
      <w:r w:rsidR="00C87654" w:rsidRPr="006A5AC8">
        <w:rPr>
          <w:lang w:val="bg-BG"/>
        </w:rPr>
        <w:t xml:space="preserve"> </w:t>
      </w:r>
      <w:proofErr w:type="spellStart"/>
      <w:r w:rsidR="004441EE" w:rsidRPr="006A5AC8">
        <w:rPr>
          <w:i/>
          <w:lang w:val="bg-BG"/>
        </w:rPr>
        <w:t>mutatis</w:t>
      </w:r>
      <w:proofErr w:type="spellEnd"/>
      <w:r w:rsidR="004441EE" w:rsidRPr="006A5AC8">
        <w:rPr>
          <w:i/>
          <w:lang w:val="bg-BG"/>
        </w:rPr>
        <w:t xml:space="preserve"> </w:t>
      </w:r>
      <w:proofErr w:type="spellStart"/>
      <w:r w:rsidR="004441EE" w:rsidRPr="006A5AC8">
        <w:rPr>
          <w:i/>
          <w:lang w:val="bg-BG"/>
        </w:rPr>
        <w:t>mutandis</w:t>
      </w:r>
      <w:proofErr w:type="spellEnd"/>
      <w:r w:rsidR="004441EE" w:rsidRPr="006A5AC8">
        <w:rPr>
          <w:lang w:val="bg-BG"/>
        </w:rPr>
        <w:t xml:space="preserve">, </w:t>
      </w:r>
      <w:proofErr w:type="spellStart"/>
      <w:r w:rsidR="004441EE" w:rsidRPr="006A5AC8">
        <w:rPr>
          <w:i/>
          <w:lang w:val="bg-BG"/>
        </w:rPr>
        <w:t>Tanışma</w:t>
      </w:r>
      <w:proofErr w:type="spellEnd"/>
      <w:r w:rsidR="004441EE" w:rsidRPr="006A5AC8">
        <w:rPr>
          <w:i/>
          <w:lang w:val="bg-BG"/>
        </w:rPr>
        <w:t xml:space="preserve"> </w:t>
      </w:r>
      <w:r w:rsidR="00C87654" w:rsidRPr="006A5AC8">
        <w:rPr>
          <w:i/>
          <w:lang w:val="bg-BG"/>
        </w:rPr>
        <w:t>срещу Турция</w:t>
      </w:r>
      <w:r w:rsidR="00C87654" w:rsidRPr="006A5AC8">
        <w:rPr>
          <w:lang w:val="bg-BG"/>
        </w:rPr>
        <w:t>, № 32</w:t>
      </w:r>
      <w:r w:rsidR="004441EE" w:rsidRPr="006A5AC8">
        <w:rPr>
          <w:lang w:val="bg-BG"/>
        </w:rPr>
        <w:t>219/05, § 83, 17 ноември 2015 г</w:t>
      </w:r>
      <w:r w:rsidR="00C87654" w:rsidRPr="006A5AC8">
        <w:rPr>
          <w:lang w:val="bg-BG"/>
        </w:rPr>
        <w:t xml:space="preserve">.; </w:t>
      </w:r>
      <w:r w:rsidR="004441EE" w:rsidRPr="006A5AC8">
        <w:rPr>
          <w:lang w:val="bg-BG"/>
        </w:rPr>
        <w:t xml:space="preserve">горецитираното </w:t>
      </w:r>
      <w:proofErr w:type="spellStart"/>
      <w:r w:rsidR="00C87654" w:rsidRPr="006A5AC8">
        <w:rPr>
          <w:i/>
          <w:lang w:val="bg-BG"/>
        </w:rPr>
        <w:t>Maszni</w:t>
      </w:r>
      <w:proofErr w:type="spellEnd"/>
      <w:r w:rsidR="00C87654" w:rsidRPr="006A5AC8">
        <w:rPr>
          <w:lang w:val="bg-BG"/>
        </w:rPr>
        <w:t xml:space="preserve">, § 56, и </w:t>
      </w:r>
      <w:proofErr w:type="spellStart"/>
      <w:r w:rsidR="00C87654" w:rsidRPr="006A5AC8">
        <w:rPr>
          <w:i/>
          <w:lang w:val="bg-BG"/>
        </w:rPr>
        <w:t>Miroshnik</w:t>
      </w:r>
      <w:proofErr w:type="spellEnd"/>
      <w:r w:rsidR="00C87654" w:rsidRPr="006A5AC8">
        <w:rPr>
          <w:i/>
          <w:lang w:val="bg-BG"/>
        </w:rPr>
        <w:t xml:space="preserve"> срещу Украйна</w:t>
      </w:r>
      <w:r w:rsidR="00C87654" w:rsidRPr="006A5AC8">
        <w:rPr>
          <w:lang w:val="bg-BG"/>
        </w:rPr>
        <w:t>, № 75804/01, § 64, 27 ноември 2008 г.).</w:t>
      </w:r>
    </w:p>
    <w:p w14:paraId="054A494A" w14:textId="77777777" w:rsidR="005F5440"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44</w:t>
      </w:r>
      <w:r w:rsidRPr="006A5AC8">
        <w:rPr>
          <w:lang w:val="bg-BG"/>
        </w:rPr>
        <w:fldChar w:fldCharType="end"/>
      </w:r>
      <w:r w:rsidRPr="006A5AC8">
        <w:rPr>
          <w:lang w:val="bg-BG"/>
        </w:rPr>
        <w:t>.  </w:t>
      </w:r>
      <w:r w:rsidR="005F5440" w:rsidRPr="006A5AC8">
        <w:rPr>
          <w:lang w:val="bg-BG"/>
        </w:rPr>
        <w:t>Трябва да се отбележи в тази връзка, че за да обоснове компетентността на военните съдилища спрямо жалбоподателя, Правителството твърди, че тя е необходима, за да могат тези съдилища да направят анализ на съвкупността от факти. Съдът отбеляза, че Правителството разчита главно на връзката на престъпленията, в които са обвинени жалбоподателят и другите обвиняеми, престъпления, свързани с деяния, извършени в рамките на престъпна група, както и организирането и ръководенето на такава група, и на съучастието на въвлечените лица.</w:t>
      </w:r>
      <w:r w:rsidR="00624112" w:rsidRPr="006A5AC8">
        <w:rPr>
          <w:lang w:val="bg-BG"/>
        </w:rPr>
        <w:t xml:space="preserve"> Той обаче отбелязва, че според българското законодателство делата, свързани с престъпни групи, по правило попадат в компетентността на Специализирания наказателен съд. В действителност по настоящото дело единствената причина, поради която делото е разгледано </w:t>
      </w:r>
      <w:r w:rsidR="00282E9B" w:rsidRPr="006A5AC8">
        <w:rPr>
          <w:lang w:val="bg-BG"/>
        </w:rPr>
        <w:t>пред</w:t>
      </w:r>
      <w:r w:rsidR="00624112" w:rsidRPr="006A5AC8">
        <w:rPr>
          <w:lang w:val="bg-BG"/>
        </w:rPr>
        <w:t xml:space="preserve"> военните съдилища, е, че един от обвиняемите е </w:t>
      </w:r>
      <w:r w:rsidR="00282E9B" w:rsidRPr="006A5AC8">
        <w:rPr>
          <w:lang w:val="bg-BG"/>
        </w:rPr>
        <w:t>бил част от състава на</w:t>
      </w:r>
      <w:r w:rsidR="00624112" w:rsidRPr="006A5AC8">
        <w:rPr>
          <w:lang w:val="bg-BG"/>
        </w:rPr>
        <w:t xml:space="preserve"> въоръжените сили, </w:t>
      </w:r>
      <w:r w:rsidR="006F2271">
        <w:rPr>
          <w:lang w:val="bg-BG"/>
        </w:rPr>
        <w:t xml:space="preserve">като </w:t>
      </w:r>
      <w:r w:rsidR="00624112" w:rsidRPr="006A5AC8">
        <w:rPr>
          <w:lang w:val="bg-BG"/>
        </w:rPr>
        <w:t xml:space="preserve">член 411а, </w:t>
      </w:r>
      <w:r w:rsidR="00282E9B" w:rsidRPr="006A5AC8">
        <w:rPr>
          <w:lang w:val="bg-BG"/>
        </w:rPr>
        <w:t>алинея</w:t>
      </w:r>
      <w:r w:rsidR="006F2271">
        <w:rPr>
          <w:lang w:val="bg-BG"/>
        </w:rPr>
        <w:t xml:space="preserve"> 2 от НПК предвижда</w:t>
      </w:r>
      <w:r w:rsidR="00282E9B" w:rsidRPr="006A5AC8">
        <w:rPr>
          <w:lang w:val="bg-BG"/>
        </w:rPr>
        <w:t>, че компетентността на в</w:t>
      </w:r>
      <w:r w:rsidR="00624112" w:rsidRPr="006A5AC8">
        <w:rPr>
          <w:lang w:val="bg-BG"/>
        </w:rPr>
        <w:t xml:space="preserve">оенните съдилища надделява над </w:t>
      </w:r>
      <w:r w:rsidR="00282E9B" w:rsidRPr="006A5AC8">
        <w:rPr>
          <w:lang w:val="bg-BG"/>
        </w:rPr>
        <w:t xml:space="preserve">компетентността </w:t>
      </w:r>
      <w:r w:rsidR="00624112" w:rsidRPr="006A5AC8">
        <w:rPr>
          <w:lang w:val="bg-BG"/>
        </w:rPr>
        <w:t>на Специализирания наказателен съд (виж параграфи 6 и 14 по-горе).</w:t>
      </w:r>
    </w:p>
    <w:p w14:paraId="0DEA5C79" w14:textId="6FB5F758" w:rsidR="002D4401"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45</w:t>
      </w:r>
      <w:r w:rsidRPr="006A5AC8">
        <w:rPr>
          <w:lang w:val="bg-BG"/>
        </w:rPr>
        <w:fldChar w:fldCharType="end"/>
      </w:r>
      <w:r w:rsidRPr="006A5AC8">
        <w:rPr>
          <w:lang w:val="bg-BG"/>
        </w:rPr>
        <w:t>.  </w:t>
      </w:r>
      <w:r w:rsidR="002D4401" w:rsidRPr="006A5AC8">
        <w:rPr>
          <w:lang w:val="bg-BG"/>
        </w:rPr>
        <w:t xml:space="preserve">С оглед на това, Съдът припомня установения в съдебната му практика принцип, че правомощията на военното наказателно правосъдие следва да се разпростира върху цивилни лица единствено при наличие на наложителни причини, обосноваващи подобна ситуация (горецитираното </w:t>
      </w:r>
      <w:proofErr w:type="spellStart"/>
      <w:r w:rsidR="002D4401" w:rsidRPr="006A5AC8">
        <w:rPr>
          <w:i/>
          <w:lang w:val="bg-BG"/>
        </w:rPr>
        <w:t>Ergin</w:t>
      </w:r>
      <w:proofErr w:type="spellEnd"/>
      <w:r w:rsidR="002D4401" w:rsidRPr="006A5AC8">
        <w:rPr>
          <w:lang w:val="bg-BG"/>
        </w:rPr>
        <w:t xml:space="preserve">, § 47, и горецитираното </w:t>
      </w:r>
      <w:proofErr w:type="spellStart"/>
      <w:r w:rsidR="002D4401" w:rsidRPr="006A5AC8">
        <w:rPr>
          <w:i/>
          <w:lang w:val="bg-BG"/>
        </w:rPr>
        <w:t>Maszni</w:t>
      </w:r>
      <w:proofErr w:type="spellEnd"/>
      <w:r w:rsidR="002D4401" w:rsidRPr="006A5AC8">
        <w:rPr>
          <w:i/>
          <w:lang w:val="bg-BG"/>
        </w:rPr>
        <w:t>,</w:t>
      </w:r>
      <w:r w:rsidR="002D4401" w:rsidRPr="006A5AC8">
        <w:rPr>
          <w:lang w:val="bg-BG"/>
        </w:rPr>
        <w:t xml:space="preserve"> § 51). Този принцип е в съответствие и с международната тенденция за изключване </w:t>
      </w:r>
      <w:r w:rsidR="009B4307" w:rsidRPr="006A5AC8">
        <w:rPr>
          <w:lang w:val="bg-BG"/>
        </w:rPr>
        <w:t xml:space="preserve">от юрисдикцията на военните съдилища </w:t>
      </w:r>
      <w:r w:rsidR="002D4401" w:rsidRPr="006A5AC8">
        <w:rPr>
          <w:lang w:val="bg-BG"/>
        </w:rPr>
        <w:t xml:space="preserve">на наказателната сфера, когато става въпрос за съдебен процес срещу цивилни лица (виж параграфи 17-20 по-горе). Тъй като наличието на такива „наложителни причини“ трябва да бъде доказано във всеки отделен случай, абстрактното възлагане от страна на националното законодателство на определени категории престъпления на военните съдилища не може да бъде достатъчно. В настоящия случай разпоредбите на </w:t>
      </w:r>
      <w:r w:rsidR="005C5F8C">
        <w:rPr>
          <w:lang w:val="bg-BG"/>
        </w:rPr>
        <w:t xml:space="preserve">българския </w:t>
      </w:r>
      <w:r w:rsidR="002D4401" w:rsidRPr="006A5AC8">
        <w:rPr>
          <w:lang w:val="bg-BG"/>
        </w:rPr>
        <w:t xml:space="preserve">НПК </w:t>
      </w:r>
      <w:proofErr w:type="spellStart"/>
      <w:r w:rsidR="002D4401" w:rsidRPr="006A5AC8">
        <w:rPr>
          <w:i/>
          <w:lang w:val="bg-BG"/>
        </w:rPr>
        <w:t>de</w:t>
      </w:r>
      <w:proofErr w:type="spellEnd"/>
      <w:r w:rsidR="002D4401" w:rsidRPr="006A5AC8">
        <w:rPr>
          <w:i/>
          <w:lang w:val="bg-BG"/>
        </w:rPr>
        <w:t xml:space="preserve"> </w:t>
      </w:r>
      <w:proofErr w:type="spellStart"/>
      <w:r w:rsidR="002D4401" w:rsidRPr="006A5AC8">
        <w:rPr>
          <w:i/>
          <w:lang w:val="bg-BG"/>
        </w:rPr>
        <w:t>facto</w:t>
      </w:r>
      <w:proofErr w:type="spellEnd"/>
      <w:r w:rsidR="002D4401" w:rsidRPr="006A5AC8">
        <w:rPr>
          <w:lang w:val="bg-BG"/>
        </w:rPr>
        <w:t xml:space="preserve"> предвиждат изключителна компетентност на военните съдилища за разглеждане на престъпления, извършени съвместно от военнослужещи и цивилни лица, дори извън военни</w:t>
      </w:r>
      <w:r w:rsidR="00E07785" w:rsidRPr="006A5AC8">
        <w:rPr>
          <w:lang w:val="bg-BG"/>
        </w:rPr>
        <w:t>те дейности</w:t>
      </w:r>
      <w:r w:rsidR="002D4401" w:rsidRPr="006A5AC8">
        <w:rPr>
          <w:lang w:val="bg-BG"/>
        </w:rPr>
        <w:t>.</w:t>
      </w:r>
    </w:p>
    <w:bookmarkStart w:id="11" w:name="Para46"/>
    <w:p w14:paraId="72EA5775" w14:textId="2A222910" w:rsidR="00E42CD3" w:rsidRPr="006A5AC8" w:rsidRDefault="005C5787" w:rsidP="00EE31D5">
      <w:pPr>
        <w:pStyle w:val="JuPara"/>
        <w:rPr>
          <w:lang w:val="bg-BG"/>
        </w:rPr>
      </w:pPr>
      <w:r w:rsidRPr="006A5AC8">
        <w:rPr>
          <w:lang w:val="bg-BG"/>
        </w:rPr>
        <w:lastRenderedPageBreak/>
        <w:fldChar w:fldCharType="begin"/>
      </w:r>
      <w:r w:rsidRPr="006A5AC8">
        <w:rPr>
          <w:lang w:val="bg-BG"/>
        </w:rPr>
        <w:instrText xml:space="preserve"> SEQ level0 \*arabic </w:instrText>
      </w:r>
      <w:r w:rsidRPr="006A5AC8">
        <w:rPr>
          <w:lang w:val="bg-BG"/>
        </w:rPr>
        <w:fldChar w:fldCharType="separate"/>
      </w:r>
      <w:r w:rsidR="00CF0300">
        <w:rPr>
          <w:noProof/>
          <w:lang w:val="bg-BG"/>
        </w:rPr>
        <w:t>46</w:t>
      </w:r>
      <w:r w:rsidRPr="006A5AC8">
        <w:rPr>
          <w:lang w:val="bg-BG"/>
        </w:rPr>
        <w:fldChar w:fldCharType="end"/>
      </w:r>
      <w:bookmarkEnd w:id="11"/>
      <w:r w:rsidRPr="006A5AC8">
        <w:rPr>
          <w:lang w:val="bg-BG"/>
        </w:rPr>
        <w:t>.  </w:t>
      </w:r>
      <w:r w:rsidR="00E42CD3" w:rsidRPr="006A5AC8">
        <w:rPr>
          <w:lang w:val="bg-BG"/>
        </w:rPr>
        <w:t xml:space="preserve">Съдът подчертава особеното значение на начина, по който престъплението, в което е обвинен жалбоподателят, е поверено на военните съдилища. В тази връзка той отбелязва, че делото е </w:t>
      </w:r>
      <w:r w:rsidR="00A66483">
        <w:rPr>
          <w:lang w:val="bg-BG"/>
        </w:rPr>
        <w:t>било подсъдно</w:t>
      </w:r>
      <w:r w:rsidR="00A66483" w:rsidRPr="006A5AC8">
        <w:rPr>
          <w:lang w:val="bg-BG"/>
        </w:rPr>
        <w:t xml:space="preserve"> </w:t>
      </w:r>
      <w:r w:rsidR="00E42CD3" w:rsidRPr="006A5AC8">
        <w:rPr>
          <w:lang w:val="bg-BG"/>
        </w:rPr>
        <w:t xml:space="preserve">на военните съдилища и е разгледано от </w:t>
      </w:r>
      <w:r w:rsidR="00137A15" w:rsidRPr="006A5AC8">
        <w:rPr>
          <w:lang w:val="bg-BG"/>
        </w:rPr>
        <w:t>същите</w:t>
      </w:r>
      <w:r w:rsidR="00E42CD3" w:rsidRPr="006A5AC8">
        <w:rPr>
          <w:lang w:val="bg-BG"/>
        </w:rPr>
        <w:t xml:space="preserve"> въз основа на правните разпоредби относно юрисдикцията на военните съдилища при липса на оценка на отделните обстоятелства</w:t>
      </w:r>
      <w:r w:rsidR="00BA65D7">
        <w:rPr>
          <w:lang w:val="bg-BG"/>
        </w:rPr>
        <w:t>,</w:t>
      </w:r>
      <w:r w:rsidR="00E42CD3" w:rsidRPr="006A5AC8">
        <w:rPr>
          <w:lang w:val="bg-BG"/>
        </w:rPr>
        <w:t xml:space="preserve"> освен факта, че един от обвиняемите е бил военнослужещ </w:t>
      </w:r>
      <w:r w:rsidR="00BA65D7">
        <w:rPr>
          <w:lang w:val="bg-BG"/>
        </w:rPr>
        <w:t>към</w:t>
      </w:r>
      <w:r w:rsidR="00E42CD3" w:rsidRPr="006A5AC8">
        <w:rPr>
          <w:lang w:val="bg-BG"/>
        </w:rPr>
        <w:t xml:space="preserve"> момента на извършване на деянията</w:t>
      </w:r>
      <w:r w:rsidR="00BA65D7">
        <w:rPr>
          <w:lang w:val="bg-BG"/>
        </w:rPr>
        <w:t>,</w:t>
      </w:r>
      <w:r w:rsidR="00E42CD3" w:rsidRPr="006A5AC8">
        <w:rPr>
          <w:lang w:val="bg-BG"/>
        </w:rPr>
        <w:t xml:space="preserve"> и следователно без разглеждане </w:t>
      </w:r>
      <w:proofErr w:type="spellStart"/>
      <w:r w:rsidR="00E42CD3" w:rsidRPr="006A5AC8">
        <w:rPr>
          <w:i/>
          <w:iCs/>
          <w:lang w:val="bg-BG"/>
        </w:rPr>
        <w:t>in</w:t>
      </w:r>
      <w:proofErr w:type="spellEnd"/>
      <w:r w:rsidR="00E42CD3" w:rsidRPr="006A5AC8">
        <w:rPr>
          <w:i/>
          <w:iCs/>
          <w:lang w:val="bg-BG"/>
        </w:rPr>
        <w:t xml:space="preserve"> </w:t>
      </w:r>
      <w:proofErr w:type="spellStart"/>
      <w:r w:rsidR="00E42CD3" w:rsidRPr="006A5AC8">
        <w:rPr>
          <w:i/>
          <w:iCs/>
          <w:lang w:val="bg-BG"/>
        </w:rPr>
        <w:t>concreto</w:t>
      </w:r>
      <w:proofErr w:type="spellEnd"/>
      <w:r w:rsidR="00E42CD3" w:rsidRPr="006A5AC8">
        <w:rPr>
          <w:lang w:val="bg-BG"/>
        </w:rPr>
        <w:t xml:space="preserve"> (виж параграф 36 по-горе).</w:t>
      </w:r>
      <w:r w:rsidR="00137A15" w:rsidRPr="006A5AC8">
        <w:rPr>
          <w:lang w:val="bg-BG"/>
        </w:rPr>
        <w:t xml:space="preserve"> Ако е било разумно </w:t>
      </w:r>
      <w:r w:rsidR="00DF71F3">
        <w:rPr>
          <w:lang w:val="bg-BG"/>
        </w:rPr>
        <w:t>националните</w:t>
      </w:r>
      <w:r w:rsidR="00DF71F3" w:rsidRPr="006A5AC8">
        <w:rPr>
          <w:lang w:val="bg-BG"/>
        </w:rPr>
        <w:t xml:space="preserve"> </w:t>
      </w:r>
      <w:r w:rsidR="00137A15" w:rsidRPr="006A5AC8">
        <w:rPr>
          <w:lang w:val="bg-BG"/>
        </w:rPr>
        <w:t>власти да вземат предвид сложността на престъпленията по обвинението, Съдът счита, че в настоящия случай трябва да се вземат предвид и други фактори. Така той отбелязва, че делото на жалбоподателя се отнася до престъпна група, от която само един от предполагаемите членове е имал статут на военнослужещ по време на извършването на деянията</w:t>
      </w:r>
      <w:r w:rsidR="00F3796E" w:rsidRPr="006A5AC8">
        <w:rPr>
          <w:lang w:val="bg-BG"/>
        </w:rPr>
        <w:t>,</w:t>
      </w:r>
      <w:r w:rsidR="00137A15" w:rsidRPr="006A5AC8">
        <w:rPr>
          <w:lang w:val="bg-BG"/>
        </w:rPr>
        <w:t xml:space="preserve"> и няма престъпление срещу въоръжените сили или </w:t>
      </w:r>
      <w:r w:rsidR="00F3796E" w:rsidRPr="006A5AC8">
        <w:rPr>
          <w:lang w:val="bg-BG"/>
        </w:rPr>
        <w:t xml:space="preserve">наличие на </w:t>
      </w:r>
      <w:r w:rsidR="00137A15" w:rsidRPr="006A5AC8">
        <w:rPr>
          <w:lang w:val="bg-BG"/>
        </w:rPr>
        <w:t xml:space="preserve">каквото и да е нарушение </w:t>
      </w:r>
      <w:r w:rsidR="00F3796E" w:rsidRPr="006A5AC8">
        <w:rPr>
          <w:lang w:val="bg-BG"/>
        </w:rPr>
        <w:t>срещу собствеността на армията.</w:t>
      </w:r>
    </w:p>
    <w:p w14:paraId="232A2AFA" w14:textId="131D8555" w:rsidR="00466E16"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47</w:t>
      </w:r>
      <w:r w:rsidRPr="006A5AC8">
        <w:rPr>
          <w:lang w:val="bg-BG"/>
        </w:rPr>
        <w:fldChar w:fldCharType="end"/>
      </w:r>
      <w:r w:rsidRPr="006A5AC8">
        <w:rPr>
          <w:lang w:val="bg-BG"/>
        </w:rPr>
        <w:t>.  </w:t>
      </w:r>
      <w:r w:rsidR="00466E16" w:rsidRPr="006A5AC8">
        <w:rPr>
          <w:lang w:val="bg-BG"/>
        </w:rPr>
        <w:t xml:space="preserve">Съдът приема, че съображенията по отношение на свързаността на престъпленията и на сложността са в полза на съдебен процес срещу всички обвиняеми пред един и същ съд. Необходимостта от разглеждане на делото от военен съд обаче не може да се счита за абсолютна. В действителност в някои случаи може да се предвиди съдебен процес срещу всички обвиняеми от граждански съд. Следователно Съдът не може да приеме представения от Правителството аргумент, че тези съображения сами по себе си са достатъчни, за да съставляват „наложителни причини“ по настоящото дело, обосноваващи съдебен процес срещу цивилно лице пред военен </w:t>
      </w:r>
      <w:r w:rsidR="00FB726F">
        <w:rPr>
          <w:lang w:val="bg-BG"/>
        </w:rPr>
        <w:t xml:space="preserve"> </w:t>
      </w:r>
      <w:r w:rsidR="00466E16" w:rsidRPr="006A5AC8">
        <w:rPr>
          <w:lang w:val="bg-BG"/>
        </w:rPr>
        <w:t xml:space="preserve">съд (виж, </w:t>
      </w:r>
      <w:proofErr w:type="spellStart"/>
      <w:r w:rsidR="00466E16" w:rsidRPr="006A5AC8">
        <w:rPr>
          <w:i/>
          <w:lang w:val="bg-BG"/>
        </w:rPr>
        <w:t>mutatis</w:t>
      </w:r>
      <w:proofErr w:type="spellEnd"/>
      <w:r w:rsidR="00466E16" w:rsidRPr="006A5AC8">
        <w:rPr>
          <w:i/>
          <w:lang w:val="bg-BG"/>
        </w:rPr>
        <w:t xml:space="preserve"> </w:t>
      </w:r>
      <w:proofErr w:type="spellStart"/>
      <w:r w:rsidR="00466E16" w:rsidRPr="006A5AC8">
        <w:rPr>
          <w:i/>
          <w:lang w:val="bg-BG"/>
        </w:rPr>
        <w:t>mutandis</w:t>
      </w:r>
      <w:proofErr w:type="spellEnd"/>
      <w:r w:rsidR="00466E16" w:rsidRPr="006A5AC8">
        <w:rPr>
          <w:i/>
          <w:lang w:val="bg-BG"/>
        </w:rPr>
        <w:t xml:space="preserve">, </w:t>
      </w:r>
      <w:r w:rsidR="00466E16" w:rsidRPr="006A5AC8">
        <w:rPr>
          <w:lang w:val="bg-BG"/>
        </w:rPr>
        <w:t>горецитираното</w:t>
      </w:r>
      <w:r w:rsidR="00466E16" w:rsidRPr="006A5AC8">
        <w:rPr>
          <w:i/>
          <w:lang w:val="bg-BG"/>
        </w:rPr>
        <w:t xml:space="preserve"> </w:t>
      </w:r>
      <w:proofErr w:type="spellStart"/>
      <w:r w:rsidR="00466E16" w:rsidRPr="006A5AC8">
        <w:rPr>
          <w:i/>
          <w:lang w:val="bg-BG"/>
        </w:rPr>
        <w:t>Ahmet</w:t>
      </w:r>
      <w:proofErr w:type="spellEnd"/>
      <w:r w:rsidR="00466E16" w:rsidRPr="006A5AC8">
        <w:rPr>
          <w:i/>
          <w:lang w:val="bg-BG"/>
        </w:rPr>
        <w:t xml:space="preserve"> </w:t>
      </w:r>
      <w:proofErr w:type="spellStart"/>
      <w:r w:rsidR="00466E16" w:rsidRPr="006A5AC8">
        <w:rPr>
          <w:i/>
          <w:lang w:val="bg-BG"/>
        </w:rPr>
        <w:t>Doğan</w:t>
      </w:r>
      <w:proofErr w:type="spellEnd"/>
      <w:r w:rsidR="00466E16" w:rsidRPr="006A5AC8">
        <w:rPr>
          <w:lang w:val="bg-BG"/>
        </w:rPr>
        <w:t>, § 30)</w:t>
      </w:r>
    </w:p>
    <w:p w14:paraId="23BF7BE2" w14:textId="4200559C" w:rsidR="003B610E"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48</w:t>
      </w:r>
      <w:r w:rsidRPr="006A5AC8">
        <w:rPr>
          <w:lang w:val="bg-BG"/>
        </w:rPr>
        <w:fldChar w:fldCharType="end"/>
      </w:r>
      <w:r w:rsidRPr="006A5AC8">
        <w:rPr>
          <w:lang w:val="bg-BG"/>
        </w:rPr>
        <w:t>.  </w:t>
      </w:r>
      <w:r w:rsidR="003B610E" w:rsidRPr="006A5AC8">
        <w:rPr>
          <w:lang w:val="bg-BG"/>
        </w:rPr>
        <w:t xml:space="preserve">Вярно е, че въпреки изричната разпоредба на член 396, </w:t>
      </w:r>
      <w:r w:rsidR="00E82B5E">
        <w:rPr>
          <w:lang w:val="bg-BG"/>
        </w:rPr>
        <w:t>ал.</w:t>
      </w:r>
      <w:r w:rsidR="003B610E" w:rsidRPr="006A5AC8">
        <w:rPr>
          <w:lang w:val="bg-BG"/>
        </w:rPr>
        <w:t xml:space="preserve"> 2 от НПК, предвиждаща изключителна компетентност на военните съдилища за всички престъпления, извършени от цивилно лице и военнослужещ, Върховният касационен съд разглежда аргумента на жалбоподателя относно липсата на независимост и безпристрастност на тези съдилища (виж параграфи 12 и 14 по-горе). Съдът обаче отбеляза, че висшият съд не е извършил анализ, който </w:t>
      </w:r>
      <w:r w:rsidR="00BA65D7">
        <w:rPr>
          <w:lang w:val="bg-BG"/>
        </w:rPr>
        <w:t>да</w:t>
      </w:r>
      <w:r w:rsidR="003B610E" w:rsidRPr="006A5AC8">
        <w:rPr>
          <w:lang w:val="bg-BG"/>
        </w:rPr>
        <w:t xml:space="preserve"> му позволи да </w:t>
      </w:r>
      <w:r w:rsidR="00DA513F" w:rsidRPr="006A5AC8">
        <w:rPr>
          <w:lang w:val="bg-BG"/>
        </w:rPr>
        <w:t>установи</w:t>
      </w:r>
      <w:r w:rsidR="003B610E" w:rsidRPr="006A5AC8">
        <w:rPr>
          <w:lang w:val="bg-BG"/>
        </w:rPr>
        <w:t xml:space="preserve"> недостатъци</w:t>
      </w:r>
      <w:r w:rsidR="00DA513F" w:rsidRPr="006A5AC8">
        <w:rPr>
          <w:lang w:val="bg-BG"/>
        </w:rPr>
        <w:t>те, изтъкнати в настоящото дело</w:t>
      </w:r>
      <w:r w:rsidR="003B610E" w:rsidRPr="006A5AC8">
        <w:rPr>
          <w:lang w:val="bg-BG"/>
        </w:rPr>
        <w:t xml:space="preserve"> (виж параграф 46 по-горе). Като касационен съд Върховният касационен съд не разполага с пълна</w:t>
      </w:r>
      <w:r w:rsidR="00DA513F" w:rsidRPr="006A5AC8">
        <w:rPr>
          <w:lang w:val="bg-BG"/>
        </w:rPr>
        <w:t>та компетентност да преразгледа делото. Предвид и</w:t>
      </w:r>
      <w:r w:rsidR="003B610E" w:rsidRPr="006A5AC8">
        <w:rPr>
          <w:lang w:val="bg-BG"/>
        </w:rPr>
        <w:t xml:space="preserve">зключителната </w:t>
      </w:r>
      <w:r w:rsidR="00DA513F" w:rsidRPr="006A5AC8">
        <w:rPr>
          <w:lang w:val="bg-BG"/>
        </w:rPr>
        <w:t>компетентност</w:t>
      </w:r>
      <w:r w:rsidR="003B610E" w:rsidRPr="006A5AC8">
        <w:rPr>
          <w:lang w:val="bg-BG"/>
        </w:rPr>
        <w:t xml:space="preserve"> на военните съдилища, произтичаща пряко от </w:t>
      </w:r>
      <w:r w:rsidR="00DA513F" w:rsidRPr="006A5AC8">
        <w:rPr>
          <w:lang w:val="bg-BG"/>
        </w:rPr>
        <w:t>законовите разпоредби</w:t>
      </w:r>
      <w:r w:rsidR="003B610E" w:rsidRPr="006A5AC8">
        <w:rPr>
          <w:lang w:val="bg-BG"/>
        </w:rPr>
        <w:t xml:space="preserve">, </w:t>
      </w:r>
      <w:r w:rsidR="00FB726F">
        <w:rPr>
          <w:lang w:val="bg-BG"/>
        </w:rPr>
        <w:t>оплакването</w:t>
      </w:r>
      <w:r w:rsidR="00FB726F" w:rsidRPr="006A5AC8">
        <w:rPr>
          <w:lang w:val="bg-BG"/>
        </w:rPr>
        <w:t xml:space="preserve"> </w:t>
      </w:r>
      <w:r w:rsidR="003B610E" w:rsidRPr="006A5AC8">
        <w:rPr>
          <w:lang w:val="bg-BG"/>
        </w:rPr>
        <w:t xml:space="preserve">на жалбоподателя пред висшия съд не може да промени </w:t>
      </w:r>
      <w:r w:rsidR="00DA513F" w:rsidRPr="006A5AC8">
        <w:rPr>
          <w:lang w:val="bg-BG"/>
        </w:rPr>
        <w:t xml:space="preserve">нищо по </w:t>
      </w:r>
      <w:r w:rsidR="003B610E" w:rsidRPr="006A5AC8">
        <w:rPr>
          <w:lang w:val="bg-BG"/>
        </w:rPr>
        <w:t>процедурата (</w:t>
      </w:r>
      <w:r w:rsidR="00DA513F" w:rsidRPr="006A5AC8">
        <w:rPr>
          <w:lang w:val="bg-BG"/>
        </w:rPr>
        <w:t xml:space="preserve">горецитираното </w:t>
      </w:r>
      <w:proofErr w:type="spellStart"/>
      <w:r w:rsidR="00DA513F" w:rsidRPr="006A5AC8">
        <w:rPr>
          <w:i/>
          <w:lang w:val="bg-BG"/>
        </w:rPr>
        <w:t>Рор</w:t>
      </w:r>
      <w:proofErr w:type="spellEnd"/>
      <w:r w:rsidR="00DA513F" w:rsidRPr="006A5AC8">
        <w:rPr>
          <w:i/>
          <w:lang w:val="bg-BG"/>
        </w:rPr>
        <w:t xml:space="preserve"> и други</w:t>
      </w:r>
      <w:r w:rsidR="003B610E" w:rsidRPr="006A5AC8">
        <w:rPr>
          <w:lang w:val="bg-BG"/>
        </w:rPr>
        <w:t xml:space="preserve">, § 56, и </w:t>
      </w:r>
      <w:r w:rsidR="00DA513F" w:rsidRPr="006A5AC8">
        <w:rPr>
          <w:lang w:val="bg-BG"/>
        </w:rPr>
        <w:t>горецитираното</w:t>
      </w:r>
      <w:r w:rsidR="00DA513F" w:rsidRPr="006A5AC8">
        <w:rPr>
          <w:i/>
          <w:lang w:val="bg-BG"/>
        </w:rPr>
        <w:t xml:space="preserve"> </w:t>
      </w:r>
      <w:proofErr w:type="spellStart"/>
      <w:r w:rsidR="003B610E" w:rsidRPr="006A5AC8">
        <w:rPr>
          <w:i/>
          <w:lang w:val="bg-BG"/>
        </w:rPr>
        <w:t>Maszni</w:t>
      </w:r>
      <w:proofErr w:type="spellEnd"/>
      <w:r w:rsidR="003B610E" w:rsidRPr="006A5AC8">
        <w:rPr>
          <w:lang w:val="bg-BG"/>
        </w:rPr>
        <w:t>, § 58)</w:t>
      </w:r>
    </w:p>
    <w:p w14:paraId="04005663" w14:textId="551FB44B" w:rsidR="0061345B"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49</w:t>
      </w:r>
      <w:r w:rsidRPr="006A5AC8">
        <w:rPr>
          <w:lang w:val="bg-BG"/>
        </w:rPr>
        <w:fldChar w:fldCharType="end"/>
      </w:r>
      <w:r w:rsidRPr="006A5AC8">
        <w:rPr>
          <w:lang w:val="bg-BG"/>
        </w:rPr>
        <w:t>.  </w:t>
      </w:r>
      <w:r w:rsidR="0061345B" w:rsidRPr="006A5AC8">
        <w:rPr>
          <w:lang w:val="bg-BG"/>
        </w:rPr>
        <w:t xml:space="preserve">Предвид гореспоменатите елементи, разгледани по-специално в светлината на изложените по-горе развития на международно ниво (виж параграфи 17-20 по-горе), Съдът счита, че </w:t>
      </w:r>
      <w:r w:rsidR="0061345B" w:rsidRPr="006A5AC8">
        <w:rPr>
          <w:lang w:val="bg-BG"/>
        </w:rPr>
        <w:lastRenderedPageBreak/>
        <w:t>съмненията, повдигнати от жалбоподателя по отношение на независимостта и безпристрастността</w:t>
      </w:r>
      <w:r w:rsidR="00102F10">
        <w:rPr>
          <w:lang w:val="bg-BG"/>
        </w:rPr>
        <w:t xml:space="preserve"> на </w:t>
      </w:r>
      <w:r w:rsidR="0061345B" w:rsidRPr="006A5AC8">
        <w:rPr>
          <w:lang w:val="bg-BG"/>
        </w:rPr>
        <w:t xml:space="preserve">военните съдилища, могат да се разглеждат като обективно обосновани (виж, </w:t>
      </w:r>
      <w:proofErr w:type="spellStart"/>
      <w:r w:rsidR="0061345B" w:rsidRPr="006A5AC8">
        <w:rPr>
          <w:i/>
          <w:lang w:val="bg-BG"/>
        </w:rPr>
        <w:t>mutatis</w:t>
      </w:r>
      <w:proofErr w:type="spellEnd"/>
      <w:r w:rsidR="0061345B" w:rsidRPr="006A5AC8">
        <w:rPr>
          <w:i/>
          <w:lang w:val="bg-BG"/>
        </w:rPr>
        <w:t xml:space="preserve"> </w:t>
      </w:r>
      <w:proofErr w:type="spellStart"/>
      <w:r w:rsidR="0061345B" w:rsidRPr="006A5AC8">
        <w:rPr>
          <w:i/>
          <w:lang w:val="bg-BG"/>
        </w:rPr>
        <w:t>mutandis</w:t>
      </w:r>
      <w:proofErr w:type="spellEnd"/>
      <w:r w:rsidR="0061345B" w:rsidRPr="006A5AC8">
        <w:rPr>
          <w:lang w:val="bg-BG"/>
        </w:rPr>
        <w:t>, горецитираното</w:t>
      </w:r>
      <w:r w:rsidR="0061345B" w:rsidRPr="006A5AC8">
        <w:rPr>
          <w:i/>
          <w:lang w:val="bg-BG"/>
        </w:rPr>
        <w:t xml:space="preserve"> </w:t>
      </w:r>
      <w:proofErr w:type="spellStart"/>
      <w:r w:rsidR="0061345B" w:rsidRPr="006A5AC8">
        <w:rPr>
          <w:i/>
          <w:lang w:val="bg-BG"/>
        </w:rPr>
        <w:t>Maszni</w:t>
      </w:r>
      <w:proofErr w:type="spellEnd"/>
      <w:r w:rsidR="0061345B" w:rsidRPr="006A5AC8">
        <w:rPr>
          <w:lang w:val="bg-BG"/>
        </w:rPr>
        <w:t>, § 59, горецитираното</w:t>
      </w:r>
      <w:r w:rsidR="0061345B" w:rsidRPr="006A5AC8">
        <w:rPr>
          <w:i/>
          <w:lang w:val="bg-BG"/>
        </w:rPr>
        <w:t xml:space="preserve"> </w:t>
      </w:r>
      <w:proofErr w:type="spellStart"/>
      <w:r w:rsidR="0061345B" w:rsidRPr="006A5AC8">
        <w:rPr>
          <w:i/>
          <w:lang w:val="bg-BG"/>
        </w:rPr>
        <w:t>Ergin</w:t>
      </w:r>
      <w:proofErr w:type="spellEnd"/>
      <w:r w:rsidR="0061345B" w:rsidRPr="006A5AC8">
        <w:rPr>
          <w:lang w:val="bg-BG"/>
        </w:rPr>
        <w:t>, § 54, и горецитираното</w:t>
      </w:r>
      <w:r w:rsidR="0061345B" w:rsidRPr="006A5AC8">
        <w:rPr>
          <w:i/>
          <w:lang w:val="bg-BG"/>
        </w:rPr>
        <w:t xml:space="preserve"> </w:t>
      </w:r>
      <w:proofErr w:type="spellStart"/>
      <w:r w:rsidR="0061345B" w:rsidRPr="006A5AC8">
        <w:rPr>
          <w:i/>
          <w:lang w:val="bg-BG"/>
        </w:rPr>
        <w:t>Incal</w:t>
      </w:r>
      <w:proofErr w:type="spellEnd"/>
      <w:r w:rsidR="0061345B" w:rsidRPr="006A5AC8">
        <w:rPr>
          <w:lang w:val="bg-BG"/>
        </w:rPr>
        <w:t xml:space="preserve">, § 72 </w:t>
      </w:r>
      <w:proofErr w:type="spellStart"/>
      <w:r w:rsidR="0061345B" w:rsidRPr="006A5AC8">
        <w:rPr>
          <w:i/>
          <w:lang w:val="bg-BG"/>
        </w:rPr>
        <w:t>in</w:t>
      </w:r>
      <w:proofErr w:type="spellEnd"/>
      <w:r w:rsidR="0061345B" w:rsidRPr="006A5AC8">
        <w:rPr>
          <w:i/>
          <w:lang w:val="bg-BG"/>
        </w:rPr>
        <w:t xml:space="preserve"> </w:t>
      </w:r>
      <w:proofErr w:type="spellStart"/>
      <w:r w:rsidR="0061345B" w:rsidRPr="006A5AC8">
        <w:rPr>
          <w:i/>
          <w:lang w:val="bg-BG"/>
        </w:rPr>
        <w:t>fine</w:t>
      </w:r>
      <w:proofErr w:type="spellEnd"/>
      <w:r w:rsidR="0061345B" w:rsidRPr="006A5AC8">
        <w:rPr>
          <w:lang w:val="bg-BG"/>
        </w:rPr>
        <w:t>).</w:t>
      </w:r>
    </w:p>
    <w:p w14:paraId="1BFEB9CE" w14:textId="3C5489EC"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50</w:t>
      </w:r>
      <w:r w:rsidRPr="006A5AC8">
        <w:rPr>
          <w:lang w:val="bg-BG"/>
        </w:rPr>
        <w:fldChar w:fldCharType="end"/>
      </w:r>
      <w:r w:rsidRPr="006A5AC8">
        <w:rPr>
          <w:lang w:val="bg-BG"/>
        </w:rPr>
        <w:t>.  </w:t>
      </w:r>
      <w:r w:rsidR="0061345B" w:rsidRPr="006A5AC8">
        <w:rPr>
          <w:lang w:val="bg-BG"/>
        </w:rPr>
        <w:t>Следователно е налице нарушение на член 6</w:t>
      </w:r>
      <w:r w:rsidR="00D76DCE">
        <w:rPr>
          <w:lang w:val="bg-BG"/>
        </w:rPr>
        <w:t xml:space="preserve"> §</w:t>
      </w:r>
      <w:r w:rsidR="0061345B" w:rsidRPr="006A5AC8">
        <w:rPr>
          <w:lang w:val="bg-BG"/>
        </w:rPr>
        <w:t xml:space="preserve"> 1 от Конвенцията</w:t>
      </w:r>
      <w:r w:rsidRPr="006A5AC8">
        <w:rPr>
          <w:lang w:val="bg-BG"/>
        </w:rPr>
        <w:t>.</w:t>
      </w:r>
    </w:p>
    <w:p w14:paraId="162AE343" w14:textId="123BF310" w:rsidR="005C5787" w:rsidRPr="006A5AC8" w:rsidRDefault="00D81247" w:rsidP="00EE31D5">
      <w:pPr>
        <w:pStyle w:val="JuHIRoman"/>
        <w:rPr>
          <w:lang w:val="bg-BG"/>
        </w:rPr>
      </w:pPr>
      <w:r>
        <w:rPr>
          <w:lang w:val="bg-BG"/>
        </w:rPr>
        <w:t>ПРИЛОЖЕНИЕ</w:t>
      </w:r>
      <w:r w:rsidR="0002240D" w:rsidRPr="006A5AC8">
        <w:rPr>
          <w:lang w:val="bg-BG"/>
        </w:rPr>
        <w:t xml:space="preserve"> НА ЧЛЕН 41 ОТ КОНВЕНЦИЯТА</w:t>
      </w:r>
    </w:p>
    <w:p w14:paraId="065D4980"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51</w:t>
      </w:r>
      <w:r w:rsidRPr="006A5AC8">
        <w:rPr>
          <w:lang w:val="bg-BG"/>
        </w:rPr>
        <w:fldChar w:fldCharType="end"/>
      </w:r>
      <w:r w:rsidRPr="006A5AC8">
        <w:rPr>
          <w:lang w:val="bg-BG"/>
        </w:rPr>
        <w:t>.  </w:t>
      </w:r>
      <w:r w:rsidR="0002240D" w:rsidRPr="006A5AC8">
        <w:rPr>
          <w:lang w:val="bg-BG"/>
        </w:rPr>
        <w:t>Съгласно член 41 от Конвенцията</w:t>
      </w:r>
      <w:r w:rsidRPr="006A5AC8">
        <w:rPr>
          <w:lang w:val="bg-BG"/>
        </w:rPr>
        <w:t>,</w:t>
      </w:r>
    </w:p>
    <w:p w14:paraId="43D963E7" w14:textId="7DF9CEFC" w:rsidR="0002240D" w:rsidRPr="006A5AC8" w:rsidRDefault="0002240D" w:rsidP="00E82B5E">
      <w:pPr>
        <w:pStyle w:val="JuQuot"/>
        <w:keepNext/>
        <w:keepLines/>
        <w:ind w:firstLine="0"/>
        <w:rPr>
          <w:lang w:val="bg-BG"/>
        </w:rPr>
      </w:pPr>
      <w:r w:rsidRPr="006A5AC8">
        <w:rPr>
          <w:lang w:val="bg-BG"/>
        </w:rPr>
        <w:t>„</w:t>
      </w:r>
      <w:r w:rsidR="00D81247" w:rsidRPr="00E82B5E">
        <w:rPr>
          <w:lang w:val="bg-BG"/>
        </w:rPr>
        <w:t xml:space="preserve">Ако Съдът установи нарушение на Конвенцията или на Протоколите към нея и ако вътрешното право на съответната </w:t>
      </w:r>
      <w:r w:rsidR="00D81247" w:rsidRPr="00D81247">
        <w:t>Β</w:t>
      </w:r>
      <w:proofErr w:type="spellStart"/>
      <w:r w:rsidR="00D81247" w:rsidRPr="00E82B5E">
        <w:rPr>
          <w:lang w:val="bg-BG"/>
        </w:rPr>
        <w:t>исокодоговаряща</w:t>
      </w:r>
      <w:proofErr w:type="spellEnd"/>
      <w:r w:rsidR="00D81247" w:rsidRPr="00E82B5E">
        <w:rPr>
          <w:lang w:val="bg-BG"/>
        </w:rPr>
        <w:t xml:space="preserve"> страна допуска само частично обезщетение, Съдът, ако е необходимо, постановява предоставянето на справедливо обезщетение на потърпевшата страна.</w:t>
      </w:r>
      <w:r w:rsidRPr="006A5AC8">
        <w:rPr>
          <w:lang w:val="bg-BG"/>
        </w:rPr>
        <w:t>.“</w:t>
      </w:r>
    </w:p>
    <w:p w14:paraId="05DA7BCC" w14:textId="77777777" w:rsidR="005C5787" w:rsidRPr="006A5AC8" w:rsidRDefault="0002240D" w:rsidP="0002240D">
      <w:pPr>
        <w:pStyle w:val="JuQuot"/>
        <w:keepNext/>
        <w:keepLines/>
        <w:rPr>
          <w:lang w:val="bg-BG"/>
        </w:rPr>
      </w:pPr>
      <w:r w:rsidRPr="006A5AC8">
        <w:rPr>
          <w:lang w:val="bg-BG"/>
        </w:rPr>
        <w:t xml:space="preserve"> </w:t>
      </w:r>
    </w:p>
    <w:p w14:paraId="29CC03A6" w14:textId="77777777" w:rsidR="005C5787" w:rsidRPr="006A5AC8" w:rsidRDefault="000439A8" w:rsidP="00EE31D5">
      <w:pPr>
        <w:pStyle w:val="JuHA"/>
        <w:rPr>
          <w:lang w:val="bg-BG"/>
        </w:rPr>
      </w:pPr>
      <w:r w:rsidRPr="006A5AC8">
        <w:rPr>
          <w:lang w:val="bg-BG"/>
        </w:rPr>
        <w:t>Вреди</w:t>
      </w:r>
    </w:p>
    <w:p w14:paraId="12B4B62C" w14:textId="0AF96CC7" w:rsidR="000439A8"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52</w:t>
      </w:r>
      <w:r w:rsidRPr="006A5AC8">
        <w:rPr>
          <w:lang w:val="bg-BG"/>
        </w:rPr>
        <w:fldChar w:fldCharType="end"/>
      </w:r>
      <w:r w:rsidRPr="006A5AC8">
        <w:rPr>
          <w:lang w:val="bg-BG"/>
        </w:rPr>
        <w:t>.  </w:t>
      </w:r>
      <w:r w:rsidR="000439A8" w:rsidRPr="006A5AC8">
        <w:rPr>
          <w:lang w:val="bg-BG"/>
        </w:rPr>
        <w:t xml:space="preserve">Жалбоподателят претендира 5 000 евро (EUR) за неимуществени вреди, които счита, че е претърпял в резултат от </w:t>
      </w:r>
      <w:r w:rsidR="00396063">
        <w:rPr>
          <w:lang w:val="bg-BG"/>
        </w:rPr>
        <w:t>разглеждането на делото му</w:t>
      </w:r>
      <w:r w:rsidR="000439A8" w:rsidRPr="006A5AC8">
        <w:rPr>
          <w:lang w:val="bg-BG"/>
        </w:rPr>
        <w:t xml:space="preserve"> от военните съдилища.</w:t>
      </w:r>
    </w:p>
    <w:p w14:paraId="39BD78AC"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53</w:t>
      </w:r>
      <w:r w:rsidRPr="006A5AC8">
        <w:rPr>
          <w:lang w:val="bg-BG"/>
        </w:rPr>
        <w:fldChar w:fldCharType="end"/>
      </w:r>
      <w:r w:rsidRPr="006A5AC8">
        <w:rPr>
          <w:lang w:val="bg-BG"/>
        </w:rPr>
        <w:t>.  </w:t>
      </w:r>
      <w:r w:rsidR="000439A8" w:rsidRPr="006A5AC8">
        <w:rPr>
          <w:lang w:val="bg-BG"/>
        </w:rPr>
        <w:t>Правителството оспорва тези претенции и моли Съда да ги отхвърли. Намира ги за прекомерни и необосновани и счита, че установяването на нарушение само по себе си представлява достатъчно справедливо удовлетворение.</w:t>
      </w:r>
    </w:p>
    <w:p w14:paraId="34CB2B49" w14:textId="5B062EBD" w:rsidR="000379D2" w:rsidRPr="006A5AC8" w:rsidRDefault="005C5787" w:rsidP="000379D2">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54</w:t>
      </w:r>
      <w:r w:rsidRPr="006A5AC8">
        <w:rPr>
          <w:lang w:val="bg-BG"/>
        </w:rPr>
        <w:fldChar w:fldCharType="end"/>
      </w:r>
      <w:r w:rsidRPr="006A5AC8">
        <w:rPr>
          <w:lang w:val="bg-BG"/>
        </w:rPr>
        <w:t>.  </w:t>
      </w:r>
      <w:r w:rsidR="000379D2" w:rsidRPr="006A5AC8">
        <w:rPr>
          <w:lang w:val="bg-BG"/>
        </w:rPr>
        <w:t>Съдът припомня, че е заключил, че по настоящото дело е налице нарушение на член 6</w:t>
      </w:r>
      <w:r w:rsidR="00127FA4">
        <w:rPr>
          <w:lang w:val="bg-BG"/>
        </w:rPr>
        <w:t xml:space="preserve"> §</w:t>
      </w:r>
      <w:r w:rsidR="000379D2" w:rsidRPr="006A5AC8">
        <w:rPr>
          <w:lang w:val="bg-BG"/>
        </w:rPr>
        <w:t xml:space="preserve"> 1 от Конвенцията. Той отсъжда, че може да се приеме, че жалбоподателят е изпитал известен </w:t>
      </w:r>
      <w:proofErr w:type="spellStart"/>
      <w:r w:rsidR="000379D2" w:rsidRPr="006A5AC8">
        <w:rPr>
          <w:lang w:val="bg-BG"/>
        </w:rPr>
        <w:t>дистрес</w:t>
      </w:r>
      <w:proofErr w:type="spellEnd"/>
      <w:r w:rsidR="000379D2" w:rsidRPr="006A5AC8">
        <w:rPr>
          <w:lang w:val="bg-BG"/>
        </w:rPr>
        <w:t xml:space="preserve"> поради фактите по делото. Предвид естеството на нарушението</w:t>
      </w:r>
      <w:r w:rsidR="005F5707" w:rsidRPr="006A5AC8">
        <w:rPr>
          <w:lang w:val="bg-BG"/>
        </w:rPr>
        <w:t xml:space="preserve"> Съдът определя </w:t>
      </w:r>
      <w:r w:rsidR="00127FA4">
        <w:rPr>
          <w:lang w:val="bg-BG"/>
        </w:rPr>
        <w:t>по справедливост</w:t>
      </w:r>
      <w:r w:rsidR="000379D2" w:rsidRPr="006A5AC8">
        <w:rPr>
          <w:lang w:val="bg-BG"/>
        </w:rPr>
        <w:t xml:space="preserve">, че на жалбоподателя следва да бъде присъдена </w:t>
      </w:r>
      <w:r w:rsidR="005F5707" w:rsidRPr="006A5AC8">
        <w:rPr>
          <w:lang w:val="bg-BG"/>
        </w:rPr>
        <w:t xml:space="preserve">сумата от </w:t>
      </w:r>
      <w:r w:rsidR="000379D2" w:rsidRPr="006A5AC8">
        <w:rPr>
          <w:lang w:val="bg-BG"/>
        </w:rPr>
        <w:t xml:space="preserve">2500 </w:t>
      </w:r>
      <w:r w:rsidR="005F5707" w:rsidRPr="006A5AC8">
        <w:rPr>
          <w:lang w:val="bg-BG"/>
        </w:rPr>
        <w:t>евро</w:t>
      </w:r>
      <w:r w:rsidR="000379D2" w:rsidRPr="006A5AC8">
        <w:rPr>
          <w:lang w:val="bg-BG"/>
        </w:rPr>
        <w:t xml:space="preserve"> за неимуществени вреди</w:t>
      </w:r>
      <w:r w:rsidR="005F5707" w:rsidRPr="006A5AC8">
        <w:rPr>
          <w:lang w:val="bg-BG"/>
        </w:rPr>
        <w:t>.</w:t>
      </w:r>
    </w:p>
    <w:p w14:paraId="71487053" w14:textId="77777777" w:rsidR="005C5787" w:rsidRPr="006A5AC8" w:rsidRDefault="00F97D78" w:rsidP="00EE31D5">
      <w:pPr>
        <w:pStyle w:val="JuHA"/>
        <w:rPr>
          <w:lang w:val="bg-BG"/>
        </w:rPr>
      </w:pPr>
      <w:r w:rsidRPr="006A5AC8">
        <w:rPr>
          <w:lang w:val="bg-BG"/>
        </w:rPr>
        <w:t>Разходи и разноски</w:t>
      </w:r>
    </w:p>
    <w:p w14:paraId="030A1412" w14:textId="7013D2AB" w:rsidR="00B05DA4"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55</w:t>
      </w:r>
      <w:r w:rsidRPr="006A5AC8">
        <w:rPr>
          <w:lang w:val="bg-BG"/>
        </w:rPr>
        <w:fldChar w:fldCharType="end"/>
      </w:r>
      <w:r w:rsidRPr="006A5AC8">
        <w:rPr>
          <w:lang w:val="bg-BG"/>
        </w:rPr>
        <w:t>.  </w:t>
      </w:r>
      <w:r w:rsidR="00B05DA4" w:rsidRPr="006A5AC8">
        <w:rPr>
          <w:lang w:val="bg-BG"/>
        </w:rPr>
        <w:t xml:space="preserve">Жалбоподателят претендира и 3120 евро </w:t>
      </w:r>
      <w:r w:rsidR="00491265" w:rsidRPr="00491265">
        <w:rPr>
          <w:lang w:val="bg-BG"/>
        </w:rPr>
        <w:t>(EUR)</w:t>
      </w:r>
      <w:r w:rsidR="00491265">
        <w:rPr>
          <w:lang w:val="bg-BG"/>
        </w:rPr>
        <w:t xml:space="preserve"> </w:t>
      </w:r>
      <w:r w:rsidR="00B05DA4" w:rsidRPr="006A5AC8">
        <w:rPr>
          <w:lang w:val="bg-BG"/>
        </w:rPr>
        <w:t>за разноските по процедурата пред Съда, които твърди, че възлизат на 2220 евро адвокатски хонорари и 900 евро разходи за преводи</w:t>
      </w:r>
      <w:r w:rsidR="00263F0F" w:rsidRPr="006A5AC8">
        <w:rPr>
          <w:lang w:val="bg-BG"/>
        </w:rPr>
        <w:t>. Той представя</w:t>
      </w:r>
      <w:r w:rsidR="00B05DA4" w:rsidRPr="006A5AC8">
        <w:rPr>
          <w:lang w:val="bg-BG"/>
        </w:rPr>
        <w:t xml:space="preserve"> договор, </w:t>
      </w:r>
      <w:r w:rsidR="00263F0F" w:rsidRPr="006A5AC8">
        <w:rPr>
          <w:lang w:val="bg-BG"/>
        </w:rPr>
        <w:t>който е сключил</w:t>
      </w:r>
      <w:r w:rsidR="00B05DA4" w:rsidRPr="006A5AC8">
        <w:rPr>
          <w:lang w:val="bg-BG"/>
        </w:rPr>
        <w:t xml:space="preserve"> с адвоката си на 1 ноември 2016 г., и декларация за </w:t>
      </w:r>
      <w:r w:rsidR="00DB7C73" w:rsidRPr="006A5AC8">
        <w:rPr>
          <w:lang w:val="bg-BG"/>
        </w:rPr>
        <w:t>вложения от нея труд</w:t>
      </w:r>
      <w:r w:rsidR="00B05DA4" w:rsidRPr="006A5AC8">
        <w:rPr>
          <w:lang w:val="bg-BG"/>
        </w:rPr>
        <w:t xml:space="preserve"> за общо 52 часа при часова ставка от 60 евро. Той обяснява, че преводът е извършен в адвокатската кантора на представител</w:t>
      </w:r>
      <w:r w:rsidR="00DB7C73" w:rsidRPr="006A5AC8">
        <w:rPr>
          <w:lang w:val="bg-BG"/>
        </w:rPr>
        <w:t>я му</w:t>
      </w:r>
      <w:r w:rsidR="00B05DA4" w:rsidRPr="006A5AC8">
        <w:rPr>
          <w:lang w:val="bg-BG"/>
        </w:rPr>
        <w:t xml:space="preserve"> също въз основа на почасова ставка от 60 евро. </w:t>
      </w:r>
      <w:r w:rsidR="0034405D">
        <w:rPr>
          <w:lang w:val="bg-BG"/>
        </w:rPr>
        <w:t>Моли</w:t>
      </w:r>
      <w:r w:rsidR="00B05DA4" w:rsidRPr="006A5AC8">
        <w:rPr>
          <w:lang w:val="bg-BG"/>
        </w:rPr>
        <w:t xml:space="preserve"> сумите, присъдени от Съда за разноски, да се</w:t>
      </w:r>
      <w:r w:rsidR="00DB7C73" w:rsidRPr="006A5AC8">
        <w:rPr>
          <w:lang w:val="bg-BG"/>
        </w:rPr>
        <w:t xml:space="preserve"> изплатят директно на адвоката му, г-жа Й. Ч.</w:t>
      </w:r>
      <w:r w:rsidR="00B05DA4" w:rsidRPr="006A5AC8">
        <w:rPr>
          <w:lang w:val="bg-BG"/>
        </w:rPr>
        <w:t xml:space="preserve"> </w:t>
      </w:r>
      <w:proofErr w:type="spellStart"/>
      <w:r w:rsidR="00B05DA4" w:rsidRPr="006A5AC8">
        <w:rPr>
          <w:lang w:val="bg-BG"/>
        </w:rPr>
        <w:t>Вандова</w:t>
      </w:r>
      <w:proofErr w:type="spellEnd"/>
      <w:r w:rsidR="00B05DA4" w:rsidRPr="006A5AC8">
        <w:rPr>
          <w:lang w:val="bg-BG"/>
        </w:rPr>
        <w:t>.</w:t>
      </w:r>
    </w:p>
    <w:p w14:paraId="34B0AA04" w14:textId="0216D3F1" w:rsidR="005C5787" w:rsidRPr="006A5AC8" w:rsidRDefault="005C5787" w:rsidP="00EE31D5">
      <w:pPr>
        <w:pStyle w:val="JuPara"/>
        <w:rPr>
          <w:lang w:val="bg-BG"/>
        </w:rPr>
      </w:pPr>
      <w:r w:rsidRPr="006A5AC8">
        <w:rPr>
          <w:lang w:val="bg-BG"/>
        </w:rPr>
        <w:lastRenderedPageBreak/>
        <w:fldChar w:fldCharType="begin"/>
      </w:r>
      <w:r w:rsidRPr="006A5AC8">
        <w:rPr>
          <w:lang w:val="bg-BG"/>
        </w:rPr>
        <w:instrText xml:space="preserve"> SEQ level0 \*arabic </w:instrText>
      </w:r>
      <w:r w:rsidRPr="006A5AC8">
        <w:rPr>
          <w:lang w:val="bg-BG"/>
        </w:rPr>
        <w:fldChar w:fldCharType="separate"/>
      </w:r>
      <w:r w:rsidR="00CF0300">
        <w:rPr>
          <w:noProof/>
          <w:lang w:val="bg-BG"/>
        </w:rPr>
        <w:t>56</w:t>
      </w:r>
      <w:r w:rsidRPr="006A5AC8">
        <w:rPr>
          <w:lang w:val="bg-BG"/>
        </w:rPr>
        <w:fldChar w:fldCharType="end"/>
      </w:r>
      <w:r w:rsidRPr="006A5AC8">
        <w:rPr>
          <w:lang w:val="bg-BG"/>
        </w:rPr>
        <w:t>.  </w:t>
      </w:r>
      <w:r w:rsidR="00540697" w:rsidRPr="006A5AC8">
        <w:rPr>
          <w:lang w:val="bg-BG"/>
        </w:rPr>
        <w:t>Правителството оспорва тези претенции</w:t>
      </w:r>
      <w:r w:rsidRPr="006A5AC8">
        <w:rPr>
          <w:lang w:val="bg-BG"/>
        </w:rPr>
        <w:t xml:space="preserve">. </w:t>
      </w:r>
      <w:r w:rsidR="00540697" w:rsidRPr="006A5AC8">
        <w:rPr>
          <w:lang w:val="bg-BG"/>
        </w:rPr>
        <w:t xml:space="preserve">То намира, че са прекомерни и че представените </w:t>
      </w:r>
      <w:r w:rsidR="00491265">
        <w:rPr>
          <w:lang w:val="bg-BG"/>
        </w:rPr>
        <w:t xml:space="preserve">в тяхна подкрепа </w:t>
      </w:r>
      <w:r w:rsidR="00540697" w:rsidRPr="006A5AC8">
        <w:rPr>
          <w:lang w:val="bg-BG"/>
        </w:rPr>
        <w:t>документи не представляват достатъчно доказателство за заявените разходи и разноски</w:t>
      </w:r>
      <w:r w:rsidRPr="006A5AC8">
        <w:rPr>
          <w:lang w:val="bg-BG"/>
        </w:rPr>
        <w:t>.</w:t>
      </w:r>
    </w:p>
    <w:p w14:paraId="78772D20" w14:textId="77777777" w:rsidR="00BD377E"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57</w:t>
      </w:r>
      <w:r w:rsidRPr="006A5AC8">
        <w:rPr>
          <w:lang w:val="bg-BG"/>
        </w:rPr>
        <w:fldChar w:fldCharType="end"/>
      </w:r>
      <w:r w:rsidRPr="006A5AC8">
        <w:rPr>
          <w:lang w:val="bg-BG"/>
        </w:rPr>
        <w:t>.  </w:t>
      </w:r>
      <w:r w:rsidR="00BD377E" w:rsidRPr="006A5AC8">
        <w:rPr>
          <w:lang w:val="bg-BG"/>
        </w:rPr>
        <w:t xml:space="preserve">Съгласно съдебната практика на Съда един жалбоподател може да получи възстановяване на направените от него разходи и разноски само до степента, в която се установи тяхната действителност, необходимост и разумен характер на ставките за плащане. </w:t>
      </w:r>
      <w:r w:rsidR="00B91313" w:rsidRPr="006A5AC8">
        <w:rPr>
          <w:lang w:val="bg-BG"/>
        </w:rPr>
        <w:t>По настоящото дело</w:t>
      </w:r>
      <w:r w:rsidR="00BD377E" w:rsidRPr="006A5AC8">
        <w:rPr>
          <w:lang w:val="bg-BG"/>
        </w:rPr>
        <w:t xml:space="preserve">, като вземе </w:t>
      </w:r>
      <w:r w:rsidR="0034405D">
        <w:rPr>
          <w:lang w:val="bg-BG"/>
        </w:rPr>
        <w:t>под внимание</w:t>
      </w:r>
      <w:r w:rsidR="00BD377E" w:rsidRPr="006A5AC8">
        <w:rPr>
          <w:lang w:val="bg-BG"/>
        </w:rPr>
        <w:t xml:space="preserve"> документите, с които разполага, и своята съдебна практика, Съдът намира за разумно да присъди на жалбоподателя сумата от 1500 евро. Посочената сума следва да се изпл</w:t>
      </w:r>
      <w:r w:rsidR="00BA3802" w:rsidRPr="006A5AC8">
        <w:rPr>
          <w:lang w:val="bg-BG"/>
        </w:rPr>
        <w:t>ати директно на неговия адвокат, г-ж</w:t>
      </w:r>
      <w:r w:rsidR="00BD377E" w:rsidRPr="006A5AC8">
        <w:rPr>
          <w:lang w:val="bg-BG"/>
        </w:rPr>
        <w:t xml:space="preserve">а Й. Ч. </w:t>
      </w:r>
      <w:proofErr w:type="spellStart"/>
      <w:r w:rsidR="00BD377E" w:rsidRPr="006A5AC8">
        <w:rPr>
          <w:lang w:val="bg-BG"/>
        </w:rPr>
        <w:t>Вандова</w:t>
      </w:r>
      <w:proofErr w:type="spellEnd"/>
      <w:r w:rsidR="00F9257B" w:rsidRPr="006A5AC8">
        <w:rPr>
          <w:lang w:val="bg-BG"/>
        </w:rPr>
        <w:t>, по сметката на Адвокатско дружество „</w:t>
      </w:r>
      <w:proofErr w:type="spellStart"/>
      <w:r w:rsidR="00F9257B" w:rsidRPr="006A5AC8">
        <w:rPr>
          <w:lang w:val="bg-BG"/>
        </w:rPr>
        <w:t>Доковска</w:t>
      </w:r>
      <w:proofErr w:type="spellEnd"/>
      <w:r w:rsidR="00F9257B" w:rsidRPr="006A5AC8">
        <w:rPr>
          <w:lang w:val="bg-BG"/>
        </w:rPr>
        <w:t>, Атанасов и съдружници“.</w:t>
      </w:r>
    </w:p>
    <w:p w14:paraId="0F0B1505" w14:textId="77777777" w:rsidR="005C5787" w:rsidRPr="006A5AC8" w:rsidRDefault="00F9257B" w:rsidP="00EE31D5">
      <w:pPr>
        <w:pStyle w:val="JuHA"/>
        <w:rPr>
          <w:lang w:val="bg-BG"/>
        </w:rPr>
      </w:pPr>
      <w:r w:rsidRPr="006A5AC8">
        <w:rPr>
          <w:lang w:val="bg-BG"/>
        </w:rPr>
        <w:t xml:space="preserve">Мораторни лихви </w:t>
      </w:r>
    </w:p>
    <w:p w14:paraId="373225FA" w14:textId="77777777" w:rsidR="005C5787" w:rsidRPr="006A5AC8" w:rsidRDefault="005C5787" w:rsidP="00EE31D5">
      <w:pPr>
        <w:pStyle w:val="JuPara"/>
        <w:rPr>
          <w:lang w:val="bg-BG"/>
        </w:rPr>
      </w:pPr>
      <w:r w:rsidRPr="006A5AC8">
        <w:rPr>
          <w:lang w:val="bg-BG"/>
        </w:rPr>
        <w:fldChar w:fldCharType="begin"/>
      </w:r>
      <w:r w:rsidRPr="006A5AC8">
        <w:rPr>
          <w:lang w:val="bg-BG"/>
        </w:rPr>
        <w:instrText xml:space="preserve"> SEQ level0 \*arabic </w:instrText>
      </w:r>
      <w:r w:rsidRPr="006A5AC8">
        <w:rPr>
          <w:lang w:val="bg-BG"/>
        </w:rPr>
        <w:fldChar w:fldCharType="separate"/>
      </w:r>
      <w:r w:rsidR="00CF0300">
        <w:rPr>
          <w:noProof/>
          <w:lang w:val="bg-BG"/>
        </w:rPr>
        <w:t>58</w:t>
      </w:r>
      <w:r w:rsidRPr="006A5AC8">
        <w:rPr>
          <w:lang w:val="bg-BG"/>
        </w:rPr>
        <w:fldChar w:fldCharType="end"/>
      </w:r>
      <w:r w:rsidRPr="006A5AC8">
        <w:rPr>
          <w:lang w:val="bg-BG"/>
        </w:rPr>
        <w:t>.  </w:t>
      </w:r>
      <w:r w:rsidR="00F9257B" w:rsidRPr="006A5AC8">
        <w:rPr>
          <w:lang w:val="bg-BG"/>
        </w:rPr>
        <w:t>Съдът счита за уместно мораторните лихви да бъдат обвързани с пределната ставка по заеми на Европейската централна банка, към която се добавят три процентни пункта</w:t>
      </w:r>
      <w:r w:rsidRPr="006A5AC8">
        <w:rPr>
          <w:lang w:val="bg-BG"/>
        </w:rPr>
        <w:t>.</w:t>
      </w:r>
    </w:p>
    <w:p w14:paraId="19E7B466" w14:textId="40CD6478" w:rsidR="005C5787" w:rsidRPr="006A5AC8" w:rsidRDefault="00A76EC6" w:rsidP="00EE31D5">
      <w:pPr>
        <w:pStyle w:val="JuHHead"/>
        <w:rPr>
          <w:lang w:val="bg-BG"/>
        </w:rPr>
      </w:pPr>
      <w:r>
        <w:rPr>
          <w:lang w:val="bg-BG"/>
        </w:rPr>
        <w:t>ПО</w:t>
      </w:r>
      <w:r w:rsidRPr="006A5AC8">
        <w:rPr>
          <w:lang w:val="bg-BG"/>
        </w:rPr>
        <w:t xml:space="preserve"> </w:t>
      </w:r>
      <w:r w:rsidR="00F9257B" w:rsidRPr="006A5AC8">
        <w:rPr>
          <w:lang w:val="bg-BG"/>
        </w:rPr>
        <w:t>ТЕЗИ СЪОБРАЖЕНИЯ СЪДЪТ ЕДИНОДУШНО</w:t>
      </w:r>
    </w:p>
    <w:p w14:paraId="690078F4" w14:textId="77777777" w:rsidR="005C5787" w:rsidRPr="006A5AC8" w:rsidRDefault="00F9257B" w:rsidP="00EE31D5">
      <w:pPr>
        <w:pStyle w:val="JuList"/>
        <w:ind w:left="0" w:firstLine="0"/>
        <w:rPr>
          <w:lang w:val="bg-BG"/>
        </w:rPr>
      </w:pPr>
      <w:r w:rsidRPr="006A5AC8">
        <w:rPr>
          <w:i/>
          <w:lang w:val="bg-BG"/>
        </w:rPr>
        <w:t>Обявява</w:t>
      </w:r>
      <w:r w:rsidRPr="006A5AC8">
        <w:rPr>
          <w:lang w:val="bg-BG"/>
        </w:rPr>
        <w:t xml:space="preserve"> жалбата за допустима</w:t>
      </w:r>
      <w:r w:rsidR="005C5787" w:rsidRPr="006A5AC8">
        <w:rPr>
          <w:lang w:val="bg-BG"/>
        </w:rPr>
        <w:t>;</w:t>
      </w:r>
    </w:p>
    <w:p w14:paraId="522D28EB" w14:textId="2B3416E9" w:rsidR="005C5787" w:rsidRPr="006A5AC8" w:rsidRDefault="00F9257B" w:rsidP="00EE31D5">
      <w:pPr>
        <w:pStyle w:val="JuList"/>
        <w:rPr>
          <w:lang w:val="bg-BG"/>
        </w:rPr>
      </w:pPr>
      <w:r w:rsidRPr="006A5AC8">
        <w:rPr>
          <w:i/>
          <w:lang w:val="bg-BG"/>
        </w:rPr>
        <w:t xml:space="preserve">Приема, </w:t>
      </w:r>
      <w:r w:rsidRPr="006A5AC8">
        <w:rPr>
          <w:lang w:val="bg-BG"/>
        </w:rPr>
        <w:t>че е налице нарушение на член 6</w:t>
      </w:r>
      <w:r w:rsidR="00491265">
        <w:rPr>
          <w:lang w:val="bg-BG"/>
        </w:rPr>
        <w:t xml:space="preserve"> § </w:t>
      </w:r>
      <w:r w:rsidRPr="006A5AC8">
        <w:rPr>
          <w:lang w:val="bg-BG"/>
        </w:rPr>
        <w:t>1 от Конвенцията</w:t>
      </w:r>
      <w:r w:rsidR="005C5787" w:rsidRPr="006A5AC8">
        <w:rPr>
          <w:lang w:val="bg-BG"/>
        </w:rPr>
        <w:t>;</w:t>
      </w:r>
    </w:p>
    <w:p w14:paraId="29879803" w14:textId="77777777" w:rsidR="005C5787" w:rsidRPr="006A5AC8" w:rsidRDefault="00F9257B" w:rsidP="00EE31D5">
      <w:pPr>
        <w:pStyle w:val="JuList"/>
        <w:rPr>
          <w:lang w:val="bg-BG"/>
        </w:rPr>
      </w:pPr>
      <w:r w:rsidRPr="006A5AC8">
        <w:rPr>
          <w:i/>
          <w:lang w:val="bg-BG"/>
        </w:rPr>
        <w:t>Приема,</w:t>
      </w:r>
    </w:p>
    <w:p w14:paraId="51DF805C" w14:textId="085FBF1E" w:rsidR="005C5787" w:rsidRPr="006A5AC8" w:rsidRDefault="00272F4A" w:rsidP="00272F4A">
      <w:pPr>
        <w:pStyle w:val="JuLista"/>
        <w:numPr>
          <w:ilvl w:val="0"/>
          <w:numId w:val="0"/>
        </w:numPr>
        <w:ind w:left="680"/>
        <w:rPr>
          <w:lang w:val="bg-BG"/>
        </w:rPr>
      </w:pPr>
      <w:r w:rsidRPr="006A5AC8">
        <w:rPr>
          <w:lang w:val="bg-BG"/>
        </w:rPr>
        <w:t xml:space="preserve">а) </w:t>
      </w:r>
      <w:r w:rsidR="00F9257B" w:rsidRPr="006A5AC8">
        <w:rPr>
          <w:lang w:val="bg-BG"/>
        </w:rPr>
        <w:t>че в рамките на три месеца от деня, в който съдебното решение стане окончателно в съответствие с член 44</w:t>
      </w:r>
      <w:r w:rsidR="00491265">
        <w:rPr>
          <w:lang w:val="bg-BG"/>
        </w:rPr>
        <w:t xml:space="preserve"> § </w:t>
      </w:r>
      <w:r w:rsidR="00F9257B" w:rsidRPr="006A5AC8">
        <w:rPr>
          <w:lang w:val="bg-BG"/>
        </w:rPr>
        <w:t xml:space="preserve">2 от Конвенцията, държавата ответник трябва да изплати на жалбоподателя </w:t>
      </w:r>
      <w:r w:rsidR="00F9257B" w:rsidRPr="006A5AC8">
        <w:rPr>
          <w:lang w:val="bg-BG" w:eastAsia="en-GB"/>
        </w:rPr>
        <w:t>следните суми,</w:t>
      </w:r>
      <w:r w:rsidR="00F9257B" w:rsidRPr="006A5AC8">
        <w:rPr>
          <w:lang w:val="bg-BG"/>
        </w:rPr>
        <w:t xml:space="preserve"> конвертирани в български лева по курса, валиден към датата на плащането</w:t>
      </w:r>
      <w:r w:rsidR="005C5787" w:rsidRPr="006A5AC8">
        <w:rPr>
          <w:lang w:val="bg-BG"/>
        </w:rPr>
        <w:t>:</w:t>
      </w:r>
    </w:p>
    <w:p w14:paraId="064C1807" w14:textId="77777777" w:rsidR="005C5787" w:rsidRPr="006A5AC8" w:rsidRDefault="00F9257B" w:rsidP="00EE31D5">
      <w:pPr>
        <w:pStyle w:val="JuListi"/>
        <w:rPr>
          <w:lang w:val="bg-BG" w:eastAsia="en-GB"/>
        </w:rPr>
      </w:pPr>
      <w:r w:rsidRPr="006A5AC8">
        <w:rPr>
          <w:lang w:val="bg-BG"/>
        </w:rPr>
        <w:t xml:space="preserve">2 500 EUR (две хиляди и петстотин евро) плюс </w:t>
      </w:r>
      <w:r w:rsidRPr="006A5AC8">
        <w:rPr>
          <w:lang w:val="bg-BG" w:eastAsia="en-GB"/>
        </w:rPr>
        <w:t>всякакви данъци, които биха могли да се начислят на жалбоподателя</w:t>
      </w:r>
      <w:r w:rsidRPr="006A5AC8">
        <w:rPr>
          <w:lang w:val="bg-BG"/>
        </w:rPr>
        <w:t xml:space="preserve"> за неимуществени вреди, които да се преведат директно по сметката на жалбоподателя;</w:t>
      </w:r>
    </w:p>
    <w:p w14:paraId="30426669" w14:textId="77777777" w:rsidR="005C5787" w:rsidRPr="006A5AC8" w:rsidRDefault="005C5787" w:rsidP="00EE31D5">
      <w:pPr>
        <w:pStyle w:val="JuListi"/>
        <w:rPr>
          <w:lang w:val="bg-BG" w:eastAsia="en-GB"/>
        </w:rPr>
      </w:pPr>
      <w:r w:rsidRPr="006A5AC8">
        <w:rPr>
          <w:lang w:val="bg-BG" w:eastAsia="en-GB"/>
        </w:rPr>
        <w:t>1 500 EUR (</w:t>
      </w:r>
      <w:r w:rsidR="00F9257B" w:rsidRPr="006A5AC8">
        <w:rPr>
          <w:lang w:val="bg-BG" w:eastAsia="en-GB"/>
        </w:rPr>
        <w:t>хиляда и петстотин евро</w:t>
      </w:r>
      <w:r w:rsidRPr="006A5AC8">
        <w:rPr>
          <w:lang w:val="bg-BG" w:eastAsia="en-GB"/>
        </w:rPr>
        <w:t>)</w:t>
      </w:r>
      <w:r w:rsidR="00F9257B" w:rsidRPr="006A5AC8">
        <w:rPr>
          <w:lang w:val="bg-BG"/>
        </w:rPr>
        <w:t xml:space="preserve"> плюс </w:t>
      </w:r>
      <w:r w:rsidR="00F9257B" w:rsidRPr="006A5AC8">
        <w:rPr>
          <w:lang w:val="bg-BG" w:eastAsia="en-GB"/>
        </w:rPr>
        <w:t>всякакви данъци, които биха могли да се начислят на жалбоподателя</w:t>
      </w:r>
      <w:r w:rsidR="00F9257B" w:rsidRPr="006A5AC8">
        <w:rPr>
          <w:lang w:val="bg-BG"/>
        </w:rPr>
        <w:t>, за разходи и разноски, които да се преведат по сметката на Адвокатско дружество „</w:t>
      </w:r>
      <w:proofErr w:type="spellStart"/>
      <w:r w:rsidR="00F9257B" w:rsidRPr="006A5AC8">
        <w:rPr>
          <w:lang w:val="bg-BG"/>
        </w:rPr>
        <w:t>Доковска</w:t>
      </w:r>
      <w:proofErr w:type="spellEnd"/>
      <w:r w:rsidR="00F9257B" w:rsidRPr="006A5AC8">
        <w:rPr>
          <w:lang w:val="bg-BG"/>
        </w:rPr>
        <w:t>, Атанасов и съдружници“</w:t>
      </w:r>
      <w:r w:rsidRPr="006A5AC8">
        <w:rPr>
          <w:lang w:val="bg-BG" w:eastAsia="en-GB"/>
        </w:rPr>
        <w:t>;</w:t>
      </w:r>
    </w:p>
    <w:p w14:paraId="7E5FA7E0" w14:textId="77777777" w:rsidR="005C5787" w:rsidRPr="006A5AC8" w:rsidRDefault="00272F4A" w:rsidP="00272F4A">
      <w:pPr>
        <w:pStyle w:val="JuLista"/>
        <w:numPr>
          <w:ilvl w:val="0"/>
          <w:numId w:val="0"/>
        </w:numPr>
        <w:ind w:left="680"/>
        <w:rPr>
          <w:lang w:val="bg-BG"/>
        </w:rPr>
      </w:pPr>
      <w:r w:rsidRPr="006A5AC8">
        <w:rPr>
          <w:lang w:val="bg-BG"/>
        </w:rPr>
        <w:t xml:space="preserve">б) че от изтичането на гореспоменатия тримесечен срок до плащането се дължи проста лихва върху горепосочените суми в размер, равен на пределната ставка по заеми на Европейската </w:t>
      </w:r>
      <w:r w:rsidRPr="006A5AC8">
        <w:rPr>
          <w:lang w:val="bg-BG"/>
        </w:rPr>
        <w:lastRenderedPageBreak/>
        <w:t>централна банка за срока на забава, към която се добавят три процентни пункта</w:t>
      </w:r>
      <w:r w:rsidR="005C5787" w:rsidRPr="006A5AC8">
        <w:rPr>
          <w:lang w:val="bg-BG"/>
        </w:rPr>
        <w:t>;</w:t>
      </w:r>
    </w:p>
    <w:p w14:paraId="36B8457F" w14:textId="77777777" w:rsidR="0055090B" w:rsidRPr="006A5AC8" w:rsidRDefault="00272F4A" w:rsidP="00EE31D5">
      <w:pPr>
        <w:pStyle w:val="JuList"/>
        <w:rPr>
          <w:lang w:val="bg-BG"/>
        </w:rPr>
      </w:pPr>
      <w:r w:rsidRPr="006A5AC8">
        <w:rPr>
          <w:i/>
          <w:lang w:val="bg-BG"/>
        </w:rPr>
        <w:t xml:space="preserve">Отхвърля </w:t>
      </w:r>
      <w:r w:rsidRPr="006A5AC8">
        <w:rPr>
          <w:lang w:val="bg-BG"/>
        </w:rPr>
        <w:t>останалата част от иска за справедливо обезщетение</w:t>
      </w:r>
      <w:r w:rsidR="005C5787" w:rsidRPr="006A5AC8">
        <w:rPr>
          <w:lang w:val="bg-BG"/>
        </w:rPr>
        <w:t>.</w:t>
      </w:r>
    </w:p>
    <w:p w14:paraId="564EDC32" w14:textId="02F7FF69" w:rsidR="0055090B" w:rsidRPr="006A5AC8" w:rsidRDefault="00272F4A" w:rsidP="00EE31D5">
      <w:pPr>
        <w:pStyle w:val="JuParaLast"/>
        <w:keepNext w:val="0"/>
        <w:keepLines w:val="0"/>
        <w:rPr>
          <w:lang w:val="bg-BG"/>
        </w:rPr>
      </w:pPr>
      <w:r w:rsidRPr="006A5AC8">
        <w:rPr>
          <w:lang w:val="bg-BG"/>
        </w:rPr>
        <w:t>Изготвено на френски език и оповестено писмено на 28 ноември 2019 г. в съответствие с член 77 §§ 2 и 3 от Прави</w:t>
      </w:r>
      <w:r w:rsidR="00E82B5E">
        <w:rPr>
          <w:lang w:val="bg-BG"/>
        </w:rPr>
        <w:t>лата</w:t>
      </w:r>
      <w:r w:rsidRPr="006A5AC8">
        <w:rPr>
          <w:lang w:val="bg-BG"/>
        </w:rPr>
        <w:t xml:space="preserve"> на Съда  </w:t>
      </w:r>
      <w:r w:rsidR="0055090B" w:rsidRPr="006A5AC8">
        <w:rPr>
          <w:lang w:val="bg-BG"/>
        </w:rPr>
        <w:t>.</w:t>
      </w:r>
    </w:p>
    <w:p w14:paraId="3AE8C148" w14:textId="4926BAA5" w:rsidR="00441A20" w:rsidRPr="00441A20" w:rsidRDefault="005C5787" w:rsidP="00E416FF">
      <w:pPr>
        <w:pStyle w:val="JuSigned"/>
        <w:rPr>
          <w:lang w:val="bg-BG"/>
        </w:rPr>
      </w:pPr>
      <w:r w:rsidRPr="006A5AC8">
        <w:rPr>
          <w:lang w:val="bg-BG"/>
        </w:rPr>
        <w:tab/>
      </w:r>
      <w:proofErr w:type="spellStart"/>
      <w:r w:rsidR="003332A1" w:rsidRPr="006A5AC8">
        <w:rPr>
          <w:lang w:val="bg-BG"/>
        </w:rPr>
        <w:t>Клаудиа</w:t>
      </w:r>
      <w:proofErr w:type="spellEnd"/>
      <w:r w:rsidR="003332A1" w:rsidRPr="006A5AC8">
        <w:rPr>
          <w:lang w:val="bg-BG"/>
        </w:rPr>
        <w:t xml:space="preserve"> </w:t>
      </w:r>
      <w:proofErr w:type="spellStart"/>
      <w:r w:rsidR="003332A1" w:rsidRPr="006A5AC8">
        <w:rPr>
          <w:lang w:val="bg-BG"/>
        </w:rPr>
        <w:t>Вестердик</w:t>
      </w:r>
      <w:proofErr w:type="spellEnd"/>
      <w:r w:rsidR="003332A1" w:rsidRPr="006A5AC8">
        <w:rPr>
          <w:lang w:val="bg-BG"/>
        </w:rPr>
        <w:tab/>
      </w:r>
      <w:proofErr w:type="spellStart"/>
      <w:r w:rsidR="003332A1" w:rsidRPr="006A5AC8">
        <w:rPr>
          <w:szCs w:val="24"/>
          <w:lang w:val="bg-BG"/>
        </w:rPr>
        <w:t>Ангелика</w:t>
      </w:r>
      <w:proofErr w:type="spellEnd"/>
      <w:r w:rsidR="003332A1" w:rsidRPr="006A5AC8">
        <w:rPr>
          <w:szCs w:val="24"/>
          <w:lang w:val="bg-BG"/>
        </w:rPr>
        <w:t xml:space="preserve"> </w:t>
      </w:r>
      <w:proofErr w:type="spellStart"/>
      <w:r w:rsidR="003332A1" w:rsidRPr="006A5AC8">
        <w:rPr>
          <w:szCs w:val="24"/>
          <w:lang w:val="bg-BG"/>
        </w:rPr>
        <w:t>Нусбергер</w:t>
      </w:r>
      <w:proofErr w:type="spellEnd"/>
      <w:r w:rsidR="003332A1" w:rsidRPr="006A5AC8">
        <w:rPr>
          <w:lang w:val="bg-BG"/>
        </w:rPr>
        <w:br/>
      </w:r>
      <w:r w:rsidR="003332A1" w:rsidRPr="006A5AC8">
        <w:rPr>
          <w:lang w:val="bg-BG"/>
        </w:rPr>
        <w:tab/>
        <w:t>Секретар</w:t>
      </w:r>
      <w:r w:rsidR="003332A1" w:rsidRPr="006A5AC8">
        <w:rPr>
          <w:lang w:val="bg-BG"/>
        </w:rPr>
        <w:tab/>
        <w:t>Председател</w:t>
      </w:r>
      <w:bookmarkStart w:id="12" w:name="_GoBack"/>
      <w:bookmarkEnd w:id="12"/>
    </w:p>
    <w:sectPr w:rsidR="00441A20" w:rsidRPr="00441A20" w:rsidSect="004B4FFF">
      <w:headerReference w:type="even" r:id="rId15"/>
      <w:headerReference w:type="default" r:id="rId16"/>
      <w:footerReference w:type="even" r:id="rId17"/>
      <w:footerReference w:type="default" r:id="rId18"/>
      <w:footnotePr>
        <w:numRestart w:val="eachSect"/>
      </w:footnotePr>
      <w:pgSz w:w="11906" w:h="16838" w:code="9"/>
      <w:pgMar w:top="2274" w:right="2274" w:bottom="2274" w:left="2274" w:header="1701"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23B7AE" w14:textId="77777777" w:rsidR="006F70B2" w:rsidRDefault="006F70B2">
      <w:r>
        <w:separator/>
      </w:r>
    </w:p>
  </w:endnote>
  <w:endnote w:type="continuationSeparator" w:id="0">
    <w:p w14:paraId="1486B7E8" w14:textId="77777777" w:rsidR="006F70B2" w:rsidRDefault="006F7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4F5D4E" w14:textId="77777777" w:rsidR="000860C5" w:rsidRDefault="000860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DF90F2" w14:textId="77777777" w:rsidR="00E56BDF" w:rsidRPr="00150BFA" w:rsidRDefault="00E56BDF" w:rsidP="004B4FFF">
    <w:pPr>
      <w:jc w:val="center"/>
    </w:pPr>
    <w:r>
      <w:rPr>
        <w:noProof/>
        <w:lang w:val="en-US"/>
      </w:rPr>
      <w:drawing>
        <wp:inline distT="0" distB="0" distL="0" distR="0" wp14:anchorId="1FE38393" wp14:editId="763B52A9">
          <wp:extent cx="771525" cy="619125"/>
          <wp:effectExtent l="0" t="0" r="9525" b="9525"/>
          <wp:docPr id="41" name="Picture 41" descr="R:\1_Graphics&amp;Web\Court_Graphic_Charter\2013\ECHR_Stationery\Documents_and_Letters\Cover_Pages_And_Docs\White_600_dpi\ECHR_CoverpageCS61_ECHR_Coverpage_Footer_COE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1_Graphics&amp;Web\Court_Graphic_Charter\2013\ECHR_Stationery\Documents_and_Letters\Cover_Pages_And_Docs\White_600_dpi\ECHR_CoverpageCS61_ECHR_Coverpage_Footer_COE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1525" cy="619125"/>
                  </a:xfrm>
                  <a:prstGeom prst="rect">
                    <a:avLst/>
                  </a:prstGeom>
                  <a:noFill/>
                  <a:ln>
                    <a:noFill/>
                  </a:ln>
                </pic:spPr>
              </pic:pic>
            </a:graphicData>
          </a:graphic>
        </wp:inline>
      </w:drawing>
    </w:r>
  </w:p>
  <w:p w14:paraId="74C85EFD" w14:textId="77777777" w:rsidR="00E56BDF" w:rsidRPr="00085457" w:rsidRDefault="00E56BDF" w:rsidP="004B4FFF">
    <w:pPr>
      <w:pStyle w:val="Footer"/>
      <w:jc w:val="center"/>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07063" w14:textId="77777777" w:rsidR="000860C5" w:rsidRDefault="000860C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CD72E" w14:textId="77777777" w:rsidR="00E56BDF" w:rsidRDefault="00E56BD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8EC39" w14:textId="77777777" w:rsidR="00E56BDF" w:rsidRPr="000B7195" w:rsidRDefault="00E56BDF" w:rsidP="004B4F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E0162" w14:textId="77777777" w:rsidR="006F70B2" w:rsidRPr="00085457" w:rsidRDefault="006F70B2" w:rsidP="004B4FFF">
      <w:r w:rsidRPr="00085457">
        <w:separator/>
      </w:r>
    </w:p>
  </w:footnote>
  <w:footnote w:type="continuationSeparator" w:id="0">
    <w:p w14:paraId="7F4DAAEA" w14:textId="77777777" w:rsidR="006F70B2" w:rsidRPr="00085457" w:rsidRDefault="006F70B2" w:rsidP="004B4FFF">
      <w:r w:rsidRPr="00085457">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DBC6F" w14:textId="77777777" w:rsidR="000860C5" w:rsidRDefault="000860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0E0C2C" w14:textId="48A6FADB" w:rsidR="00441A20" w:rsidRDefault="00441A20">
    <w:pPr>
      <w:pStyle w:val="Header"/>
    </w:pPr>
  </w:p>
  <w:p w14:paraId="2C744F1C" w14:textId="77777777" w:rsidR="00E56BDF" w:rsidRPr="00085457" w:rsidRDefault="00E56BDF" w:rsidP="004B4FFF">
    <w:pPr>
      <w:jc w:val="center"/>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504C" w14:textId="77777777" w:rsidR="00E56BDF" w:rsidRPr="00085457" w:rsidRDefault="00E56BDF" w:rsidP="00E416FF">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4C2051" w14:textId="77777777" w:rsidR="00E56BDF" w:rsidRPr="004D0EC7" w:rsidRDefault="00E56BDF" w:rsidP="004B4FFF">
    <w:pPr>
      <w:pStyle w:val="JuHeader"/>
    </w:pPr>
    <w:r>
      <w:rPr>
        <w:rStyle w:val="PageNumber"/>
      </w:rPr>
      <w:fldChar w:fldCharType="begin"/>
    </w:r>
    <w:r>
      <w:rPr>
        <w:rStyle w:val="PageNumber"/>
      </w:rPr>
      <w:instrText xml:space="preserve"> PAGE </w:instrText>
    </w:r>
    <w:r>
      <w:rPr>
        <w:rStyle w:val="PageNumber"/>
      </w:rPr>
      <w:fldChar w:fldCharType="separate"/>
    </w:r>
    <w:r w:rsidR="0034405D">
      <w:rPr>
        <w:rStyle w:val="PageNumber"/>
        <w:noProof/>
      </w:rPr>
      <w:t>18</w:t>
    </w:r>
    <w:r>
      <w:rPr>
        <w:rStyle w:val="PageNumber"/>
      </w:rPr>
      <w:fldChar w:fldCharType="end"/>
    </w:r>
    <w:r w:rsidRPr="00C25A3E">
      <w:tab/>
      <w:t xml:space="preserve">ARRÊT </w:t>
    </w:r>
    <w:r>
      <w:t>MUSTAFA c. BULGARIE</w:t>
    </w:r>
    <w:r w:rsidRPr="00C25A3E">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EE4C" w14:textId="2EDEA0F4" w:rsidR="00E56BDF" w:rsidRPr="00882CD5" w:rsidRDefault="00E56BDF" w:rsidP="004B4FFF">
    <w:pPr>
      <w:pStyle w:val="JuHeader"/>
    </w:pPr>
    <w:r>
      <w:tab/>
    </w:r>
    <w:r>
      <w:rPr>
        <w:lang w:val="bg-BG"/>
      </w:rPr>
      <w:t>ДЕЛО МУСТАФА срещу БЪЛГАРИЯ</w:t>
    </w:r>
    <w:r w:rsidRPr="00A7574A">
      <w:t xml:space="preserve"> </w:t>
    </w:r>
    <w:r w:rsidRPr="007100AD">
      <w:tab/>
    </w:r>
    <w:r>
      <w:rPr>
        <w:rStyle w:val="PageNumber"/>
      </w:rPr>
      <w:fldChar w:fldCharType="begin"/>
    </w:r>
    <w:r>
      <w:rPr>
        <w:rStyle w:val="PageNumber"/>
      </w:rPr>
      <w:instrText xml:space="preserve"> PAGE </w:instrText>
    </w:r>
    <w:r>
      <w:rPr>
        <w:rStyle w:val="PageNumber"/>
      </w:rPr>
      <w:fldChar w:fldCharType="separate"/>
    </w:r>
    <w:r w:rsidR="000860C5">
      <w:rPr>
        <w:rStyle w:val="PageNumber"/>
        <w:noProof/>
      </w:rPr>
      <w:t>19</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15:restartNumberingAfterBreak="0">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 w15:restartNumberingAfterBreak="0">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14" w15:restartNumberingAfterBreak="0">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15" w15:restartNumberingAfterBreak="0">
    <w:nsid w:val="56B9429C"/>
    <w:multiLevelType w:val="multilevel"/>
    <w:tmpl w:val="03263022"/>
    <w:lvl w:ilvl="0">
      <w:start w:val="1"/>
      <w:numFmt w:val="none"/>
      <w:pStyle w:val="JuHHead"/>
      <w:suff w:val="nothing"/>
      <w:lvlText w:val=""/>
      <w:lvlJc w:val="left"/>
      <w:pPr>
        <w:ind w:left="0" w:firstLine="0"/>
      </w:pPr>
      <w:rPr>
        <w:rFonts w:hint="default"/>
      </w:rPr>
    </w:lvl>
    <w:lvl w:ilvl="1">
      <w:start w:val="1"/>
      <w:numFmt w:val="upperRoman"/>
      <w:pStyle w:val="JuHIRoman"/>
      <w:suff w:val="space"/>
      <w:lvlText w:val="%2."/>
      <w:lvlJc w:val="left"/>
      <w:pPr>
        <w:ind w:left="357" w:hanging="357"/>
      </w:pPr>
      <w:rPr>
        <w:rFonts w:hint="default"/>
        <w:sz w:val="24"/>
      </w:rPr>
    </w:lvl>
    <w:lvl w:ilvl="2">
      <w:start w:val="1"/>
      <w:numFmt w:val="upperLetter"/>
      <w:pStyle w:val="JuHA"/>
      <w:lvlText w:val="%3."/>
      <w:lvlJc w:val="left"/>
      <w:pPr>
        <w:ind w:left="584" w:hanging="352"/>
      </w:pPr>
      <w:rPr>
        <w:rFonts w:hint="default"/>
      </w:rPr>
    </w:lvl>
    <w:lvl w:ilvl="3">
      <w:start w:val="1"/>
      <w:numFmt w:val="decimal"/>
      <w:pStyle w:val="JuH1"/>
      <w:lvlText w:val="%4."/>
      <w:lvlJc w:val="left"/>
      <w:pPr>
        <w:ind w:left="731" w:hanging="300"/>
      </w:pPr>
      <w:rPr>
        <w:rFonts w:hint="default"/>
      </w:rPr>
    </w:lvl>
    <w:lvl w:ilvl="4">
      <w:start w:val="1"/>
      <w:numFmt w:val="lowerLetter"/>
      <w:pStyle w:val="JuHa0"/>
      <w:lvlText w:val="(%5)"/>
      <w:lvlJc w:val="left"/>
      <w:pPr>
        <w:ind w:left="975" w:hanging="340"/>
      </w:pPr>
      <w:rPr>
        <w:rFonts w:hint="default"/>
      </w:rPr>
    </w:lvl>
    <w:lvl w:ilvl="5">
      <w:start w:val="1"/>
      <w:numFmt w:val="lowerRoman"/>
      <w:pStyle w:val="JuHi"/>
      <w:suff w:val="space"/>
      <w:lvlText w:val="(%6)"/>
      <w:lvlJc w:val="left"/>
      <w:pPr>
        <w:ind w:left="1191" w:hanging="358"/>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372" w:hanging="334"/>
      </w:pPr>
      <w:rPr>
        <w:rFonts w:ascii="Times New Roman" w:hAnsi="Times New Roman" w:hint="default"/>
        <w:sz w:val="20"/>
      </w:rPr>
    </w:lvl>
    <w:lvl w:ilvl="7">
      <w:start w:val="1"/>
      <w:numFmt w:val="bullet"/>
      <w:pStyle w:val="JuH"/>
      <w:lvlText w:val="‒"/>
      <w:lvlJc w:val="left"/>
      <w:pPr>
        <w:ind w:left="1304" w:hanging="68"/>
      </w:pPr>
      <w:rPr>
        <w:rFonts w:ascii="Calibri" w:hAnsi="Calibri" w:hint="default"/>
        <w:color w:val="auto"/>
      </w:rPr>
    </w:lvl>
    <w:lvl w:ilvl="8">
      <w:start w:val="1"/>
      <w:numFmt w:val="bullet"/>
      <w:pStyle w:val="ECHRHeading9"/>
      <w:lvlText w:val="▪"/>
      <w:lvlJc w:val="left"/>
      <w:pPr>
        <w:ind w:left="1644" w:hanging="226"/>
      </w:pPr>
      <w:rPr>
        <w:rFonts w:ascii="Calibri" w:hAnsi="Calibri" w:hint="default"/>
        <w:b w:val="0"/>
        <w:i w:val="0"/>
        <w:color w:val="auto"/>
        <w:sz w:val="18"/>
      </w:rPr>
    </w:lvl>
  </w:abstractNum>
  <w:abstractNum w:abstractNumId="16" w15:restartNumberingAfterBreak="0">
    <w:nsid w:val="67FD1241"/>
    <w:multiLevelType w:val="hybridMultilevel"/>
    <w:tmpl w:val="F6D86CC2"/>
    <w:lvl w:ilvl="0" w:tplc="CF628FBA">
      <w:start w:val="1"/>
      <w:numFmt w:val="bullet"/>
      <w:pStyle w:val="ListBullet"/>
      <w:lvlText w:val=""/>
      <w:lvlJc w:val="left"/>
      <w:pPr>
        <w:tabs>
          <w:tab w:val="num" w:pos="851"/>
        </w:tabs>
        <w:ind w:left="568" w:firstLine="0"/>
      </w:pPr>
      <w:rPr>
        <w:rFonts w:ascii="Wingdings" w:hAnsi="Wingdings" w:hint="default"/>
        <w:color w:val="808080"/>
        <w:sz w:val="16"/>
      </w:rPr>
    </w:lvl>
    <w:lvl w:ilvl="1" w:tplc="51080B70" w:tentative="1">
      <w:start w:val="1"/>
      <w:numFmt w:val="bullet"/>
      <w:lvlText w:val="o"/>
      <w:lvlJc w:val="left"/>
      <w:pPr>
        <w:tabs>
          <w:tab w:val="num" w:pos="1724"/>
        </w:tabs>
        <w:ind w:left="1724" w:hanging="360"/>
      </w:pPr>
      <w:rPr>
        <w:rFonts w:ascii="Courier New" w:hAnsi="Courier New" w:cs="Courier New" w:hint="default"/>
      </w:rPr>
    </w:lvl>
    <w:lvl w:ilvl="2" w:tplc="06CAC2AC" w:tentative="1">
      <w:start w:val="1"/>
      <w:numFmt w:val="bullet"/>
      <w:lvlText w:val=""/>
      <w:lvlJc w:val="left"/>
      <w:pPr>
        <w:tabs>
          <w:tab w:val="num" w:pos="2444"/>
        </w:tabs>
        <w:ind w:left="2444" w:hanging="360"/>
      </w:pPr>
      <w:rPr>
        <w:rFonts w:ascii="Wingdings" w:hAnsi="Wingdings" w:hint="default"/>
      </w:rPr>
    </w:lvl>
    <w:lvl w:ilvl="3" w:tplc="DC3210E6" w:tentative="1">
      <w:start w:val="1"/>
      <w:numFmt w:val="bullet"/>
      <w:lvlText w:val=""/>
      <w:lvlJc w:val="left"/>
      <w:pPr>
        <w:tabs>
          <w:tab w:val="num" w:pos="3164"/>
        </w:tabs>
        <w:ind w:left="3164" w:hanging="360"/>
      </w:pPr>
      <w:rPr>
        <w:rFonts w:ascii="Symbol" w:hAnsi="Symbol" w:hint="default"/>
      </w:rPr>
    </w:lvl>
    <w:lvl w:ilvl="4" w:tplc="89DAFF9C" w:tentative="1">
      <w:start w:val="1"/>
      <w:numFmt w:val="bullet"/>
      <w:lvlText w:val="o"/>
      <w:lvlJc w:val="left"/>
      <w:pPr>
        <w:tabs>
          <w:tab w:val="num" w:pos="3884"/>
        </w:tabs>
        <w:ind w:left="3884" w:hanging="360"/>
      </w:pPr>
      <w:rPr>
        <w:rFonts w:ascii="Courier New" w:hAnsi="Courier New" w:cs="Courier New" w:hint="default"/>
      </w:rPr>
    </w:lvl>
    <w:lvl w:ilvl="5" w:tplc="9F6A44EE" w:tentative="1">
      <w:start w:val="1"/>
      <w:numFmt w:val="bullet"/>
      <w:lvlText w:val=""/>
      <w:lvlJc w:val="left"/>
      <w:pPr>
        <w:tabs>
          <w:tab w:val="num" w:pos="4604"/>
        </w:tabs>
        <w:ind w:left="4604" w:hanging="360"/>
      </w:pPr>
      <w:rPr>
        <w:rFonts w:ascii="Wingdings" w:hAnsi="Wingdings" w:hint="default"/>
      </w:rPr>
    </w:lvl>
    <w:lvl w:ilvl="6" w:tplc="D188EBF2" w:tentative="1">
      <w:start w:val="1"/>
      <w:numFmt w:val="bullet"/>
      <w:lvlText w:val=""/>
      <w:lvlJc w:val="left"/>
      <w:pPr>
        <w:tabs>
          <w:tab w:val="num" w:pos="5324"/>
        </w:tabs>
        <w:ind w:left="5324" w:hanging="360"/>
      </w:pPr>
      <w:rPr>
        <w:rFonts w:ascii="Symbol" w:hAnsi="Symbol" w:hint="default"/>
      </w:rPr>
    </w:lvl>
    <w:lvl w:ilvl="7" w:tplc="4B963160" w:tentative="1">
      <w:start w:val="1"/>
      <w:numFmt w:val="bullet"/>
      <w:lvlText w:val="o"/>
      <w:lvlJc w:val="left"/>
      <w:pPr>
        <w:tabs>
          <w:tab w:val="num" w:pos="6044"/>
        </w:tabs>
        <w:ind w:left="6044" w:hanging="360"/>
      </w:pPr>
      <w:rPr>
        <w:rFonts w:ascii="Courier New" w:hAnsi="Courier New" w:cs="Courier New" w:hint="default"/>
      </w:rPr>
    </w:lvl>
    <w:lvl w:ilvl="8" w:tplc="B580A780" w:tentative="1">
      <w:start w:val="1"/>
      <w:numFmt w:val="bullet"/>
      <w:lvlText w:val=""/>
      <w:lvlJc w:val="left"/>
      <w:pPr>
        <w:tabs>
          <w:tab w:val="num" w:pos="6764"/>
        </w:tabs>
        <w:ind w:left="6764" w:hanging="360"/>
      </w:pPr>
      <w:rPr>
        <w:rFonts w:ascii="Wingdings" w:hAnsi="Wingdings" w:hint="default"/>
      </w:rPr>
    </w:lvl>
  </w:abstractNum>
  <w:abstractNum w:abstractNumId="17" w15:restartNumberingAfterBreak="0">
    <w:nsid w:val="69B170C5"/>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abstractNumId w:val="15"/>
  </w:num>
  <w:num w:numId="2">
    <w:abstractNumId w:val="12"/>
  </w:num>
  <w:num w:numId="3">
    <w:abstractNumId w:val="10"/>
  </w:num>
  <w:num w:numId="4">
    <w:abstractNumId w:val="9"/>
  </w:num>
  <w:num w:numId="5">
    <w:abstractNumId w:val="13"/>
  </w:num>
  <w:num w:numId="6">
    <w:abstractNumId w:val="11"/>
  </w:num>
  <w:num w:numId="7">
    <w:abstractNumId w:val="14"/>
  </w:num>
  <w:num w:numId="8">
    <w:abstractNumId w:val="17"/>
  </w:num>
  <w:num w:numId="9">
    <w:abstractNumId w:val="16"/>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licationsApp" w:val="1"/>
    <w:docVar w:name="EMM" w:val="0"/>
    <w:docVar w:name="NBEMMDOC" w:val="0"/>
  </w:docVars>
  <w:rsids>
    <w:rsidRoot w:val="005C5787"/>
    <w:rsid w:val="0002240D"/>
    <w:rsid w:val="00032B3F"/>
    <w:rsid w:val="000368E5"/>
    <w:rsid w:val="00036F0E"/>
    <w:rsid w:val="000379D2"/>
    <w:rsid w:val="00040839"/>
    <w:rsid w:val="000439A8"/>
    <w:rsid w:val="00044DCE"/>
    <w:rsid w:val="00071322"/>
    <w:rsid w:val="00080570"/>
    <w:rsid w:val="00084D9D"/>
    <w:rsid w:val="00085595"/>
    <w:rsid w:val="000860C5"/>
    <w:rsid w:val="00086455"/>
    <w:rsid w:val="00094C78"/>
    <w:rsid w:val="00097A24"/>
    <w:rsid w:val="000A6DE0"/>
    <w:rsid w:val="000B0876"/>
    <w:rsid w:val="000B30B5"/>
    <w:rsid w:val="000B4149"/>
    <w:rsid w:val="000D0170"/>
    <w:rsid w:val="000E4878"/>
    <w:rsid w:val="000E5745"/>
    <w:rsid w:val="000E7E20"/>
    <w:rsid w:val="000F4D8C"/>
    <w:rsid w:val="00102F10"/>
    <w:rsid w:val="00111DD8"/>
    <w:rsid w:val="00115124"/>
    <w:rsid w:val="0012793D"/>
    <w:rsid w:val="00127FA4"/>
    <w:rsid w:val="00137A15"/>
    <w:rsid w:val="00143AC3"/>
    <w:rsid w:val="00144498"/>
    <w:rsid w:val="00155434"/>
    <w:rsid w:val="00156729"/>
    <w:rsid w:val="00163A8B"/>
    <w:rsid w:val="00163F37"/>
    <w:rsid w:val="0018581C"/>
    <w:rsid w:val="00197918"/>
    <w:rsid w:val="001A52F9"/>
    <w:rsid w:val="001B1866"/>
    <w:rsid w:val="001B4128"/>
    <w:rsid w:val="001B6FA4"/>
    <w:rsid w:val="001B7C19"/>
    <w:rsid w:val="001D4105"/>
    <w:rsid w:val="001E7F0E"/>
    <w:rsid w:val="002205C1"/>
    <w:rsid w:val="00220DC9"/>
    <w:rsid w:val="00242027"/>
    <w:rsid w:val="00247DA9"/>
    <w:rsid w:val="00251258"/>
    <w:rsid w:val="002578A6"/>
    <w:rsid w:val="00263F0F"/>
    <w:rsid w:val="00264BC6"/>
    <w:rsid w:val="00272F4A"/>
    <w:rsid w:val="00273B0B"/>
    <w:rsid w:val="00282E9B"/>
    <w:rsid w:val="002B3637"/>
    <w:rsid w:val="002B47DD"/>
    <w:rsid w:val="002D4401"/>
    <w:rsid w:val="002E0012"/>
    <w:rsid w:val="002F1242"/>
    <w:rsid w:val="002F6BF7"/>
    <w:rsid w:val="00300EEF"/>
    <w:rsid w:val="00303E68"/>
    <w:rsid w:val="0030406C"/>
    <w:rsid w:val="00311FAA"/>
    <w:rsid w:val="003134FF"/>
    <w:rsid w:val="00314987"/>
    <w:rsid w:val="0033089C"/>
    <w:rsid w:val="003332A1"/>
    <w:rsid w:val="00334BFD"/>
    <w:rsid w:val="0034405D"/>
    <w:rsid w:val="003605B2"/>
    <w:rsid w:val="003614D2"/>
    <w:rsid w:val="00383C4B"/>
    <w:rsid w:val="00385DC2"/>
    <w:rsid w:val="00394FDB"/>
    <w:rsid w:val="00396063"/>
    <w:rsid w:val="003B610E"/>
    <w:rsid w:val="003C0D1F"/>
    <w:rsid w:val="003C0D27"/>
    <w:rsid w:val="003C7CF1"/>
    <w:rsid w:val="003D0358"/>
    <w:rsid w:val="003D6E55"/>
    <w:rsid w:val="003E5333"/>
    <w:rsid w:val="00402604"/>
    <w:rsid w:val="00402A35"/>
    <w:rsid w:val="004104A8"/>
    <w:rsid w:val="00413423"/>
    <w:rsid w:val="00432ADC"/>
    <w:rsid w:val="0043351C"/>
    <w:rsid w:val="00441A20"/>
    <w:rsid w:val="004427B7"/>
    <w:rsid w:val="004441EE"/>
    <w:rsid w:val="00444B3F"/>
    <w:rsid w:val="004576D3"/>
    <w:rsid w:val="00466E16"/>
    <w:rsid w:val="00470A61"/>
    <w:rsid w:val="00475200"/>
    <w:rsid w:val="00491265"/>
    <w:rsid w:val="004B4B99"/>
    <w:rsid w:val="004B4FFF"/>
    <w:rsid w:val="004B59EA"/>
    <w:rsid w:val="004D12D7"/>
    <w:rsid w:val="004D533E"/>
    <w:rsid w:val="004D5EFD"/>
    <w:rsid w:val="004E576D"/>
    <w:rsid w:val="004F7588"/>
    <w:rsid w:val="00501F43"/>
    <w:rsid w:val="00524BBB"/>
    <w:rsid w:val="00527520"/>
    <w:rsid w:val="00540697"/>
    <w:rsid w:val="00547158"/>
    <w:rsid w:val="0055090B"/>
    <w:rsid w:val="00554288"/>
    <w:rsid w:val="0056289C"/>
    <w:rsid w:val="00564644"/>
    <w:rsid w:val="00566838"/>
    <w:rsid w:val="00574CE6"/>
    <w:rsid w:val="0058386E"/>
    <w:rsid w:val="005908B5"/>
    <w:rsid w:val="00593E3E"/>
    <w:rsid w:val="00594C5B"/>
    <w:rsid w:val="005967CC"/>
    <w:rsid w:val="005A0856"/>
    <w:rsid w:val="005A10B9"/>
    <w:rsid w:val="005A1D53"/>
    <w:rsid w:val="005A3607"/>
    <w:rsid w:val="005A36AD"/>
    <w:rsid w:val="005A56CA"/>
    <w:rsid w:val="005C28DE"/>
    <w:rsid w:val="005C5787"/>
    <w:rsid w:val="005C5F8C"/>
    <w:rsid w:val="005C7A07"/>
    <w:rsid w:val="005E71F9"/>
    <w:rsid w:val="005E7EEC"/>
    <w:rsid w:val="005F42B5"/>
    <w:rsid w:val="005F5440"/>
    <w:rsid w:val="005F5707"/>
    <w:rsid w:val="00602AED"/>
    <w:rsid w:val="006109D8"/>
    <w:rsid w:val="0061345B"/>
    <w:rsid w:val="0062044D"/>
    <w:rsid w:val="00624112"/>
    <w:rsid w:val="0062522D"/>
    <w:rsid w:val="00651D01"/>
    <w:rsid w:val="00652098"/>
    <w:rsid w:val="0066295B"/>
    <w:rsid w:val="00666199"/>
    <w:rsid w:val="00685F44"/>
    <w:rsid w:val="00691E30"/>
    <w:rsid w:val="00692418"/>
    <w:rsid w:val="006A5AC8"/>
    <w:rsid w:val="006D064E"/>
    <w:rsid w:val="006D265B"/>
    <w:rsid w:val="006F2271"/>
    <w:rsid w:val="006F70B2"/>
    <w:rsid w:val="00707AE7"/>
    <w:rsid w:val="007153BC"/>
    <w:rsid w:val="007177D8"/>
    <w:rsid w:val="0073006D"/>
    <w:rsid w:val="007414F9"/>
    <w:rsid w:val="007433DC"/>
    <w:rsid w:val="007514DB"/>
    <w:rsid w:val="0075232F"/>
    <w:rsid w:val="00757A84"/>
    <w:rsid w:val="00757F3D"/>
    <w:rsid w:val="007725DF"/>
    <w:rsid w:val="007753D5"/>
    <w:rsid w:val="007C2058"/>
    <w:rsid w:val="007C2285"/>
    <w:rsid w:val="007C413E"/>
    <w:rsid w:val="007D6281"/>
    <w:rsid w:val="007D714E"/>
    <w:rsid w:val="00801F57"/>
    <w:rsid w:val="00805146"/>
    <w:rsid w:val="0080688D"/>
    <w:rsid w:val="00814F1A"/>
    <w:rsid w:val="0081645B"/>
    <w:rsid w:val="00821E60"/>
    <w:rsid w:val="00826AB5"/>
    <w:rsid w:val="0082749A"/>
    <w:rsid w:val="00853838"/>
    <w:rsid w:val="00876626"/>
    <w:rsid w:val="00880D6F"/>
    <w:rsid w:val="008A3FFE"/>
    <w:rsid w:val="008C3FF5"/>
    <w:rsid w:val="008E0D5E"/>
    <w:rsid w:val="008E35CF"/>
    <w:rsid w:val="00905F03"/>
    <w:rsid w:val="00914C1C"/>
    <w:rsid w:val="00931CB3"/>
    <w:rsid w:val="009331A6"/>
    <w:rsid w:val="00936B4C"/>
    <w:rsid w:val="00955EA9"/>
    <w:rsid w:val="0097270D"/>
    <w:rsid w:val="0097603F"/>
    <w:rsid w:val="009A135D"/>
    <w:rsid w:val="009B32B3"/>
    <w:rsid w:val="009B4307"/>
    <w:rsid w:val="009C24E7"/>
    <w:rsid w:val="009C763C"/>
    <w:rsid w:val="009C7AFD"/>
    <w:rsid w:val="00A05C87"/>
    <w:rsid w:val="00A10E36"/>
    <w:rsid w:val="00A14EBF"/>
    <w:rsid w:val="00A15E06"/>
    <w:rsid w:val="00A44A35"/>
    <w:rsid w:val="00A66483"/>
    <w:rsid w:val="00A66D63"/>
    <w:rsid w:val="00A7698D"/>
    <w:rsid w:val="00A76EC6"/>
    <w:rsid w:val="00A8429B"/>
    <w:rsid w:val="00AB1EFF"/>
    <w:rsid w:val="00AB4386"/>
    <w:rsid w:val="00AB443C"/>
    <w:rsid w:val="00AC709E"/>
    <w:rsid w:val="00B05DA4"/>
    <w:rsid w:val="00B063C5"/>
    <w:rsid w:val="00B20091"/>
    <w:rsid w:val="00B23250"/>
    <w:rsid w:val="00B24846"/>
    <w:rsid w:val="00B619F3"/>
    <w:rsid w:val="00B625E5"/>
    <w:rsid w:val="00B7330A"/>
    <w:rsid w:val="00B91313"/>
    <w:rsid w:val="00B931C3"/>
    <w:rsid w:val="00BA3802"/>
    <w:rsid w:val="00BA65D7"/>
    <w:rsid w:val="00BB54EB"/>
    <w:rsid w:val="00BD377E"/>
    <w:rsid w:val="00BD56A4"/>
    <w:rsid w:val="00BE206C"/>
    <w:rsid w:val="00C078F9"/>
    <w:rsid w:val="00C171E0"/>
    <w:rsid w:val="00C205D6"/>
    <w:rsid w:val="00C24850"/>
    <w:rsid w:val="00C40AAA"/>
    <w:rsid w:val="00C455A6"/>
    <w:rsid w:val="00C50CBB"/>
    <w:rsid w:val="00C5743B"/>
    <w:rsid w:val="00C65714"/>
    <w:rsid w:val="00C679EA"/>
    <w:rsid w:val="00C67B8C"/>
    <w:rsid w:val="00C71778"/>
    <w:rsid w:val="00C77BA0"/>
    <w:rsid w:val="00C87654"/>
    <w:rsid w:val="00CB55C6"/>
    <w:rsid w:val="00CB67F4"/>
    <w:rsid w:val="00CD345F"/>
    <w:rsid w:val="00CD4CB8"/>
    <w:rsid w:val="00CE02BD"/>
    <w:rsid w:val="00CF0300"/>
    <w:rsid w:val="00D0623B"/>
    <w:rsid w:val="00D0715F"/>
    <w:rsid w:val="00D15EC4"/>
    <w:rsid w:val="00D201AA"/>
    <w:rsid w:val="00D21E46"/>
    <w:rsid w:val="00D249CC"/>
    <w:rsid w:val="00D25097"/>
    <w:rsid w:val="00D264E3"/>
    <w:rsid w:val="00D334EB"/>
    <w:rsid w:val="00D33F96"/>
    <w:rsid w:val="00D51959"/>
    <w:rsid w:val="00D61679"/>
    <w:rsid w:val="00D719DA"/>
    <w:rsid w:val="00D76DCE"/>
    <w:rsid w:val="00D81247"/>
    <w:rsid w:val="00D833A0"/>
    <w:rsid w:val="00D923B9"/>
    <w:rsid w:val="00D945A7"/>
    <w:rsid w:val="00DA4959"/>
    <w:rsid w:val="00DA4DC7"/>
    <w:rsid w:val="00DA513F"/>
    <w:rsid w:val="00DA5F7D"/>
    <w:rsid w:val="00DA6021"/>
    <w:rsid w:val="00DA6BAB"/>
    <w:rsid w:val="00DB5A65"/>
    <w:rsid w:val="00DB7C73"/>
    <w:rsid w:val="00DF321E"/>
    <w:rsid w:val="00DF71F3"/>
    <w:rsid w:val="00DF77FF"/>
    <w:rsid w:val="00E0541C"/>
    <w:rsid w:val="00E07785"/>
    <w:rsid w:val="00E102E8"/>
    <w:rsid w:val="00E110AA"/>
    <w:rsid w:val="00E15198"/>
    <w:rsid w:val="00E23731"/>
    <w:rsid w:val="00E31EA8"/>
    <w:rsid w:val="00E34394"/>
    <w:rsid w:val="00E416FF"/>
    <w:rsid w:val="00E42CD3"/>
    <w:rsid w:val="00E45CFE"/>
    <w:rsid w:val="00E507B0"/>
    <w:rsid w:val="00E56BDF"/>
    <w:rsid w:val="00E57F90"/>
    <w:rsid w:val="00E6499B"/>
    <w:rsid w:val="00E731FA"/>
    <w:rsid w:val="00E7457B"/>
    <w:rsid w:val="00E748D0"/>
    <w:rsid w:val="00E7646D"/>
    <w:rsid w:val="00E7769E"/>
    <w:rsid w:val="00E82B5E"/>
    <w:rsid w:val="00E82C2A"/>
    <w:rsid w:val="00E96D78"/>
    <w:rsid w:val="00EC74D4"/>
    <w:rsid w:val="00ED1146"/>
    <w:rsid w:val="00ED47E1"/>
    <w:rsid w:val="00ED5B97"/>
    <w:rsid w:val="00EE31D5"/>
    <w:rsid w:val="00F1297B"/>
    <w:rsid w:val="00F23067"/>
    <w:rsid w:val="00F26818"/>
    <w:rsid w:val="00F377DD"/>
    <w:rsid w:val="00F3796E"/>
    <w:rsid w:val="00F50CFD"/>
    <w:rsid w:val="00F629BE"/>
    <w:rsid w:val="00F64A41"/>
    <w:rsid w:val="00F716F6"/>
    <w:rsid w:val="00F77B76"/>
    <w:rsid w:val="00F85639"/>
    <w:rsid w:val="00F9257B"/>
    <w:rsid w:val="00F97D78"/>
    <w:rsid w:val="00FA4455"/>
    <w:rsid w:val="00FB726F"/>
    <w:rsid w:val="00FC4B77"/>
    <w:rsid w:val="00FD10E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4562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8" w:defSemiHidden="0" w:defUnhideWhenUsed="0" w:defQFormat="0" w:count="371">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59"/>
    <w:lsdException w:name="Table Theme" w:semiHidden="1" w:uiPriority="99"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rsid w:val="00B20091"/>
    <w:rPr>
      <w:rFonts w:eastAsiaTheme="minorEastAsia"/>
      <w:sz w:val="24"/>
      <w:lang w:val="en-GB"/>
    </w:rPr>
  </w:style>
  <w:style w:type="paragraph" w:styleId="Heading1">
    <w:name w:val="heading 1"/>
    <w:basedOn w:val="Normal"/>
    <w:next w:val="Normal"/>
    <w:link w:val="Heading1Char"/>
    <w:uiPriority w:val="98"/>
    <w:semiHidden/>
    <w:rsid w:val="00B20091"/>
    <w:pPr>
      <w:numPr>
        <w:numId w:val="8"/>
      </w:num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B20091"/>
    <w:pPr>
      <w:numPr>
        <w:ilvl w:val="1"/>
        <w:numId w:val="8"/>
      </w:num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B20091"/>
    <w:pPr>
      <w:numPr>
        <w:ilvl w:val="2"/>
        <w:numId w:val="8"/>
      </w:numPr>
      <w:spacing w:before="200" w:line="271" w:lineRule="auto"/>
      <w:outlineLvl w:val="2"/>
    </w:pPr>
    <w:rPr>
      <w:rFonts w:asciiTheme="majorHAnsi" w:eastAsiaTheme="majorEastAsia" w:hAnsiTheme="majorHAnsi" w:cstheme="majorBidi"/>
      <w:b/>
      <w:bCs/>
      <w:color w:val="5F5F5F"/>
    </w:rPr>
  </w:style>
  <w:style w:type="paragraph" w:styleId="Heading4">
    <w:name w:val="heading 4"/>
    <w:basedOn w:val="Normal"/>
    <w:next w:val="Normal"/>
    <w:link w:val="Heading4Char"/>
    <w:uiPriority w:val="98"/>
    <w:semiHidden/>
    <w:rsid w:val="00B20091"/>
    <w:pPr>
      <w:numPr>
        <w:ilvl w:val="3"/>
        <w:numId w:val="8"/>
      </w:numPr>
      <w:spacing w:before="200"/>
      <w:outlineLvl w:val="3"/>
    </w:pPr>
    <w:rPr>
      <w:rFonts w:asciiTheme="majorHAnsi" w:eastAsiaTheme="majorEastAsia" w:hAnsiTheme="majorHAnsi" w:cstheme="majorBidi"/>
      <w:b/>
      <w:bCs/>
      <w:i/>
      <w:iCs/>
      <w:color w:val="777777"/>
    </w:rPr>
  </w:style>
  <w:style w:type="paragraph" w:styleId="Heading5">
    <w:name w:val="heading 5"/>
    <w:basedOn w:val="Normal"/>
    <w:next w:val="Normal"/>
    <w:link w:val="Heading5Char"/>
    <w:uiPriority w:val="98"/>
    <w:semiHidden/>
    <w:qFormat/>
    <w:rsid w:val="00B20091"/>
    <w:pPr>
      <w:numPr>
        <w:ilvl w:val="4"/>
        <w:numId w:val="8"/>
      </w:numPr>
      <w:spacing w:before="200"/>
      <w:outlineLvl w:val="4"/>
    </w:pPr>
    <w:rPr>
      <w:rFonts w:asciiTheme="majorHAnsi" w:eastAsiaTheme="majorEastAsia" w:hAnsiTheme="majorHAnsi" w:cstheme="majorBidi"/>
      <w:b/>
      <w:bCs/>
      <w:color w:val="808080"/>
    </w:rPr>
  </w:style>
  <w:style w:type="paragraph" w:styleId="Heading6">
    <w:name w:val="heading 6"/>
    <w:basedOn w:val="Normal"/>
    <w:next w:val="Normal"/>
    <w:link w:val="Heading6Char"/>
    <w:uiPriority w:val="98"/>
    <w:semiHidden/>
    <w:rsid w:val="00B20091"/>
    <w:pPr>
      <w:numPr>
        <w:ilvl w:val="5"/>
        <w:numId w:val="8"/>
      </w:numPr>
      <w:spacing w:line="271" w:lineRule="auto"/>
      <w:outlineLvl w:val="5"/>
    </w:pPr>
    <w:rPr>
      <w:rFonts w:asciiTheme="majorHAnsi" w:eastAsiaTheme="majorEastAsia" w:hAnsiTheme="majorHAnsi" w:cstheme="majorBidi"/>
      <w:b/>
      <w:bCs/>
      <w:i/>
      <w:iCs/>
      <w:color w:val="7F7F7F" w:themeColor="text1" w:themeTint="80"/>
      <w:lang w:bidi="en-US"/>
    </w:rPr>
  </w:style>
  <w:style w:type="paragraph" w:styleId="Heading7">
    <w:name w:val="heading 7"/>
    <w:basedOn w:val="Normal"/>
    <w:next w:val="Normal"/>
    <w:link w:val="Heading7Char"/>
    <w:uiPriority w:val="98"/>
    <w:semiHidden/>
    <w:qFormat/>
    <w:rsid w:val="00B20091"/>
    <w:pPr>
      <w:numPr>
        <w:ilvl w:val="6"/>
        <w:numId w:val="8"/>
      </w:numPr>
      <w:outlineLvl w:val="6"/>
    </w:pPr>
    <w:rPr>
      <w:rFonts w:asciiTheme="majorHAnsi" w:eastAsiaTheme="majorEastAsia" w:hAnsiTheme="majorHAnsi" w:cstheme="majorBidi"/>
      <w:i/>
      <w:iCs/>
      <w:lang w:bidi="en-US"/>
    </w:rPr>
  </w:style>
  <w:style w:type="paragraph" w:styleId="Heading8">
    <w:name w:val="heading 8"/>
    <w:basedOn w:val="Normal"/>
    <w:next w:val="Normal"/>
    <w:link w:val="Heading8Char"/>
    <w:uiPriority w:val="98"/>
    <w:semiHidden/>
    <w:qFormat/>
    <w:rsid w:val="00B20091"/>
    <w:pPr>
      <w:numPr>
        <w:ilvl w:val="7"/>
        <w:numId w:val="8"/>
      </w:num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B20091"/>
    <w:pPr>
      <w:numPr>
        <w:ilvl w:val="8"/>
        <w:numId w:val="8"/>
      </w:num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8"/>
    <w:semiHidden/>
    <w:rsid w:val="00B20091"/>
    <w:rPr>
      <w:rFonts w:ascii="Tahoma" w:hAnsi="Tahoma" w:cs="Tahoma"/>
      <w:sz w:val="16"/>
      <w:szCs w:val="16"/>
    </w:rPr>
  </w:style>
  <w:style w:type="character" w:customStyle="1" w:styleId="BalloonTextChar">
    <w:name w:val="Balloon Text Char"/>
    <w:basedOn w:val="DefaultParagraphFont"/>
    <w:link w:val="BalloonText"/>
    <w:uiPriority w:val="98"/>
    <w:semiHidden/>
    <w:rsid w:val="00B20091"/>
    <w:rPr>
      <w:rFonts w:ascii="Tahoma" w:eastAsiaTheme="minorEastAsia" w:hAnsi="Tahoma" w:cs="Tahoma"/>
      <w:sz w:val="16"/>
      <w:szCs w:val="16"/>
      <w:lang w:val="en-GB"/>
    </w:rPr>
  </w:style>
  <w:style w:type="character" w:styleId="BookTitle">
    <w:name w:val="Book Title"/>
    <w:uiPriority w:val="98"/>
    <w:semiHidden/>
    <w:qFormat/>
    <w:rsid w:val="00B20091"/>
    <w:rPr>
      <w:i/>
      <w:iCs/>
      <w:smallCaps/>
      <w:spacing w:val="5"/>
    </w:rPr>
  </w:style>
  <w:style w:type="paragraph" w:customStyle="1" w:styleId="JuHeader">
    <w:name w:val="Ju_Header"/>
    <w:aliases w:val="_Header"/>
    <w:basedOn w:val="Header"/>
    <w:uiPriority w:val="29"/>
    <w:qFormat/>
    <w:rsid w:val="00B20091"/>
    <w:pPr>
      <w:tabs>
        <w:tab w:val="clear" w:pos="4536"/>
        <w:tab w:val="clear" w:pos="9072"/>
        <w:tab w:val="center" w:pos="3686"/>
        <w:tab w:val="right" w:pos="7371"/>
      </w:tabs>
    </w:pPr>
    <w:rPr>
      <w:sz w:val="18"/>
    </w:rPr>
  </w:style>
  <w:style w:type="paragraph" w:customStyle="1" w:styleId="NormalJustified">
    <w:name w:val="Normal_Justified"/>
    <w:basedOn w:val="Normal"/>
    <w:semiHidden/>
    <w:rsid w:val="00B20091"/>
    <w:pPr>
      <w:jc w:val="both"/>
    </w:pPr>
  </w:style>
  <w:style w:type="character" w:styleId="Strong">
    <w:name w:val="Strong"/>
    <w:uiPriority w:val="98"/>
    <w:semiHidden/>
    <w:qFormat/>
    <w:rsid w:val="00B20091"/>
    <w:rPr>
      <w:b/>
      <w:bCs/>
    </w:rPr>
  </w:style>
  <w:style w:type="paragraph" w:styleId="NoSpacing">
    <w:name w:val="No Spacing"/>
    <w:basedOn w:val="Normal"/>
    <w:link w:val="NoSpacingChar"/>
    <w:uiPriority w:val="98"/>
    <w:semiHidden/>
    <w:qFormat/>
    <w:rsid w:val="00B20091"/>
  </w:style>
  <w:style w:type="character" w:customStyle="1" w:styleId="NoSpacingChar">
    <w:name w:val="No Spacing Char"/>
    <w:basedOn w:val="DefaultParagraphFont"/>
    <w:link w:val="NoSpacing"/>
    <w:uiPriority w:val="98"/>
    <w:semiHidden/>
    <w:rsid w:val="00B20091"/>
    <w:rPr>
      <w:rFonts w:eastAsiaTheme="minorEastAsia"/>
      <w:sz w:val="24"/>
      <w:lang w:val="en-GB"/>
    </w:rPr>
  </w:style>
  <w:style w:type="paragraph" w:customStyle="1" w:styleId="JuQuot">
    <w:name w:val="Ju_Quot"/>
    <w:aliases w:val="_Quote,ECHR_Para_Quote"/>
    <w:basedOn w:val="NormalJustified"/>
    <w:uiPriority w:val="14"/>
    <w:qFormat/>
    <w:rsid w:val="00B20091"/>
    <w:pPr>
      <w:spacing w:before="120" w:after="120"/>
      <w:ind w:left="425" w:firstLine="142"/>
    </w:pPr>
    <w:rPr>
      <w:sz w:val="20"/>
    </w:rPr>
  </w:style>
  <w:style w:type="paragraph" w:customStyle="1" w:styleId="ECHRBullet1">
    <w:name w:val="ECHR_Bullet_1"/>
    <w:aliases w:val="_Bul_1"/>
    <w:basedOn w:val="NormalJustified"/>
    <w:uiPriority w:val="23"/>
    <w:semiHidden/>
    <w:qFormat/>
    <w:rsid w:val="00B20091"/>
    <w:pPr>
      <w:numPr>
        <w:numId w:val="5"/>
      </w:numPr>
      <w:spacing w:before="60" w:after="60"/>
    </w:pPr>
    <w:rPr>
      <w:sz w:val="22"/>
    </w:rPr>
  </w:style>
  <w:style w:type="paragraph" w:customStyle="1" w:styleId="ECHRBullet2">
    <w:name w:val="ECHR_Bullet_2"/>
    <w:aliases w:val="_Bul_2"/>
    <w:basedOn w:val="ECHRBullet1"/>
    <w:uiPriority w:val="23"/>
    <w:semiHidden/>
    <w:rsid w:val="00B20091"/>
    <w:pPr>
      <w:numPr>
        <w:ilvl w:val="1"/>
      </w:numPr>
    </w:pPr>
  </w:style>
  <w:style w:type="paragraph" w:customStyle="1" w:styleId="ECHRBullet3">
    <w:name w:val="ECHR_Bullet_3"/>
    <w:aliases w:val="_Bul_3"/>
    <w:basedOn w:val="ECHRBullet2"/>
    <w:uiPriority w:val="23"/>
    <w:semiHidden/>
    <w:rsid w:val="00B20091"/>
    <w:pPr>
      <w:numPr>
        <w:ilvl w:val="2"/>
      </w:numPr>
    </w:pPr>
  </w:style>
  <w:style w:type="paragraph" w:customStyle="1" w:styleId="ECHRBullet4">
    <w:name w:val="ECHR_Bullet_4"/>
    <w:aliases w:val="_Bul_4"/>
    <w:basedOn w:val="ECHRBullet3"/>
    <w:uiPriority w:val="23"/>
    <w:semiHidden/>
    <w:rsid w:val="00B20091"/>
    <w:pPr>
      <w:numPr>
        <w:ilvl w:val="3"/>
      </w:numPr>
    </w:pPr>
  </w:style>
  <w:style w:type="paragraph" w:customStyle="1" w:styleId="JuHArticle">
    <w:name w:val="Ju_H_Article"/>
    <w:aliases w:val="_Title_Quote"/>
    <w:basedOn w:val="Normal"/>
    <w:next w:val="JuQuot"/>
    <w:uiPriority w:val="19"/>
    <w:qFormat/>
    <w:rsid w:val="00B20091"/>
    <w:pPr>
      <w:keepNext/>
      <w:spacing w:before="100" w:beforeAutospacing="1" w:after="120"/>
      <w:contextualSpacing/>
      <w:jc w:val="center"/>
    </w:pPr>
    <w:rPr>
      <w:rFonts w:eastAsiaTheme="minorHAnsi"/>
      <w:b/>
      <w:sz w:val="20"/>
    </w:rPr>
  </w:style>
  <w:style w:type="paragraph" w:customStyle="1" w:styleId="ECHRConfidential">
    <w:name w:val="ECHR_Confidential"/>
    <w:aliases w:val="_Confidential"/>
    <w:basedOn w:val="Normal"/>
    <w:next w:val="Normal"/>
    <w:uiPriority w:val="42"/>
    <w:semiHidden/>
    <w:qFormat/>
    <w:rsid w:val="00B20091"/>
    <w:pPr>
      <w:jc w:val="right"/>
    </w:pPr>
    <w:rPr>
      <w:rFonts w:eastAsiaTheme="minorHAnsi"/>
      <w:color w:val="C00000"/>
      <w:sz w:val="20"/>
    </w:rPr>
  </w:style>
  <w:style w:type="paragraph" w:customStyle="1" w:styleId="ECHRDivisionName">
    <w:name w:val="ECHR_DivisionName"/>
    <w:aliases w:val="_Div_Name"/>
    <w:basedOn w:val="Normal"/>
    <w:link w:val="ECHRDivisionNameChar"/>
    <w:uiPriority w:val="41"/>
    <w:semiHidden/>
    <w:qFormat/>
    <w:rsid w:val="00B20091"/>
    <w:pPr>
      <w:contextualSpacing/>
      <w:jc w:val="center"/>
    </w:pPr>
    <w:rPr>
      <w:rFonts w:ascii="Arial" w:eastAsiaTheme="minorHAnsi" w:hAnsi="Arial"/>
      <w:i/>
      <w:color w:val="0072BC" w:themeColor="accent1"/>
      <w:sz w:val="32"/>
    </w:rPr>
  </w:style>
  <w:style w:type="paragraph" w:customStyle="1" w:styleId="JuHHead">
    <w:name w:val="Ju_H_Head"/>
    <w:aliases w:val="_Head_1"/>
    <w:basedOn w:val="Normal"/>
    <w:next w:val="JuPara"/>
    <w:uiPriority w:val="17"/>
    <w:qFormat/>
    <w:rsid w:val="00B20091"/>
    <w:pPr>
      <w:keepNext/>
      <w:keepLines/>
      <w:numPr>
        <w:numId w:val="1"/>
      </w:numPr>
      <w:spacing w:before="100" w:beforeAutospacing="1" w:after="240"/>
      <w:jc w:val="both"/>
      <w:outlineLvl w:val="0"/>
    </w:pPr>
    <w:rPr>
      <w:caps/>
      <w:sz w:val="28"/>
    </w:rPr>
  </w:style>
  <w:style w:type="paragraph" w:customStyle="1" w:styleId="JuInitialled">
    <w:name w:val="Ju_Initialled"/>
    <w:aliases w:val="_Right"/>
    <w:basedOn w:val="Normal"/>
    <w:uiPriority w:val="31"/>
    <w:qFormat/>
    <w:rsid w:val="00B20091"/>
    <w:pPr>
      <w:tabs>
        <w:tab w:val="center" w:pos="6407"/>
      </w:tabs>
      <w:spacing w:before="720"/>
      <w:jc w:val="right"/>
    </w:pPr>
  </w:style>
  <w:style w:type="paragraph" w:customStyle="1" w:styleId="JuSigned">
    <w:name w:val="Ju_Signed"/>
    <w:aliases w:val="_Signature"/>
    <w:basedOn w:val="Normal"/>
    <w:next w:val="JuPara"/>
    <w:uiPriority w:val="31"/>
    <w:qFormat/>
    <w:rsid w:val="00B20091"/>
    <w:pPr>
      <w:tabs>
        <w:tab w:val="center" w:pos="851"/>
        <w:tab w:val="center" w:pos="6407"/>
      </w:tabs>
      <w:spacing w:before="720"/>
    </w:pPr>
  </w:style>
  <w:style w:type="paragraph" w:styleId="Title">
    <w:name w:val="Title"/>
    <w:basedOn w:val="Normal"/>
    <w:next w:val="Normal"/>
    <w:link w:val="TitleChar"/>
    <w:uiPriority w:val="98"/>
    <w:semiHidden/>
    <w:qFormat/>
    <w:rsid w:val="00B20091"/>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semiHidden/>
    <w:rsid w:val="00B20091"/>
    <w:rPr>
      <w:rFonts w:asciiTheme="majorHAnsi" w:eastAsiaTheme="majorEastAsia" w:hAnsiTheme="majorHAnsi" w:cstheme="majorBidi"/>
      <w:spacing w:val="5"/>
      <w:sz w:val="52"/>
      <w:szCs w:val="52"/>
      <w:lang w:val="en-GB" w:bidi="en-US"/>
    </w:rPr>
  </w:style>
  <w:style w:type="character" w:customStyle="1" w:styleId="ECHRDivisionNameChar">
    <w:name w:val="ECHR_DivisionName Char"/>
    <w:aliases w:val="_Div_Name Char"/>
    <w:basedOn w:val="DefaultParagraphFont"/>
    <w:link w:val="ECHRDivisionName"/>
    <w:uiPriority w:val="41"/>
    <w:semiHidden/>
    <w:rsid w:val="00B20091"/>
    <w:rPr>
      <w:rFonts w:ascii="Arial" w:hAnsi="Arial"/>
      <w:i/>
      <w:color w:val="0072BC" w:themeColor="accent1"/>
      <w:sz w:val="32"/>
      <w:lang w:val="en-GB"/>
    </w:rPr>
  </w:style>
  <w:style w:type="character" w:customStyle="1" w:styleId="JUNAMES">
    <w:name w:val="JU_NAMES"/>
    <w:aliases w:val="_Ju_Names"/>
    <w:uiPriority w:val="33"/>
    <w:qFormat/>
    <w:rsid w:val="00B20091"/>
    <w:rPr>
      <w:caps w:val="0"/>
      <w:smallCaps/>
    </w:rPr>
  </w:style>
  <w:style w:type="character" w:customStyle="1" w:styleId="JuITMark">
    <w:name w:val="Ju_ITMark"/>
    <w:aliases w:val="_ITMark"/>
    <w:basedOn w:val="DefaultParagraphFont"/>
    <w:uiPriority w:val="43"/>
    <w:qFormat/>
    <w:rsid w:val="00B20091"/>
    <w:rPr>
      <w:vanish w:val="0"/>
      <w:color w:val="auto"/>
      <w:sz w:val="14"/>
      <w:bdr w:val="none" w:sz="0" w:space="0" w:color="auto"/>
      <w:shd w:val="clear" w:color="auto" w:fill="BEE5FF" w:themeFill="background1" w:themeFillTint="33"/>
    </w:rPr>
  </w:style>
  <w:style w:type="paragraph" w:customStyle="1" w:styleId="DummyStyle">
    <w:name w:val="Dummy_Style"/>
    <w:aliases w:val="_Dummy"/>
    <w:basedOn w:val="Normal"/>
    <w:semiHidden/>
    <w:qFormat/>
    <w:rsid w:val="00B20091"/>
    <w:rPr>
      <w:rFonts w:eastAsiaTheme="minorHAnsi"/>
      <w:color w:val="00B050"/>
      <w:sz w:val="22"/>
    </w:rPr>
  </w:style>
  <w:style w:type="paragraph" w:customStyle="1" w:styleId="JuCourt">
    <w:name w:val="Ju_Court"/>
    <w:aliases w:val="_Court_Names"/>
    <w:basedOn w:val="Normal"/>
    <w:next w:val="Normal"/>
    <w:uiPriority w:val="32"/>
    <w:qFormat/>
    <w:rsid w:val="00B20091"/>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Normal"/>
    <w:next w:val="JuPara"/>
    <w:uiPriority w:val="17"/>
    <w:qFormat/>
    <w:rsid w:val="00B20091"/>
    <w:pPr>
      <w:keepNext/>
      <w:keepLines/>
      <w:numPr>
        <w:ilvl w:val="1"/>
        <w:numId w:val="1"/>
      </w:numPr>
      <w:spacing w:before="100" w:beforeAutospacing="1" w:after="240"/>
      <w:jc w:val="both"/>
      <w:outlineLvl w:val="1"/>
    </w:pPr>
    <w:rPr>
      <w:caps/>
    </w:rPr>
  </w:style>
  <w:style w:type="paragraph" w:customStyle="1" w:styleId="JuHA">
    <w:name w:val="Ju_H_A"/>
    <w:aliases w:val="_Head_3"/>
    <w:basedOn w:val="Normal"/>
    <w:next w:val="JuPara"/>
    <w:uiPriority w:val="17"/>
    <w:qFormat/>
    <w:rsid w:val="00B20091"/>
    <w:pPr>
      <w:keepNext/>
      <w:keepLines/>
      <w:numPr>
        <w:ilvl w:val="2"/>
        <w:numId w:val="1"/>
      </w:numPr>
      <w:spacing w:before="100" w:beforeAutospacing="1" w:after="240"/>
      <w:jc w:val="both"/>
      <w:outlineLvl w:val="2"/>
    </w:pPr>
    <w:rPr>
      <w:b/>
    </w:rPr>
  </w:style>
  <w:style w:type="paragraph" w:customStyle="1" w:styleId="JuH1">
    <w:name w:val="Ju_H_1."/>
    <w:aliases w:val="_Head_4"/>
    <w:basedOn w:val="Normal"/>
    <w:next w:val="JuPara"/>
    <w:uiPriority w:val="17"/>
    <w:rsid w:val="00B20091"/>
    <w:pPr>
      <w:keepNext/>
      <w:keepLines/>
      <w:numPr>
        <w:ilvl w:val="3"/>
        <w:numId w:val="1"/>
      </w:numPr>
      <w:spacing w:before="100" w:beforeAutospacing="1" w:after="120"/>
      <w:jc w:val="both"/>
      <w:outlineLvl w:val="3"/>
    </w:pPr>
    <w:rPr>
      <w:i/>
    </w:rPr>
  </w:style>
  <w:style w:type="paragraph" w:styleId="Header">
    <w:name w:val="header"/>
    <w:basedOn w:val="Normal"/>
    <w:link w:val="HeaderChar"/>
    <w:uiPriority w:val="99"/>
    <w:rsid w:val="00B20091"/>
    <w:pPr>
      <w:tabs>
        <w:tab w:val="center" w:pos="4536"/>
        <w:tab w:val="right" w:pos="9072"/>
      </w:tabs>
    </w:pPr>
    <w:rPr>
      <w:rFonts w:eastAsiaTheme="minorHAnsi"/>
    </w:rPr>
  </w:style>
  <w:style w:type="character" w:customStyle="1" w:styleId="HeaderChar">
    <w:name w:val="Header Char"/>
    <w:basedOn w:val="DefaultParagraphFont"/>
    <w:link w:val="Header"/>
    <w:uiPriority w:val="99"/>
    <w:rsid w:val="00B20091"/>
    <w:rPr>
      <w:sz w:val="24"/>
      <w:lang w:val="en-GB"/>
    </w:rPr>
  </w:style>
  <w:style w:type="character" w:customStyle="1" w:styleId="Heading1Char">
    <w:name w:val="Heading 1 Char"/>
    <w:basedOn w:val="DefaultParagraphFont"/>
    <w:link w:val="Heading1"/>
    <w:uiPriority w:val="98"/>
    <w:semiHidden/>
    <w:rsid w:val="00B20091"/>
    <w:rPr>
      <w:rFonts w:asciiTheme="majorHAnsi" w:eastAsiaTheme="majorEastAsia" w:hAnsiTheme="majorHAnsi" w:cstheme="majorBidi"/>
      <w:b/>
      <w:bCs/>
      <w:color w:val="333333"/>
      <w:sz w:val="28"/>
      <w:szCs w:val="28"/>
      <w:lang w:val="en-GB"/>
    </w:rPr>
  </w:style>
  <w:style w:type="paragraph" w:customStyle="1" w:styleId="JuHa0">
    <w:name w:val="Ju_H_a"/>
    <w:aliases w:val="_Head_5"/>
    <w:basedOn w:val="Normal"/>
    <w:next w:val="JuPara"/>
    <w:uiPriority w:val="17"/>
    <w:rsid w:val="00B20091"/>
    <w:pPr>
      <w:keepNext/>
      <w:keepLines/>
      <w:numPr>
        <w:ilvl w:val="4"/>
        <w:numId w:val="1"/>
      </w:numPr>
      <w:spacing w:before="100" w:beforeAutospacing="1" w:after="120"/>
      <w:jc w:val="both"/>
      <w:outlineLvl w:val="4"/>
    </w:pPr>
    <w:rPr>
      <w:b/>
      <w:sz w:val="20"/>
    </w:rPr>
  </w:style>
  <w:style w:type="paragraph" w:customStyle="1" w:styleId="JuHi">
    <w:name w:val="Ju_H_i"/>
    <w:aliases w:val="_Head_6"/>
    <w:basedOn w:val="Normal"/>
    <w:next w:val="JuPara"/>
    <w:uiPriority w:val="17"/>
    <w:rsid w:val="00B20091"/>
    <w:pPr>
      <w:keepNext/>
      <w:keepLines/>
      <w:numPr>
        <w:ilvl w:val="5"/>
        <w:numId w:val="1"/>
      </w:numPr>
      <w:spacing w:before="100" w:beforeAutospacing="1" w:after="120"/>
      <w:jc w:val="both"/>
      <w:outlineLvl w:val="5"/>
    </w:pPr>
    <w:rPr>
      <w:i/>
      <w:sz w:val="20"/>
    </w:rPr>
  </w:style>
  <w:style w:type="character" w:customStyle="1" w:styleId="Heading2Char">
    <w:name w:val="Heading 2 Char"/>
    <w:basedOn w:val="DefaultParagraphFont"/>
    <w:link w:val="Heading2"/>
    <w:uiPriority w:val="98"/>
    <w:semiHidden/>
    <w:rsid w:val="00B20091"/>
    <w:rPr>
      <w:rFonts w:asciiTheme="majorHAnsi" w:eastAsiaTheme="majorEastAsia" w:hAnsiTheme="majorHAnsi" w:cstheme="majorBidi"/>
      <w:b/>
      <w:bCs/>
      <w:color w:val="4D4D4D"/>
      <w:sz w:val="26"/>
      <w:szCs w:val="26"/>
      <w:lang w:val="en-GB"/>
    </w:rPr>
  </w:style>
  <w:style w:type="paragraph" w:customStyle="1" w:styleId="JuHalpha">
    <w:name w:val="Ju_H_alpha"/>
    <w:aliases w:val="_Head_7"/>
    <w:basedOn w:val="Normal"/>
    <w:next w:val="JuPara"/>
    <w:uiPriority w:val="17"/>
    <w:rsid w:val="00B20091"/>
    <w:pPr>
      <w:keepNext/>
      <w:keepLines/>
      <w:numPr>
        <w:ilvl w:val="6"/>
        <w:numId w:val="1"/>
      </w:numPr>
      <w:spacing w:before="100" w:beforeAutospacing="1" w:after="120"/>
      <w:jc w:val="both"/>
      <w:outlineLvl w:val="6"/>
    </w:pPr>
    <w:rPr>
      <w:sz w:val="20"/>
    </w:rPr>
  </w:style>
  <w:style w:type="paragraph" w:customStyle="1" w:styleId="JuH">
    <w:name w:val="Ju_H_–"/>
    <w:aliases w:val="_Head_8"/>
    <w:basedOn w:val="Normal"/>
    <w:next w:val="JuPara"/>
    <w:uiPriority w:val="17"/>
    <w:rsid w:val="00B20091"/>
    <w:pPr>
      <w:keepNext/>
      <w:keepLines/>
      <w:numPr>
        <w:ilvl w:val="7"/>
        <w:numId w:val="1"/>
      </w:numPr>
      <w:spacing w:before="100" w:beforeAutospacing="1" w:after="120"/>
      <w:jc w:val="both"/>
      <w:outlineLvl w:val="7"/>
    </w:pPr>
    <w:rPr>
      <w:i/>
      <w:sz w:val="20"/>
    </w:rPr>
  </w:style>
  <w:style w:type="character" w:customStyle="1" w:styleId="Heading3Char">
    <w:name w:val="Heading 3 Char"/>
    <w:basedOn w:val="DefaultParagraphFont"/>
    <w:link w:val="Heading3"/>
    <w:uiPriority w:val="98"/>
    <w:semiHidden/>
    <w:rsid w:val="00B20091"/>
    <w:rPr>
      <w:rFonts w:asciiTheme="majorHAnsi" w:eastAsiaTheme="majorEastAsia" w:hAnsiTheme="majorHAnsi" w:cstheme="majorBidi"/>
      <w:b/>
      <w:bCs/>
      <w:color w:val="5F5F5F"/>
      <w:sz w:val="24"/>
      <w:lang w:val="en-GB"/>
    </w:rPr>
  </w:style>
  <w:style w:type="paragraph" w:customStyle="1" w:styleId="JuParaLast">
    <w:name w:val="Ju_Para_Last"/>
    <w:aliases w:val="_Para_Spaced"/>
    <w:basedOn w:val="NormalJustified"/>
    <w:uiPriority w:val="5"/>
    <w:qFormat/>
    <w:rsid w:val="00B20091"/>
    <w:pPr>
      <w:keepNext/>
      <w:keepLines/>
      <w:spacing w:before="240" w:after="240"/>
      <w:ind w:firstLine="284"/>
    </w:pPr>
    <w:rPr>
      <w:rFonts w:eastAsiaTheme="minorHAnsi"/>
    </w:rPr>
  </w:style>
  <w:style w:type="paragraph" w:customStyle="1" w:styleId="ECHRDecisionBody">
    <w:name w:val="ECHR_Decision_Body"/>
    <w:aliases w:val="_Decision_Body"/>
    <w:basedOn w:val="NormalJustified"/>
    <w:uiPriority w:val="54"/>
    <w:rsid w:val="00B20091"/>
    <w:pPr>
      <w:tabs>
        <w:tab w:val="left" w:pos="567"/>
        <w:tab w:val="left" w:pos="1134"/>
      </w:tabs>
      <w:spacing w:line="240" w:lineRule="exact"/>
      <w:jc w:val="left"/>
    </w:pPr>
    <w:rPr>
      <w:sz w:val="22"/>
    </w:rPr>
  </w:style>
  <w:style w:type="character" w:customStyle="1" w:styleId="Heading4Char">
    <w:name w:val="Heading 4 Char"/>
    <w:basedOn w:val="DefaultParagraphFont"/>
    <w:link w:val="Heading4"/>
    <w:uiPriority w:val="98"/>
    <w:semiHidden/>
    <w:rsid w:val="00B20091"/>
    <w:rPr>
      <w:rFonts w:asciiTheme="majorHAnsi" w:eastAsiaTheme="majorEastAsia" w:hAnsiTheme="majorHAnsi" w:cstheme="majorBidi"/>
      <w:b/>
      <w:bCs/>
      <w:i/>
      <w:iCs/>
      <w:color w:val="777777"/>
      <w:sz w:val="24"/>
      <w:lang w:val="en-GB"/>
    </w:rPr>
  </w:style>
  <w:style w:type="paragraph" w:customStyle="1" w:styleId="JuList">
    <w:name w:val="Ju_List"/>
    <w:aliases w:val="_List_1"/>
    <w:basedOn w:val="NormalJustified"/>
    <w:uiPriority w:val="23"/>
    <w:qFormat/>
    <w:rsid w:val="00B20091"/>
    <w:pPr>
      <w:numPr>
        <w:numId w:val="6"/>
      </w:numPr>
      <w:spacing w:before="280" w:after="60"/>
    </w:pPr>
    <w:rPr>
      <w:rFonts w:eastAsiaTheme="minorHAnsi"/>
    </w:rPr>
  </w:style>
  <w:style w:type="character" w:customStyle="1" w:styleId="Heading5Char">
    <w:name w:val="Heading 5 Char"/>
    <w:basedOn w:val="DefaultParagraphFont"/>
    <w:link w:val="Heading5"/>
    <w:uiPriority w:val="98"/>
    <w:semiHidden/>
    <w:rsid w:val="00B20091"/>
    <w:rPr>
      <w:rFonts w:asciiTheme="majorHAnsi" w:eastAsiaTheme="majorEastAsia" w:hAnsiTheme="majorHAnsi" w:cstheme="majorBidi"/>
      <w:b/>
      <w:bCs/>
      <w:color w:val="808080"/>
      <w:sz w:val="24"/>
      <w:lang w:val="en-GB"/>
    </w:rPr>
  </w:style>
  <w:style w:type="paragraph" w:customStyle="1" w:styleId="JuLista">
    <w:name w:val="Ju_List_a"/>
    <w:aliases w:val="_List_2"/>
    <w:basedOn w:val="NormalJustified"/>
    <w:uiPriority w:val="23"/>
    <w:rsid w:val="00B20091"/>
    <w:pPr>
      <w:numPr>
        <w:ilvl w:val="1"/>
        <w:numId w:val="6"/>
      </w:numPr>
    </w:pPr>
  </w:style>
  <w:style w:type="paragraph" w:customStyle="1" w:styleId="JuListi">
    <w:name w:val="Ju_List_i"/>
    <w:aliases w:val="_List_3"/>
    <w:basedOn w:val="NormalJustified"/>
    <w:uiPriority w:val="23"/>
    <w:rsid w:val="00B20091"/>
    <w:pPr>
      <w:numPr>
        <w:ilvl w:val="2"/>
        <w:numId w:val="6"/>
      </w:numPr>
    </w:pPr>
  </w:style>
  <w:style w:type="character" w:styleId="SubtleEmphasis">
    <w:name w:val="Subtle Emphasis"/>
    <w:uiPriority w:val="98"/>
    <w:semiHidden/>
    <w:qFormat/>
    <w:rsid w:val="00B20091"/>
    <w:rPr>
      <w:i/>
      <w:iCs/>
    </w:rPr>
  </w:style>
  <w:style w:type="paragraph" w:customStyle="1" w:styleId="ECHRFooterLineLandscape">
    <w:name w:val="ECHR_Footer_Line_Landscape"/>
    <w:aliases w:val="_Footer_Line_Landscape"/>
    <w:basedOn w:val="Normal"/>
    <w:uiPriority w:val="30"/>
    <w:semiHidden/>
    <w:rsid w:val="00B20091"/>
    <w:pPr>
      <w:pBdr>
        <w:top w:val="single" w:sz="8" w:space="1" w:color="7F7F7F" w:themeColor="text1" w:themeTint="80"/>
      </w:pBdr>
      <w:tabs>
        <w:tab w:val="center" w:pos="6787"/>
        <w:tab w:val="right" w:pos="14640"/>
      </w:tabs>
      <w:ind w:left="-680" w:right="-680"/>
    </w:pPr>
    <w:rPr>
      <w:rFonts w:eastAsiaTheme="minorHAnsi"/>
      <w:color w:val="474747" w:themeColor="accent3" w:themeShade="BF"/>
      <w:sz w:val="22"/>
    </w:rPr>
  </w:style>
  <w:style w:type="table" w:customStyle="1" w:styleId="ECHRTable">
    <w:name w:val="ECHR_Table"/>
    <w:basedOn w:val="TableNormal"/>
    <w:rsid w:val="00B20091"/>
    <w:rPr>
      <w:rFonts w:eastAsia="Times New Roman" w:cs="Times New Roman"/>
      <w:sz w:val="20"/>
      <w:szCs w:val="20"/>
      <w:lang w:val="en-GB"/>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BoxHeader">
    <w:name w:val="ECHR_Table_Box_Header"/>
    <w:basedOn w:val="TableNormal"/>
    <w:rsid w:val="00B20091"/>
    <w:rPr>
      <w:rFonts w:ascii="Verdana" w:eastAsia="Times New Roman" w:hAnsi="Verdana" w:cs="Times New Roman"/>
      <w:sz w:val="20"/>
      <w:szCs w:val="20"/>
      <w:lang w:val="en-GB"/>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ECHRParaHanging">
    <w:name w:val="ECHR_Para_Hanging"/>
    <w:aliases w:val="_Hanging"/>
    <w:basedOn w:val="Normal"/>
    <w:uiPriority w:val="8"/>
    <w:semiHidden/>
    <w:qFormat/>
    <w:rsid w:val="00B20091"/>
    <w:pPr>
      <w:ind w:left="567" w:hanging="567"/>
      <w:jc w:val="both"/>
    </w:pPr>
    <w:rPr>
      <w:rFonts w:eastAsiaTheme="minorHAnsi"/>
      <w:sz w:val="22"/>
    </w:rPr>
  </w:style>
  <w:style w:type="paragraph" w:customStyle="1" w:styleId="ECHRHeading9">
    <w:name w:val="ECHR_Heading_9"/>
    <w:aliases w:val="_Head_9"/>
    <w:basedOn w:val="Heading9"/>
    <w:next w:val="Normal"/>
    <w:uiPriority w:val="19"/>
    <w:semiHidden/>
    <w:rsid w:val="00B20091"/>
    <w:pPr>
      <w:numPr>
        <w:numId w:val="1"/>
      </w:numPr>
    </w:pPr>
    <w:rPr>
      <w:i w:val="0"/>
      <w:sz w:val="18"/>
    </w:rPr>
  </w:style>
  <w:style w:type="paragraph" w:customStyle="1" w:styleId="ECHRParaIndent">
    <w:name w:val="ECHR_Para_Indent"/>
    <w:aliases w:val="_Indent"/>
    <w:basedOn w:val="Normal"/>
    <w:uiPriority w:val="7"/>
    <w:semiHidden/>
    <w:qFormat/>
    <w:rsid w:val="00B20091"/>
    <w:pPr>
      <w:spacing w:before="120" w:after="120"/>
      <w:ind w:left="567"/>
      <w:jc w:val="both"/>
    </w:pPr>
    <w:rPr>
      <w:rFonts w:eastAsiaTheme="minorHAnsi"/>
      <w:sz w:val="22"/>
    </w:rPr>
  </w:style>
  <w:style w:type="character" w:styleId="Emphasis">
    <w:name w:val="Emphasis"/>
    <w:uiPriority w:val="98"/>
    <w:semiHidden/>
    <w:qFormat/>
    <w:rsid w:val="00B20091"/>
    <w:rPr>
      <w:b/>
      <w:bCs/>
      <w:i/>
      <w:iCs/>
      <w:spacing w:val="10"/>
      <w:bdr w:val="none" w:sz="0" w:space="0" w:color="auto"/>
      <w:shd w:val="clear" w:color="auto" w:fill="auto"/>
    </w:rPr>
  </w:style>
  <w:style w:type="paragraph" w:styleId="Footer">
    <w:name w:val="footer"/>
    <w:basedOn w:val="Normal"/>
    <w:link w:val="FooterChar"/>
    <w:uiPriority w:val="98"/>
    <w:semiHidden/>
    <w:rsid w:val="00B20091"/>
    <w:pPr>
      <w:tabs>
        <w:tab w:val="center" w:pos="4536"/>
        <w:tab w:val="right" w:pos="9696"/>
      </w:tabs>
      <w:ind w:left="-680" w:right="-680"/>
    </w:pPr>
    <w:rPr>
      <w:rFonts w:eastAsiaTheme="minorHAnsi"/>
    </w:rPr>
  </w:style>
  <w:style w:type="character" w:customStyle="1" w:styleId="FooterChar">
    <w:name w:val="Footer Char"/>
    <w:basedOn w:val="DefaultParagraphFont"/>
    <w:link w:val="Footer"/>
    <w:uiPriority w:val="98"/>
    <w:semiHidden/>
    <w:rsid w:val="00B20091"/>
    <w:rPr>
      <w:sz w:val="24"/>
      <w:lang w:val="en-GB"/>
    </w:rPr>
  </w:style>
  <w:style w:type="character" w:styleId="FootnoteReference">
    <w:name w:val="footnote reference"/>
    <w:basedOn w:val="DefaultParagraphFont"/>
    <w:uiPriority w:val="98"/>
    <w:semiHidden/>
    <w:rsid w:val="00B20091"/>
    <w:rPr>
      <w:vertAlign w:val="superscript"/>
    </w:rPr>
  </w:style>
  <w:style w:type="paragraph" w:styleId="FootnoteText">
    <w:name w:val="footnote text"/>
    <w:basedOn w:val="Normal"/>
    <w:link w:val="FootnoteTextChar"/>
    <w:uiPriority w:val="98"/>
    <w:semiHidden/>
    <w:rsid w:val="00B20091"/>
    <w:rPr>
      <w:sz w:val="20"/>
      <w:szCs w:val="20"/>
    </w:rPr>
  </w:style>
  <w:style w:type="character" w:customStyle="1" w:styleId="FootnoteTextChar">
    <w:name w:val="Footnote Text Char"/>
    <w:basedOn w:val="DefaultParagraphFont"/>
    <w:link w:val="FootnoteText"/>
    <w:uiPriority w:val="98"/>
    <w:semiHidden/>
    <w:rsid w:val="00B20091"/>
    <w:rPr>
      <w:rFonts w:eastAsiaTheme="minorEastAsia"/>
      <w:sz w:val="20"/>
      <w:szCs w:val="20"/>
      <w:lang w:val="en-GB"/>
    </w:rPr>
  </w:style>
  <w:style w:type="character" w:customStyle="1" w:styleId="Heading6Char">
    <w:name w:val="Heading 6 Char"/>
    <w:basedOn w:val="DefaultParagraphFont"/>
    <w:link w:val="Heading6"/>
    <w:uiPriority w:val="98"/>
    <w:semiHidden/>
    <w:rsid w:val="00B20091"/>
    <w:rPr>
      <w:rFonts w:asciiTheme="majorHAnsi" w:eastAsiaTheme="majorEastAsia" w:hAnsiTheme="majorHAnsi" w:cstheme="majorBidi"/>
      <w:b/>
      <w:bCs/>
      <w:i/>
      <w:iCs/>
      <w:color w:val="7F7F7F" w:themeColor="text1" w:themeTint="80"/>
      <w:sz w:val="24"/>
      <w:lang w:val="en-GB" w:bidi="en-US"/>
    </w:rPr>
  </w:style>
  <w:style w:type="character" w:customStyle="1" w:styleId="Heading7Char">
    <w:name w:val="Heading 7 Char"/>
    <w:basedOn w:val="DefaultParagraphFont"/>
    <w:link w:val="Heading7"/>
    <w:uiPriority w:val="98"/>
    <w:semiHidden/>
    <w:rsid w:val="00B20091"/>
    <w:rPr>
      <w:rFonts w:asciiTheme="majorHAnsi" w:eastAsiaTheme="majorEastAsia" w:hAnsiTheme="majorHAnsi" w:cstheme="majorBidi"/>
      <w:i/>
      <w:iCs/>
      <w:sz w:val="24"/>
      <w:lang w:val="en-GB" w:bidi="en-US"/>
    </w:rPr>
  </w:style>
  <w:style w:type="character" w:customStyle="1" w:styleId="Heading8Char">
    <w:name w:val="Heading 8 Char"/>
    <w:basedOn w:val="DefaultParagraphFont"/>
    <w:link w:val="Heading8"/>
    <w:uiPriority w:val="98"/>
    <w:semiHidden/>
    <w:rsid w:val="00B20091"/>
    <w:rPr>
      <w:rFonts w:asciiTheme="majorHAnsi" w:eastAsiaTheme="majorEastAsia" w:hAnsiTheme="majorHAnsi" w:cstheme="majorBidi"/>
      <w:sz w:val="20"/>
      <w:szCs w:val="20"/>
      <w:lang w:val="en-GB" w:bidi="en-US"/>
    </w:rPr>
  </w:style>
  <w:style w:type="character" w:customStyle="1" w:styleId="Heading9Char">
    <w:name w:val="Heading 9 Char"/>
    <w:basedOn w:val="DefaultParagraphFont"/>
    <w:link w:val="Heading9"/>
    <w:uiPriority w:val="98"/>
    <w:semiHidden/>
    <w:rsid w:val="00B20091"/>
    <w:rPr>
      <w:rFonts w:asciiTheme="majorHAnsi" w:eastAsiaTheme="majorEastAsia" w:hAnsiTheme="majorHAnsi" w:cstheme="majorBidi"/>
      <w:i/>
      <w:iCs/>
      <w:spacing w:val="5"/>
      <w:sz w:val="20"/>
      <w:szCs w:val="20"/>
      <w:lang w:val="en-GB" w:bidi="en-US"/>
    </w:rPr>
  </w:style>
  <w:style w:type="character" w:styleId="Hyperlink">
    <w:name w:val="Hyperlink"/>
    <w:basedOn w:val="DefaultParagraphFont"/>
    <w:uiPriority w:val="98"/>
    <w:semiHidden/>
    <w:rsid w:val="00B20091"/>
    <w:rPr>
      <w:color w:val="0072BC" w:themeColor="hyperlink"/>
      <w:u w:val="single"/>
    </w:rPr>
  </w:style>
  <w:style w:type="character" w:styleId="IntenseEmphasis">
    <w:name w:val="Intense Emphasis"/>
    <w:uiPriority w:val="98"/>
    <w:semiHidden/>
    <w:qFormat/>
    <w:rsid w:val="00B20091"/>
    <w:rPr>
      <w:b/>
      <w:bCs/>
    </w:rPr>
  </w:style>
  <w:style w:type="paragraph" w:styleId="IntenseQuote">
    <w:name w:val="Intense Quote"/>
    <w:basedOn w:val="Normal"/>
    <w:next w:val="Normal"/>
    <w:link w:val="IntenseQuoteChar"/>
    <w:uiPriority w:val="98"/>
    <w:semiHidden/>
    <w:qFormat/>
    <w:rsid w:val="00B20091"/>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semiHidden/>
    <w:rsid w:val="00B20091"/>
    <w:rPr>
      <w:rFonts w:eastAsiaTheme="minorEastAsia"/>
      <w:b/>
      <w:bCs/>
      <w:i/>
      <w:iCs/>
      <w:sz w:val="24"/>
      <w:lang w:val="en-GB" w:bidi="en-US"/>
    </w:rPr>
  </w:style>
  <w:style w:type="character" w:styleId="IntenseReference">
    <w:name w:val="Intense Reference"/>
    <w:uiPriority w:val="98"/>
    <w:semiHidden/>
    <w:qFormat/>
    <w:rsid w:val="00B20091"/>
    <w:rPr>
      <w:smallCaps/>
      <w:spacing w:val="5"/>
      <w:u w:val="single"/>
    </w:rPr>
  </w:style>
  <w:style w:type="paragraph" w:styleId="ListParagraph">
    <w:name w:val="List Paragraph"/>
    <w:basedOn w:val="Normal"/>
    <w:uiPriority w:val="98"/>
    <w:semiHidden/>
    <w:qFormat/>
    <w:rsid w:val="00B20091"/>
    <w:pPr>
      <w:ind w:left="720"/>
      <w:contextualSpacing/>
    </w:pPr>
  </w:style>
  <w:style w:type="table" w:customStyle="1" w:styleId="LtrTableAddress">
    <w:name w:val="Ltr_Table_Address"/>
    <w:aliases w:val="ECHR_Ltr_Table_Address"/>
    <w:basedOn w:val="TableNormal"/>
    <w:uiPriority w:val="99"/>
    <w:rsid w:val="00B20091"/>
    <w:tblPr>
      <w:tblInd w:w="5103" w:type="dxa"/>
    </w:tblPr>
  </w:style>
  <w:style w:type="paragraph" w:styleId="Quote">
    <w:name w:val="Quote"/>
    <w:basedOn w:val="Normal"/>
    <w:next w:val="Normal"/>
    <w:link w:val="QuoteChar"/>
    <w:uiPriority w:val="98"/>
    <w:semiHidden/>
    <w:qFormat/>
    <w:rsid w:val="00B20091"/>
    <w:pPr>
      <w:spacing w:before="200"/>
      <w:ind w:left="360" w:right="360"/>
    </w:pPr>
    <w:rPr>
      <w:i/>
      <w:iCs/>
      <w:lang w:bidi="en-US"/>
    </w:rPr>
  </w:style>
  <w:style w:type="character" w:customStyle="1" w:styleId="QuoteChar">
    <w:name w:val="Quote Char"/>
    <w:basedOn w:val="DefaultParagraphFont"/>
    <w:link w:val="Quote"/>
    <w:uiPriority w:val="98"/>
    <w:semiHidden/>
    <w:rsid w:val="00B20091"/>
    <w:rPr>
      <w:rFonts w:eastAsiaTheme="minorEastAsia"/>
      <w:i/>
      <w:iCs/>
      <w:sz w:val="24"/>
      <w:lang w:val="en-GB" w:bidi="en-US"/>
    </w:rPr>
  </w:style>
  <w:style w:type="character" w:styleId="SubtleReference">
    <w:name w:val="Subtle Reference"/>
    <w:uiPriority w:val="98"/>
    <w:semiHidden/>
    <w:qFormat/>
    <w:rsid w:val="00B20091"/>
    <w:rPr>
      <w:smallCaps/>
    </w:rPr>
  </w:style>
  <w:style w:type="table" w:styleId="TableGrid">
    <w:name w:val="Table Grid"/>
    <w:basedOn w:val="TableNormal"/>
    <w:uiPriority w:val="59"/>
    <w:semiHidden/>
    <w:rsid w:val="00B20091"/>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8"/>
    <w:semiHidden/>
    <w:rsid w:val="00B20091"/>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B20091"/>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B20091"/>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B20091"/>
    <w:pPr>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B20091"/>
    <w:pPr>
      <w:tabs>
        <w:tab w:val="right" w:leader="dot" w:pos="7371"/>
      </w:tabs>
      <w:spacing w:after="60" w:line="240" w:lineRule="exact"/>
      <w:ind w:left="1701" w:right="567" w:hanging="340"/>
    </w:pPr>
    <w:rPr>
      <w:sz w:val="20"/>
    </w:rPr>
  </w:style>
  <w:style w:type="paragraph" w:styleId="TOCHeading">
    <w:name w:val="TOC Heading"/>
    <w:basedOn w:val="Normal"/>
    <w:next w:val="Normal"/>
    <w:uiPriority w:val="98"/>
    <w:semiHidden/>
    <w:qFormat/>
    <w:rsid w:val="00B20091"/>
    <w:pPr>
      <w:keepNext/>
      <w:keepLines/>
      <w:spacing w:before="240"/>
      <w:contextualSpacing/>
      <w:jc w:val="center"/>
    </w:pPr>
    <w:rPr>
      <w:rFonts w:asciiTheme="majorHAnsi" w:eastAsiaTheme="minorHAnsi" w:hAnsiTheme="majorHAnsi"/>
      <w:b/>
      <w:color w:val="474747" w:themeColor="accent3" w:themeShade="BF"/>
      <w:sz w:val="28"/>
    </w:rPr>
  </w:style>
  <w:style w:type="table" w:customStyle="1" w:styleId="UGTable">
    <w:name w:val="UG_Table"/>
    <w:aliases w:val="ECHR_UG_Table"/>
    <w:basedOn w:val="TableNormal"/>
    <w:uiPriority w:val="99"/>
    <w:rsid w:val="00B20091"/>
    <w:rPr>
      <w:rFonts w:eastAsiaTheme="minorEastAsia"/>
      <w:sz w:val="20"/>
      <w:lang w:val="en-GB"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B20091"/>
    <w:rPr>
      <w:rFonts w:eastAsiaTheme="minorEastAsia"/>
      <w:lang w:val="en-GB"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table" w:customStyle="1" w:styleId="PCFTableStyle">
    <w:name w:val="PCF_Table_Style"/>
    <w:aliases w:val="ECHR_PCF_Table_Style"/>
    <w:basedOn w:val="TableNormal"/>
    <w:uiPriority w:val="99"/>
    <w:rsid w:val="00B20091"/>
    <w:rPr>
      <w:color w:val="000000" w:themeColor="text1"/>
      <w:sz w:val="18"/>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ECHRTableFax">
    <w:name w:val="ECHR_Table_Fax"/>
    <w:basedOn w:val="TableNormal"/>
    <w:uiPriority w:val="99"/>
    <w:rsid w:val="00B20091"/>
    <w:rPr>
      <w:color w:val="000000" w:themeColor="text1"/>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Memo">
    <w:name w:val="ECHR_Table_Memo"/>
    <w:basedOn w:val="TableNormal"/>
    <w:uiPriority w:val="99"/>
    <w:rsid w:val="00B20091"/>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table" w:customStyle="1" w:styleId="ECHRDNTable">
    <w:name w:val="ECHR_DN_Table"/>
    <w:basedOn w:val="TableNormal"/>
    <w:uiPriority w:val="99"/>
    <w:rsid w:val="00B20091"/>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paragraph" w:styleId="TOAHeading">
    <w:name w:val="toa heading"/>
    <w:basedOn w:val="Normal"/>
    <w:next w:val="Normal"/>
    <w:uiPriority w:val="98"/>
    <w:semiHidden/>
    <w:rsid w:val="00B20091"/>
    <w:pPr>
      <w:keepNext/>
      <w:keepLines/>
      <w:spacing w:before="240"/>
      <w:contextualSpacing/>
      <w:jc w:val="center"/>
    </w:pPr>
    <w:rPr>
      <w:rFonts w:asciiTheme="majorHAnsi" w:eastAsiaTheme="majorEastAsia" w:hAnsiTheme="majorHAnsi" w:cstheme="majorBidi"/>
      <w:b/>
      <w:bCs/>
      <w:color w:val="474747" w:themeColor="accent3" w:themeShade="BF"/>
      <w:sz w:val="28"/>
      <w:szCs w:val="24"/>
    </w:rPr>
  </w:style>
  <w:style w:type="paragraph" w:styleId="Subtitle">
    <w:name w:val="Subtitle"/>
    <w:basedOn w:val="Normal"/>
    <w:next w:val="Normal"/>
    <w:link w:val="SubtitleChar"/>
    <w:uiPriority w:val="98"/>
    <w:semiHidden/>
    <w:qFormat/>
    <w:rsid w:val="00B20091"/>
    <w:pPr>
      <w:spacing w:after="600"/>
    </w:pPr>
    <w:rPr>
      <w:rFonts w:asciiTheme="majorHAnsi" w:eastAsiaTheme="majorEastAsia" w:hAnsiTheme="majorHAnsi" w:cstheme="majorBidi"/>
      <w:i/>
      <w:iCs/>
      <w:spacing w:val="13"/>
      <w:szCs w:val="24"/>
      <w:lang w:bidi="en-US"/>
    </w:rPr>
  </w:style>
  <w:style w:type="character" w:customStyle="1" w:styleId="SubtitleChar">
    <w:name w:val="Subtitle Char"/>
    <w:basedOn w:val="DefaultParagraphFont"/>
    <w:link w:val="Subtitle"/>
    <w:uiPriority w:val="98"/>
    <w:semiHidden/>
    <w:rsid w:val="00B20091"/>
    <w:rPr>
      <w:rFonts w:asciiTheme="majorHAnsi" w:eastAsiaTheme="majorEastAsia" w:hAnsiTheme="majorHAnsi" w:cstheme="majorBidi"/>
      <w:i/>
      <w:iCs/>
      <w:spacing w:val="13"/>
      <w:sz w:val="24"/>
      <w:szCs w:val="24"/>
      <w:lang w:val="en-GB" w:bidi="en-US"/>
    </w:rPr>
  </w:style>
  <w:style w:type="numbering" w:styleId="111111">
    <w:name w:val="Outline List 2"/>
    <w:basedOn w:val="NoList"/>
    <w:uiPriority w:val="99"/>
    <w:semiHidden/>
    <w:unhideWhenUsed/>
    <w:rsid w:val="00B20091"/>
    <w:pPr>
      <w:numPr>
        <w:numId w:val="2"/>
      </w:numPr>
    </w:pPr>
  </w:style>
  <w:style w:type="paragraph" w:customStyle="1" w:styleId="JuPara">
    <w:name w:val="Ju_Para"/>
    <w:aliases w:val="_Para,ECHR_Para"/>
    <w:basedOn w:val="NormalJustified"/>
    <w:link w:val="ECHRParaChar"/>
    <w:uiPriority w:val="12"/>
    <w:qFormat/>
    <w:rsid w:val="00B20091"/>
    <w:pPr>
      <w:ind w:firstLine="284"/>
    </w:pPr>
  </w:style>
  <w:style w:type="numbering" w:styleId="1ai">
    <w:name w:val="Outline List 1"/>
    <w:basedOn w:val="NoList"/>
    <w:uiPriority w:val="99"/>
    <w:semiHidden/>
    <w:unhideWhenUsed/>
    <w:rsid w:val="00B20091"/>
    <w:pPr>
      <w:numPr>
        <w:numId w:val="3"/>
      </w:numPr>
    </w:pPr>
  </w:style>
  <w:style w:type="table" w:customStyle="1" w:styleId="ECHRTableSimpleBox">
    <w:name w:val="ECHR_Table_Simple_Box"/>
    <w:basedOn w:val="TableNormal"/>
    <w:uiPriority w:val="99"/>
    <w:rsid w:val="00B20091"/>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table" w:customStyle="1" w:styleId="ECHRTableNoLines">
    <w:name w:val="ECHR_Table_No_Lines"/>
    <w:basedOn w:val="TableNormal"/>
    <w:uiPriority w:val="99"/>
    <w:rsid w:val="00B20091"/>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numbering" w:styleId="ArticleSection">
    <w:name w:val="Outline List 3"/>
    <w:basedOn w:val="NoList"/>
    <w:uiPriority w:val="99"/>
    <w:semiHidden/>
    <w:unhideWhenUsed/>
    <w:rsid w:val="00B20091"/>
    <w:pPr>
      <w:numPr>
        <w:numId w:val="4"/>
      </w:numPr>
    </w:pPr>
  </w:style>
  <w:style w:type="table" w:customStyle="1" w:styleId="ECHRTableForInternalUse">
    <w:name w:val="ECHR_Table_For_Internal_Use"/>
    <w:basedOn w:val="TableNormal"/>
    <w:uiPriority w:val="99"/>
    <w:rsid w:val="00B20091"/>
    <w:rPr>
      <w:color w:val="636363" w:themeColor="text2" w:themeShade="80"/>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ListTable">
    <w:name w:val="ECHR_List_Table"/>
    <w:basedOn w:val="TableNormal"/>
    <w:uiPriority w:val="99"/>
    <w:rsid w:val="00B20091"/>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styleId="Bibliography">
    <w:name w:val="Bibliography"/>
    <w:basedOn w:val="Normal"/>
    <w:next w:val="Normal"/>
    <w:uiPriority w:val="98"/>
    <w:semiHidden/>
    <w:rsid w:val="00B20091"/>
  </w:style>
  <w:style w:type="paragraph" w:styleId="BlockText">
    <w:name w:val="Block Text"/>
    <w:basedOn w:val="Normal"/>
    <w:uiPriority w:val="98"/>
    <w:semiHidden/>
    <w:rsid w:val="00B20091"/>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table" w:customStyle="1" w:styleId="ECHRHeaderTable">
    <w:name w:val="ECHR_Header_Table"/>
    <w:basedOn w:val="TableNormal"/>
    <w:uiPriority w:val="99"/>
    <w:rsid w:val="00B20091"/>
    <w:tblPr>
      <w:tblInd w:w="-680"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styleId="BodyText">
    <w:name w:val="Body Text"/>
    <w:basedOn w:val="Normal"/>
    <w:link w:val="BodyTextChar"/>
    <w:uiPriority w:val="98"/>
    <w:semiHidden/>
    <w:rsid w:val="00B20091"/>
    <w:pPr>
      <w:spacing w:after="120"/>
    </w:pPr>
  </w:style>
  <w:style w:type="character" w:customStyle="1" w:styleId="BodyTextChar">
    <w:name w:val="Body Text Char"/>
    <w:basedOn w:val="DefaultParagraphFont"/>
    <w:link w:val="BodyText"/>
    <w:uiPriority w:val="98"/>
    <w:semiHidden/>
    <w:rsid w:val="00B20091"/>
    <w:rPr>
      <w:rFonts w:eastAsiaTheme="minorEastAsia"/>
      <w:sz w:val="24"/>
      <w:lang w:val="en-GB"/>
    </w:rPr>
  </w:style>
  <w:style w:type="table" w:customStyle="1" w:styleId="ECHRTableOddBanded">
    <w:name w:val="ECHR_Table_Odd_Banded"/>
    <w:basedOn w:val="TableNormal"/>
    <w:uiPriority w:val="99"/>
    <w:rsid w:val="00860B03"/>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paragraph" w:styleId="BodyText2">
    <w:name w:val="Body Text 2"/>
    <w:basedOn w:val="Normal"/>
    <w:link w:val="BodyText2Char"/>
    <w:uiPriority w:val="98"/>
    <w:semiHidden/>
    <w:rsid w:val="00B20091"/>
    <w:pPr>
      <w:spacing w:after="120" w:line="480" w:lineRule="auto"/>
    </w:pPr>
  </w:style>
  <w:style w:type="table" w:customStyle="1" w:styleId="ECHRHeaderTableReduced">
    <w:name w:val="ECHR_Header_Table_Reduced"/>
    <w:basedOn w:val="TableNormal"/>
    <w:uiPriority w:val="99"/>
    <w:rsid w:val="00B20091"/>
    <w:tblPr>
      <w:tblInd w:w="-680" w:type="dxa"/>
      <w:tblCellMar>
        <w:left w:w="0" w:type="dxa"/>
        <w:right w:w="0" w:type="dxa"/>
      </w:tblCellMar>
    </w:tblPr>
    <w:tcPr>
      <w:vAlign w:val="bottom"/>
    </w:tcPr>
    <w:tblStylePr w:type="firstRow">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paragraph" w:customStyle="1" w:styleId="JuCase">
    <w:name w:val="Ju_Case"/>
    <w:aliases w:val="_Case_Name"/>
    <w:basedOn w:val="Normal"/>
    <w:next w:val="JuPara"/>
    <w:uiPriority w:val="32"/>
    <w:rsid w:val="00B20091"/>
    <w:pPr>
      <w:ind w:firstLine="284"/>
    </w:pPr>
    <w:rPr>
      <w:b/>
    </w:rPr>
  </w:style>
  <w:style w:type="character" w:styleId="PageNumber">
    <w:name w:val="page number"/>
    <w:uiPriority w:val="98"/>
    <w:semiHidden/>
    <w:rsid w:val="00B20091"/>
    <w:rPr>
      <w:sz w:val="18"/>
    </w:rPr>
  </w:style>
  <w:style w:type="paragraph" w:styleId="ListBullet">
    <w:name w:val="List Bullet"/>
    <w:basedOn w:val="Normal"/>
    <w:uiPriority w:val="98"/>
    <w:semiHidden/>
    <w:rsid w:val="00B20091"/>
    <w:pPr>
      <w:numPr>
        <w:numId w:val="9"/>
      </w:numPr>
    </w:pPr>
  </w:style>
  <w:style w:type="paragraph" w:styleId="ListBullet3">
    <w:name w:val="List Bullet 3"/>
    <w:basedOn w:val="Normal"/>
    <w:uiPriority w:val="98"/>
    <w:semiHidden/>
    <w:rsid w:val="00B20091"/>
    <w:pPr>
      <w:numPr>
        <w:numId w:val="11"/>
      </w:numPr>
      <w:contextualSpacing/>
    </w:pPr>
  </w:style>
  <w:style w:type="character" w:customStyle="1" w:styleId="BodyText2Char">
    <w:name w:val="Body Text 2 Char"/>
    <w:basedOn w:val="DefaultParagraphFont"/>
    <w:link w:val="BodyText2"/>
    <w:uiPriority w:val="98"/>
    <w:semiHidden/>
    <w:rsid w:val="00B20091"/>
    <w:rPr>
      <w:rFonts w:eastAsiaTheme="minorEastAsia"/>
      <w:sz w:val="24"/>
      <w:lang w:val="en-GB"/>
    </w:rPr>
  </w:style>
  <w:style w:type="paragraph" w:styleId="BodyText3">
    <w:name w:val="Body Text 3"/>
    <w:basedOn w:val="Normal"/>
    <w:link w:val="BodyText3Char"/>
    <w:uiPriority w:val="98"/>
    <w:semiHidden/>
    <w:rsid w:val="00B20091"/>
    <w:pPr>
      <w:spacing w:after="120"/>
    </w:pPr>
    <w:rPr>
      <w:sz w:val="16"/>
      <w:szCs w:val="16"/>
    </w:rPr>
  </w:style>
  <w:style w:type="character" w:customStyle="1" w:styleId="BodyText3Char">
    <w:name w:val="Body Text 3 Char"/>
    <w:basedOn w:val="DefaultParagraphFont"/>
    <w:link w:val="BodyText3"/>
    <w:uiPriority w:val="98"/>
    <w:semiHidden/>
    <w:rsid w:val="00B20091"/>
    <w:rPr>
      <w:rFonts w:eastAsiaTheme="minorEastAsia"/>
      <w:sz w:val="16"/>
      <w:szCs w:val="16"/>
      <w:lang w:val="en-GB"/>
    </w:rPr>
  </w:style>
  <w:style w:type="paragraph" w:styleId="BodyTextFirstIndent">
    <w:name w:val="Body Text First Indent"/>
    <w:basedOn w:val="BodyText"/>
    <w:link w:val="BodyTextFirstIndentChar"/>
    <w:uiPriority w:val="98"/>
    <w:semiHidden/>
    <w:rsid w:val="00B20091"/>
    <w:pPr>
      <w:spacing w:after="0"/>
      <w:ind w:firstLine="360"/>
    </w:pPr>
  </w:style>
  <w:style w:type="character" w:customStyle="1" w:styleId="BodyTextFirstIndentChar">
    <w:name w:val="Body Text First Indent Char"/>
    <w:basedOn w:val="BodyTextChar"/>
    <w:link w:val="BodyTextFirstIndent"/>
    <w:uiPriority w:val="98"/>
    <w:semiHidden/>
    <w:rsid w:val="00B20091"/>
    <w:rPr>
      <w:rFonts w:eastAsiaTheme="minorEastAsia"/>
      <w:sz w:val="24"/>
      <w:lang w:val="en-GB"/>
    </w:rPr>
  </w:style>
  <w:style w:type="paragraph" w:styleId="BodyTextIndent">
    <w:name w:val="Body Text Indent"/>
    <w:basedOn w:val="Normal"/>
    <w:link w:val="BodyTextIndentChar"/>
    <w:uiPriority w:val="98"/>
    <w:semiHidden/>
    <w:rsid w:val="00B20091"/>
    <w:pPr>
      <w:spacing w:after="120"/>
      <w:ind w:left="283"/>
    </w:pPr>
  </w:style>
  <w:style w:type="character" w:customStyle="1" w:styleId="BodyTextIndentChar">
    <w:name w:val="Body Text Indent Char"/>
    <w:basedOn w:val="DefaultParagraphFont"/>
    <w:link w:val="BodyTextIndent"/>
    <w:uiPriority w:val="98"/>
    <w:semiHidden/>
    <w:rsid w:val="00B20091"/>
    <w:rPr>
      <w:rFonts w:eastAsiaTheme="minorEastAsia"/>
      <w:sz w:val="24"/>
      <w:lang w:val="en-GB"/>
    </w:rPr>
  </w:style>
  <w:style w:type="paragraph" w:styleId="BodyTextFirstIndent2">
    <w:name w:val="Body Text First Indent 2"/>
    <w:basedOn w:val="BodyTextIndent"/>
    <w:link w:val="BodyTextFirstIndent2Char"/>
    <w:uiPriority w:val="98"/>
    <w:semiHidden/>
    <w:rsid w:val="00B20091"/>
    <w:pPr>
      <w:spacing w:after="0"/>
      <w:ind w:left="360" w:firstLine="360"/>
    </w:pPr>
  </w:style>
  <w:style w:type="character" w:customStyle="1" w:styleId="BodyTextFirstIndent2Char">
    <w:name w:val="Body Text First Indent 2 Char"/>
    <w:basedOn w:val="BodyTextIndentChar"/>
    <w:link w:val="BodyTextFirstIndent2"/>
    <w:uiPriority w:val="98"/>
    <w:semiHidden/>
    <w:rsid w:val="00B20091"/>
    <w:rPr>
      <w:rFonts w:eastAsiaTheme="minorEastAsia"/>
      <w:sz w:val="24"/>
      <w:lang w:val="en-GB"/>
    </w:rPr>
  </w:style>
  <w:style w:type="paragraph" w:styleId="BodyTextIndent2">
    <w:name w:val="Body Text Indent 2"/>
    <w:basedOn w:val="Normal"/>
    <w:link w:val="BodyTextIndent2Char"/>
    <w:uiPriority w:val="98"/>
    <w:semiHidden/>
    <w:rsid w:val="00B20091"/>
    <w:pPr>
      <w:spacing w:after="120" w:line="480" w:lineRule="auto"/>
      <w:ind w:left="283"/>
    </w:pPr>
  </w:style>
  <w:style w:type="character" w:customStyle="1" w:styleId="BodyTextIndent2Char">
    <w:name w:val="Body Text Indent 2 Char"/>
    <w:basedOn w:val="DefaultParagraphFont"/>
    <w:link w:val="BodyTextIndent2"/>
    <w:uiPriority w:val="98"/>
    <w:semiHidden/>
    <w:rsid w:val="00B20091"/>
    <w:rPr>
      <w:rFonts w:eastAsiaTheme="minorEastAsia"/>
      <w:sz w:val="24"/>
      <w:lang w:val="en-GB"/>
    </w:rPr>
  </w:style>
  <w:style w:type="paragraph" w:styleId="BodyTextIndent3">
    <w:name w:val="Body Text Indent 3"/>
    <w:basedOn w:val="Normal"/>
    <w:link w:val="BodyTextIndent3Char"/>
    <w:uiPriority w:val="98"/>
    <w:semiHidden/>
    <w:rsid w:val="00B20091"/>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B20091"/>
    <w:rPr>
      <w:rFonts w:eastAsiaTheme="minorEastAsia"/>
      <w:sz w:val="16"/>
      <w:szCs w:val="16"/>
      <w:lang w:val="en-GB"/>
    </w:rPr>
  </w:style>
  <w:style w:type="paragraph" w:styleId="Caption">
    <w:name w:val="caption"/>
    <w:basedOn w:val="Normal"/>
    <w:next w:val="Normal"/>
    <w:uiPriority w:val="98"/>
    <w:semiHidden/>
    <w:qFormat/>
    <w:rsid w:val="00B20091"/>
    <w:pPr>
      <w:spacing w:after="200"/>
    </w:pPr>
    <w:rPr>
      <w:b/>
      <w:bCs/>
      <w:color w:val="0072BC" w:themeColor="accent1"/>
      <w:sz w:val="18"/>
      <w:szCs w:val="18"/>
    </w:rPr>
  </w:style>
  <w:style w:type="paragraph" w:styleId="Closing">
    <w:name w:val="Closing"/>
    <w:basedOn w:val="Normal"/>
    <w:link w:val="ClosingChar"/>
    <w:uiPriority w:val="98"/>
    <w:semiHidden/>
    <w:rsid w:val="00B20091"/>
    <w:pPr>
      <w:ind w:left="4252"/>
    </w:pPr>
  </w:style>
  <w:style w:type="character" w:customStyle="1" w:styleId="ClosingChar">
    <w:name w:val="Closing Char"/>
    <w:basedOn w:val="DefaultParagraphFont"/>
    <w:link w:val="Closing"/>
    <w:uiPriority w:val="98"/>
    <w:semiHidden/>
    <w:rsid w:val="00B20091"/>
    <w:rPr>
      <w:rFonts w:eastAsiaTheme="minorEastAsia"/>
      <w:sz w:val="24"/>
      <w:lang w:val="en-GB"/>
    </w:rPr>
  </w:style>
  <w:style w:type="table" w:styleId="ColorfulGrid">
    <w:name w:val="Colorful Grid"/>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B20091"/>
    <w:rPr>
      <w:color w:val="000000" w:themeColor="text1"/>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B20091"/>
    <w:rPr>
      <w:color w:val="000000" w:themeColor="text1"/>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B20091"/>
    <w:rPr>
      <w:color w:val="000000" w:themeColor="text1"/>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B20091"/>
    <w:rPr>
      <w:color w:val="000000" w:themeColor="text1"/>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B20091"/>
    <w:rPr>
      <w:color w:val="000000" w:themeColor="text1"/>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B20091"/>
    <w:rPr>
      <w:color w:val="000000" w:themeColor="text1"/>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B20091"/>
    <w:rPr>
      <w:color w:val="000000" w:themeColor="text1"/>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B20091"/>
    <w:rPr>
      <w:color w:val="000000" w:themeColor="text1"/>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B20091"/>
    <w:rPr>
      <w:color w:val="000000" w:themeColor="text1"/>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B20091"/>
    <w:rPr>
      <w:color w:val="000000" w:themeColor="text1"/>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B20091"/>
    <w:rPr>
      <w:color w:val="000000" w:themeColor="text1"/>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B20091"/>
    <w:rPr>
      <w:color w:val="000000" w:themeColor="text1"/>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B20091"/>
    <w:rPr>
      <w:color w:val="000000" w:themeColor="text1"/>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B20091"/>
    <w:rPr>
      <w:color w:val="000000" w:themeColor="text1"/>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B20091"/>
    <w:rPr>
      <w:color w:val="000000" w:themeColor="text1"/>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8"/>
    <w:semiHidden/>
    <w:rsid w:val="00B20091"/>
    <w:rPr>
      <w:sz w:val="16"/>
      <w:szCs w:val="16"/>
    </w:rPr>
  </w:style>
  <w:style w:type="paragraph" w:styleId="CommentText">
    <w:name w:val="annotation text"/>
    <w:basedOn w:val="Normal"/>
    <w:link w:val="CommentTextChar"/>
    <w:uiPriority w:val="98"/>
    <w:semiHidden/>
    <w:rsid w:val="00B20091"/>
    <w:rPr>
      <w:sz w:val="20"/>
      <w:szCs w:val="20"/>
    </w:rPr>
  </w:style>
  <w:style w:type="character" w:customStyle="1" w:styleId="CommentTextChar">
    <w:name w:val="Comment Text Char"/>
    <w:basedOn w:val="DefaultParagraphFont"/>
    <w:link w:val="CommentText"/>
    <w:uiPriority w:val="98"/>
    <w:semiHidden/>
    <w:rsid w:val="00B20091"/>
    <w:rPr>
      <w:rFonts w:eastAsiaTheme="minorEastAsia"/>
      <w:sz w:val="20"/>
      <w:szCs w:val="20"/>
      <w:lang w:val="en-GB"/>
    </w:rPr>
  </w:style>
  <w:style w:type="paragraph" w:styleId="CommentSubject">
    <w:name w:val="annotation subject"/>
    <w:basedOn w:val="CommentText"/>
    <w:next w:val="CommentText"/>
    <w:link w:val="CommentSubjectChar"/>
    <w:uiPriority w:val="98"/>
    <w:semiHidden/>
    <w:rsid w:val="00B20091"/>
    <w:rPr>
      <w:b/>
      <w:bCs/>
    </w:rPr>
  </w:style>
  <w:style w:type="character" w:customStyle="1" w:styleId="CommentSubjectChar">
    <w:name w:val="Comment Subject Char"/>
    <w:basedOn w:val="CommentTextChar"/>
    <w:link w:val="CommentSubject"/>
    <w:uiPriority w:val="98"/>
    <w:semiHidden/>
    <w:rsid w:val="00B20091"/>
    <w:rPr>
      <w:rFonts w:eastAsiaTheme="minorEastAsia"/>
      <w:b/>
      <w:bCs/>
      <w:sz w:val="20"/>
      <w:szCs w:val="20"/>
      <w:lang w:val="en-GB"/>
    </w:rPr>
  </w:style>
  <w:style w:type="table" w:styleId="DarkList">
    <w:name w:val="Dark List"/>
    <w:basedOn w:val="TableNormal"/>
    <w:uiPriority w:val="70"/>
    <w:semiHidden/>
    <w:rsid w:val="00B20091"/>
    <w:rPr>
      <w:color w:val="0072BC"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B20091"/>
    <w:rPr>
      <w:color w:val="0072BC" w:themeColor="background1"/>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B20091"/>
    <w:rPr>
      <w:color w:val="0072BC" w:themeColor="background1"/>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B20091"/>
    <w:rPr>
      <w:color w:val="0072BC" w:themeColor="background1"/>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B20091"/>
    <w:rPr>
      <w:color w:val="0072BC" w:themeColor="background1"/>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B20091"/>
    <w:rPr>
      <w:color w:val="0072BC" w:themeColor="background1"/>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B20091"/>
    <w:rPr>
      <w:color w:val="0072BC" w:themeColor="background1"/>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B20091"/>
  </w:style>
  <w:style w:type="character" w:customStyle="1" w:styleId="DateChar">
    <w:name w:val="Date Char"/>
    <w:basedOn w:val="DefaultParagraphFont"/>
    <w:link w:val="Date"/>
    <w:uiPriority w:val="98"/>
    <w:semiHidden/>
    <w:rsid w:val="00B20091"/>
    <w:rPr>
      <w:rFonts w:eastAsiaTheme="minorEastAsia"/>
      <w:sz w:val="24"/>
      <w:lang w:val="en-GB"/>
    </w:rPr>
  </w:style>
  <w:style w:type="paragraph" w:styleId="DocumentMap">
    <w:name w:val="Document Map"/>
    <w:basedOn w:val="Normal"/>
    <w:link w:val="DocumentMapChar"/>
    <w:uiPriority w:val="98"/>
    <w:semiHidden/>
    <w:rsid w:val="00B20091"/>
    <w:rPr>
      <w:rFonts w:ascii="Tahoma" w:hAnsi="Tahoma" w:cs="Tahoma"/>
      <w:sz w:val="16"/>
      <w:szCs w:val="16"/>
    </w:rPr>
  </w:style>
  <w:style w:type="character" w:customStyle="1" w:styleId="DocumentMapChar">
    <w:name w:val="Document Map Char"/>
    <w:basedOn w:val="DefaultParagraphFont"/>
    <w:link w:val="DocumentMap"/>
    <w:uiPriority w:val="98"/>
    <w:semiHidden/>
    <w:rsid w:val="00B20091"/>
    <w:rPr>
      <w:rFonts w:ascii="Tahoma" w:eastAsiaTheme="minorEastAsia" w:hAnsi="Tahoma" w:cs="Tahoma"/>
      <w:sz w:val="16"/>
      <w:szCs w:val="16"/>
      <w:lang w:val="en-GB"/>
    </w:rPr>
  </w:style>
  <w:style w:type="paragraph" w:styleId="E-mailSignature">
    <w:name w:val="E-mail Signature"/>
    <w:basedOn w:val="Normal"/>
    <w:link w:val="E-mailSignatureChar"/>
    <w:uiPriority w:val="98"/>
    <w:semiHidden/>
    <w:rsid w:val="00B20091"/>
  </w:style>
  <w:style w:type="character" w:customStyle="1" w:styleId="E-mailSignatureChar">
    <w:name w:val="E-mail Signature Char"/>
    <w:basedOn w:val="DefaultParagraphFont"/>
    <w:link w:val="E-mailSignature"/>
    <w:uiPriority w:val="98"/>
    <w:semiHidden/>
    <w:rsid w:val="00B20091"/>
    <w:rPr>
      <w:rFonts w:eastAsiaTheme="minorEastAsia"/>
      <w:sz w:val="24"/>
      <w:lang w:val="en-GB"/>
    </w:rPr>
  </w:style>
  <w:style w:type="character" w:styleId="EndnoteReference">
    <w:name w:val="endnote reference"/>
    <w:basedOn w:val="DefaultParagraphFont"/>
    <w:uiPriority w:val="98"/>
    <w:semiHidden/>
    <w:rsid w:val="00B20091"/>
    <w:rPr>
      <w:vertAlign w:val="superscript"/>
    </w:rPr>
  </w:style>
  <w:style w:type="paragraph" w:styleId="EndnoteText">
    <w:name w:val="endnote text"/>
    <w:basedOn w:val="Normal"/>
    <w:link w:val="EndnoteTextChar"/>
    <w:uiPriority w:val="98"/>
    <w:semiHidden/>
    <w:rsid w:val="00B20091"/>
    <w:rPr>
      <w:sz w:val="20"/>
      <w:szCs w:val="20"/>
    </w:rPr>
  </w:style>
  <w:style w:type="character" w:customStyle="1" w:styleId="EndnoteTextChar">
    <w:name w:val="Endnote Text Char"/>
    <w:basedOn w:val="DefaultParagraphFont"/>
    <w:link w:val="EndnoteText"/>
    <w:uiPriority w:val="98"/>
    <w:semiHidden/>
    <w:rsid w:val="00B20091"/>
    <w:rPr>
      <w:rFonts w:eastAsiaTheme="minorEastAsia"/>
      <w:sz w:val="20"/>
      <w:szCs w:val="20"/>
      <w:lang w:val="en-GB"/>
    </w:rPr>
  </w:style>
  <w:style w:type="paragraph" w:styleId="EnvelopeAddress">
    <w:name w:val="envelope address"/>
    <w:basedOn w:val="Normal"/>
    <w:uiPriority w:val="98"/>
    <w:semiHidden/>
    <w:rsid w:val="00B20091"/>
    <w:pPr>
      <w:framePr w:w="7938" w:h="1985" w:hRule="exact" w:hSpace="141" w:wrap="auto" w:hAnchor="page" w:xAlign="center" w:yAlign="bottom"/>
      <w:ind w:left="2835"/>
    </w:pPr>
    <w:rPr>
      <w:rFonts w:asciiTheme="majorHAnsi" w:eastAsiaTheme="majorEastAsia" w:hAnsiTheme="majorHAnsi" w:cstheme="majorBidi"/>
      <w:szCs w:val="24"/>
    </w:rPr>
  </w:style>
  <w:style w:type="paragraph" w:styleId="EnvelopeReturn">
    <w:name w:val="envelope return"/>
    <w:basedOn w:val="Normal"/>
    <w:uiPriority w:val="98"/>
    <w:semiHidden/>
    <w:rsid w:val="00B20091"/>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B20091"/>
    <w:rPr>
      <w:color w:val="7030A0" w:themeColor="followedHyperlink"/>
      <w:u w:val="single"/>
    </w:rPr>
  </w:style>
  <w:style w:type="character" w:styleId="HTMLAcronym">
    <w:name w:val="HTML Acronym"/>
    <w:basedOn w:val="DefaultParagraphFont"/>
    <w:uiPriority w:val="98"/>
    <w:semiHidden/>
    <w:rsid w:val="00B20091"/>
  </w:style>
  <w:style w:type="paragraph" w:styleId="HTMLAddress">
    <w:name w:val="HTML Address"/>
    <w:basedOn w:val="Normal"/>
    <w:link w:val="HTMLAddressChar"/>
    <w:uiPriority w:val="98"/>
    <w:semiHidden/>
    <w:rsid w:val="00B20091"/>
    <w:rPr>
      <w:i/>
      <w:iCs/>
    </w:rPr>
  </w:style>
  <w:style w:type="character" w:customStyle="1" w:styleId="HTMLAddressChar">
    <w:name w:val="HTML Address Char"/>
    <w:basedOn w:val="DefaultParagraphFont"/>
    <w:link w:val="HTMLAddress"/>
    <w:uiPriority w:val="98"/>
    <w:semiHidden/>
    <w:rsid w:val="00B20091"/>
    <w:rPr>
      <w:rFonts w:eastAsiaTheme="minorEastAsia"/>
      <w:i/>
      <w:iCs/>
      <w:sz w:val="24"/>
      <w:lang w:val="en-GB"/>
    </w:rPr>
  </w:style>
  <w:style w:type="character" w:styleId="HTMLCite">
    <w:name w:val="HTML Cite"/>
    <w:basedOn w:val="DefaultParagraphFont"/>
    <w:uiPriority w:val="98"/>
    <w:semiHidden/>
    <w:rsid w:val="00B20091"/>
    <w:rPr>
      <w:i/>
      <w:iCs/>
    </w:rPr>
  </w:style>
  <w:style w:type="character" w:styleId="HTMLCode">
    <w:name w:val="HTML Code"/>
    <w:basedOn w:val="DefaultParagraphFont"/>
    <w:uiPriority w:val="98"/>
    <w:semiHidden/>
    <w:rsid w:val="00B20091"/>
    <w:rPr>
      <w:rFonts w:ascii="Consolas" w:hAnsi="Consolas" w:cs="Consolas"/>
      <w:sz w:val="20"/>
      <w:szCs w:val="20"/>
    </w:rPr>
  </w:style>
  <w:style w:type="character" w:styleId="HTMLDefinition">
    <w:name w:val="HTML Definition"/>
    <w:basedOn w:val="DefaultParagraphFont"/>
    <w:uiPriority w:val="98"/>
    <w:semiHidden/>
    <w:rsid w:val="00B20091"/>
    <w:rPr>
      <w:i/>
      <w:iCs/>
    </w:rPr>
  </w:style>
  <w:style w:type="character" w:styleId="HTMLKeyboard">
    <w:name w:val="HTML Keyboard"/>
    <w:basedOn w:val="DefaultParagraphFont"/>
    <w:uiPriority w:val="98"/>
    <w:semiHidden/>
    <w:rsid w:val="00B20091"/>
    <w:rPr>
      <w:rFonts w:ascii="Consolas" w:hAnsi="Consolas" w:cs="Consolas"/>
      <w:sz w:val="20"/>
      <w:szCs w:val="20"/>
    </w:rPr>
  </w:style>
  <w:style w:type="paragraph" w:styleId="HTMLPreformatted">
    <w:name w:val="HTML Preformatted"/>
    <w:basedOn w:val="Normal"/>
    <w:link w:val="HTMLPreformattedChar"/>
    <w:uiPriority w:val="98"/>
    <w:semiHidden/>
    <w:rsid w:val="00B20091"/>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B20091"/>
    <w:rPr>
      <w:rFonts w:ascii="Consolas" w:eastAsiaTheme="minorEastAsia" w:hAnsi="Consolas" w:cs="Consolas"/>
      <w:sz w:val="20"/>
      <w:szCs w:val="20"/>
      <w:lang w:val="en-GB"/>
    </w:rPr>
  </w:style>
  <w:style w:type="character" w:styleId="HTMLSample">
    <w:name w:val="HTML Sample"/>
    <w:basedOn w:val="DefaultParagraphFont"/>
    <w:uiPriority w:val="98"/>
    <w:semiHidden/>
    <w:rsid w:val="00B20091"/>
    <w:rPr>
      <w:rFonts w:ascii="Consolas" w:hAnsi="Consolas" w:cs="Consolas"/>
      <w:sz w:val="24"/>
      <w:szCs w:val="24"/>
    </w:rPr>
  </w:style>
  <w:style w:type="character" w:styleId="HTMLTypewriter">
    <w:name w:val="HTML Typewriter"/>
    <w:basedOn w:val="DefaultParagraphFont"/>
    <w:uiPriority w:val="98"/>
    <w:semiHidden/>
    <w:rsid w:val="00B20091"/>
    <w:rPr>
      <w:rFonts w:ascii="Consolas" w:hAnsi="Consolas" w:cs="Consolas"/>
      <w:sz w:val="20"/>
      <w:szCs w:val="20"/>
    </w:rPr>
  </w:style>
  <w:style w:type="character" w:styleId="HTMLVariable">
    <w:name w:val="HTML Variable"/>
    <w:basedOn w:val="DefaultParagraphFont"/>
    <w:uiPriority w:val="98"/>
    <w:semiHidden/>
    <w:rsid w:val="00B20091"/>
    <w:rPr>
      <w:i/>
      <w:iCs/>
    </w:rPr>
  </w:style>
  <w:style w:type="paragraph" w:styleId="Index1">
    <w:name w:val="index 1"/>
    <w:basedOn w:val="Normal"/>
    <w:next w:val="Normal"/>
    <w:autoRedefine/>
    <w:uiPriority w:val="98"/>
    <w:semiHidden/>
    <w:rsid w:val="00B20091"/>
    <w:pPr>
      <w:ind w:left="240" w:hanging="240"/>
    </w:pPr>
  </w:style>
  <w:style w:type="paragraph" w:styleId="Index2">
    <w:name w:val="index 2"/>
    <w:basedOn w:val="Normal"/>
    <w:next w:val="Normal"/>
    <w:autoRedefine/>
    <w:uiPriority w:val="98"/>
    <w:semiHidden/>
    <w:rsid w:val="00B20091"/>
    <w:pPr>
      <w:ind w:left="480" w:hanging="240"/>
    </w:pPr>
  </w:style>
  <w:style w:type="paragraph" w:styleId="Index3">
    <w:name w:val="index 3"/>
    <w:basedOn w:val="Normal"/>
    <w:next w:val="Normal"/>
    <w:autoRedefine/>
    <w:uiPriority w:val="98"/>
    <w:semiHidden/>
    <w:rsid w:val="00B20091"/>
    <w:pPr>
      <w:ind w:left="720" w:hanging="240"/>
    </w:pPr>
  </w:style>
  <w:style w:type="paragraph" w:styleId="Index4">
    <w:name w:val="index 4"/>
    <w:basedOn w:val="Normal"/>
    <w:next w:val="Normal"/>
    <w:autoRedefine/>
    <w:uiPriority w:val="98"/>
    <w:semiHidden/>
    <w:rsid w:val="00B20091"/>
    <w:pPr>
      <w:ind w:left="960" w:hanging="240"/>
    </w:pPr>
  </w:style>
  <w:style w:type="paragraph" w:styleId="Index5">
    <w:name w:val="index 5"/>
    <w:basedOn w:val="Normal"/>
    <w:next w:val="Normal"/>
    <w:autoRedefine/>
    <w:uiPriority w:val="98"/>
    <w:semiHidden/>
    <w:rsid w:val="00B20091"/>
    <w:pPr>
      <w:ind w:left="1200" w:hanging="240"/>
    </w:pPr>
  </w:style>
  <w:style w:type="paragraph" w:styleId="Index6">
    <w:name w:val="index 6"/>
    <w:basedOn w:val="Normal"/>
    <w:next w:val="Normal"/>
    <w:autoRedefine/>
    <w:uiPriority w:val="98"/>
    <w:semiHidden/>
    <w:rsid w:val="00B20091"/>
    <w:pPr>
      <w:ind w:left="1440" w:hanging="240"/>
    </w:pPr>
  </w:style>
  <w:style w:type="paragraph" w:styleId="Index7">
    <w:name w:val="index 7"/>
    <w:basedOn w:val="Normal"/>
    <w:next w:val="Normal"/>
    <w:autoRedefine/>
    <w:uiPriority w:val="98"/>
    <w:semiHidden/>
    <w:rsid w:val="00B20091"/>
    <w:pPr>
      <w:ind w:left="1680" w:hanging="240"/>
    </w:pPr>
  </w:style>
  <w:style w:type="paragraph" w:styleId="Index8">
    <w:name w:val="index 8"/>
    <w:basedOn w:val="Normal"/>
    <w:next w:val="Normal"/>
    <w:autoRedefine/>
    <w:uiPriority w:val="98"/>
    <w:semiHidden/>
    <w:rsid w:val="00B20091"/>
    <w:pPr>
      <w:ind w:left="1920" w:hanging="240"/>
    </w:pPr>
  </w:style>
  <w:style w:type="paragraph" w:styleId="Index9">
    <w:name w:val="index 9"/>
    <w:basedOn w:val="Normal"/>
    <w:next w:val="Normal"/>
    <w:autoRedefine/>
    <w:uiPriority w:val="98"/>
    <w:semiHidden/>
    <w:rsid w:val="00B20091"/>
    <w:pPr>
      <w:ind w:left="2160" w:hanging="240"/>
    </w:pPr>
  </w:style>
  <w:style w:type="paragraph" w:styleId="IndexHeading">
    <w:name w:val="index heading"/>
    <w:basedOn w:val="Normal"/>
    <w:next w:val="Index1"/>
    <w:uiPriority w:val="98"/>
    <w:semiHidden/>
    <w:rsid w:val="00B20091"/>
    <w:rPr>
      <w:rFonts w:asciiTheme="majorHAnsi" w:eastAsiaTheme="majorEastAsia" w:hAnsiTheme="majorHAnsi" w:cstheme="majorBidi"/>
      <w:b/>
      <w:bCs/>
    </w:rPr>
  </w:style>
  <w:style w:type="table" w:styleId="LightGrid">
    <w:name w:val="Light Grid"/>
    <w:basedOn w:val="TableNormal"/>
    <w:uiPriority w:val="62"/>
    <w:semiHidden/>
    <w:rsid w:val="00B200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B2009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B2009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B2009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B2009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B2009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B2009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B200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B20091"/>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B20091"/>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B20091"/>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B20091"/>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B20091"/>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B20091"/>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B200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B20091"/>
    <w:rPr>
      <w:color w:val="00548C" w:themeColor="accent1" w:themeShade="BF"/>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B20091"/>
    <w:rPr>
      <w:color w:val="8F0000" w:themeColor="accent2" w:themeShade="BF"/>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B20091"/>
    <w:rPr>
      <w:color w:val="474747" w:themeColor="accent3" w:themeShade="BF"/>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B20091"/>
    <w:rPr>
      <w:color w:val="707070" w:themeColor="accent4" w:themeShade="BF"/>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B20091"/>
    <w:rPr>
      <w:color w:val="474747" w:themeColor="accent5" w:themeShade="BF"/>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B20091"/>
    <w:rPr>
      <w:color w:val="393939" w:themeColor="accent6" w:themeShade="BF"/>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B20091"/>
  </w:style>
  <w:style w:type="paragraph" w:styleId="List">
    <w:name w:val="List"/>
    <w:basedOn w:val="Normal"/>
    <w:uiPriority w:val="98"/>
    <w:semiHidden/>
    <w:rsid w:val="00B20091"/>
    <w:pPr>
      <w:ind w:left="283" w:hanging="283"/>
      <w:contextualSpacing/>
    </w:pPr>
  </w:style>
  <w:style w:type="paragraph" w:styleId="List2">
    <w:name w:val="List 2"/>
    <w:basedOn w:val="Normal"/>
    <w:uiPriority w:val="98"/>
    <w:semiHidden/>
    <w:rsid w:val="00B20091"/>
    <w:pPr>
      <w:ind w:left="566" w:hanging="283"/>
      <w:contextualSpacing/>
    </w:pPr>
  </w:style>
  <w:style w:type="paragraph" w:styleId="List3">
    <w:name w:val="List 3"/>
    <w:basedOn w:val="Normal"/>
    <w:uiPriority w:val="98"/>
    <w:semiHidden/>
    <w:rsid w:val="00B20091"/>
    <w:pPr>
      <w:ind w:left="849" w:hanging="283"/>
      <w:contextualSpacing/>
    </w:pPr>
  </w:style>
  <w:style w:type="paragraph" w:styleId="List4">
    <w:name w:val="List 4"/>
    <w:basedOn w:val="Normal"/>
    <w:uiPriority w:val="98"/>
    <w:semiHidden/>
    <w:rsid w:val="00B20091"/>
    <w:pPr>
      <w:ind w:left="1132" w:hanging="283"/>
      <w:contextualSpacing/>
    </w:pPr>
  </w:style>
  <w:style w:type="paragraph" w:styleId="List5">
    <w:name w:val="List 5"/>
    <w:basedOn w:val="Normal"/>
    <w:uiPriority w:val="98"/>
    <w:semiHidden/>
    <w:rsid w:val="00B20091"/>
    <w:pPr>
      <w:ind w:left="1415" w:hanging="283"/>
      <w:contextualSpacing/>
    </w:pPr>
  </w:style>
  <w:style w:type="paragraph" w:styleId="ListBullet2">
    <w:name w:val="List Bullet 2"/>
    <w:basedOn w:val="Normal"/>
    <w:uiPriority w:val="98"/>
    <w:semiHidden/>
    <w:rsid w:val="00B20091"/>
    <w:pPr>
      <w:numPr>
        <w:numId w:val="10"/>
      </w:numPr>
      <w:contextualSpacing/>
    </w:pPr>
  </w:style>
  <w:style w:type="paragraph" w:styleId="ListBullet4">
    <w:name w:val="List Bullet 4"/>
    <w:basedOn w:val="Normal"/>
    <w:uiPriority w:val="98"/>
    <w:semiHidden/>
    <w:rsid w:val="00B20091"/>
    <w:pPr>
      <w:numPr>
        <w:numId w:val="12"/>
      </w:numPr>
      <w:contextualSpacing/>
    </w:pPr>
  </w:style>
  <w:style w:type="paragraph" w:styleId="ListBullet5">
    <w:name w:val="List Bullet 5"/>
    <w:basedOn w:val="Normal"/>
    <w:uiPriority w:val="98"/>
    <w:semiHidden/>
    <w:rsid w:val="00B20091"/>
    <w:pPr>
      <w:numPr>
        <w:numId w:val="13"/>
      </w:numPr>
      <w:contextualSpacing/>
    </w:pPr>
  </w:style>
  <w:style w:type="paragraph" w:styleId="ListContinue">
    <w:name w:val="List Continue"/>
    <w:basedOn w:val="Normal"/>
    <w:uiPriority w:val="98"/>
    <w:semiHidden/>
    <w:rsid w:val="00B20091"/>
    <w:pPr>
      <w:spacing w:after="120"/>
      <w:ind w:left="283"/>
      <w:contextualSpacing/>
    </w:pPr>
  </w:style>
  <w:style w:type="paragraph" w:styleId="ListContinue2">
    <w:name w:val="List Continue 2"/>
    <w:basedOn w:val="Normal"/>
    <w:uiPriority w:val="98"/>
    <w:semiHidden/>
    <w:rsid w:val="00B20091"/>
    <w:pPr>
      <w:spacing w:after="120"/>
      <w:ind w:left="566"/>
      <w:contextualSpacing/>
    </w:pPr>
  </w:style>
  <w:style w:type="paragraph" w:styleId="ListContinue3">
    <w:name w:val="List Continue 3"/>
    <w:basedOn w:val="Normal"/>
    <w:uiPriority w:val="98"/>
    <w:semiHidden/>
    <w:rsid w:val="00B20091"/>
    <w:pPr>
      <w:spacing w:after="120"/>
      <w:ind w:left="849"/>
      <w:contextualSpacing/>
    </w:pPr>
  </w:style>
  <w:style w:type="paragraph" w:styleId="ListContinue4">
    <w:name w:val="List Continue 4"/>
    <w:basedOn w:val="Normal"/>
    <w:uiPriority w:val="98"/>
    <w:semiHidden/>
    <w:rsid w:val="00B20091"/>
    <w:pPr>
      <w:spacing w:after="120"/>
      <w:ind w:left="1132"/>
      <w:contextualSpacing/>
    </w:pPr>
  </w:style>
  <w:style w:type="paragraph" w:styleId="ListContinue5">
    <w:name w:val="List Continue 5"/>
    <w:basedOn w:val="Normal"/>
    <w:uiPriority w:val="98"/>
    <w:semiHidden/>
    <w:rsid w:val="00B20091"/>
    <w:pPr>
      <w:spacing w:after="120"/>
      <w:ind w:left="1415"/>
      <w:contextualSpacing/>
    </w:pPr>
  </w:style>
  <w:style w:type="paragraph" w:styleId="ListNumber">
    <w:name w:val="List Number"/>
    <w:basedOn w:val="Normal"/>
    <w:uiPriority w:val="98"/>
    <w:semiHidden/>
    <w:rsid w:val="00B20091"/>
    <w:pPr>
      <w:numPr>
        <w:numId w:val="14"/>
      </w:numPr>
      <w:contextualSpacing/>
    </w:pPr>
  </w:style>
  <w:style w:type="paragraph" w:styleId="ListNumber2">
    <w:name w:val="List Number 2"/>
    <w:basedOn w:val="Normal"/>
    <w:uiPriority w:val="98"/>
    <w:semiHidden/>
    <w:rsid w:val="00B20091"/>
    <w:pPr>
      <w:numPr>
        <w:numId w:val="15"/>
      </w:numPr>
      <w:contextualSpacing/>
    </w:pPr>
  </w:style>
  <w:style w:type="paragraph" w:styleId="ListNumber3">
    <w:name w:val="List Number 3"/>
    <w:basedOn w:val="Normal"/>
    <w:uiPriority w:val="98"/>
    <w:semiHidden/>
    <w:rsid w:val="00B20091"/>
    <w:pPr>
      <w:numPr>
        <w:numId w:val="16"/>
      </w:numPr>
      <w:contextualSpacing/>
    </w:pPr>
  </w:style>
  <w:style w:type="paragraph" w:styleId="ListNumber4">
    <w:name w:val="List Number 4"/>
    <w:basedOn w:val="Normal"/>
    <w:uiPriority w:val="98"/>
    <w:semiHidden/>
    <w:rsid w:val="00B20091"/>
    <w:pPr>
      <w:numPr>
        <w:numId w:val="17"/>
      </w:numPr>
      <w:contextualSpacing/>
    </w:pPr>
  </w:style>
  <w:style w:type="paragraph" w:styleId="ListNumber5">
    <w:name w:val="List Number 5"/>
    <w:basedOn w:val="Normal"/>
    <w:uiPriority w:val="98"/>
    <w:semiHidden/>
    <w:rsid w:val="00B20091"/>
    <w:pPr>
      <w:numPr>
        <w:numId w:val="18"/>
      </w:numPr>
      <w:contextualSpacing/>
    </w:pPr>
  </w:style>
  <w:style w:type="paragraph" w:styleId="MacroText">
    <w:name w:val="macro"/>
    <w:link w:val="MacroTextChar"/>
    <w:uiPriority w:val="98"/>
    <w:semiHidden/>
    <w:rsid w:val="00B20091"/>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B20091"/>
    <w:rPr>
      <w:rFonts w:ascii="Consolas" w:eastAsiaTheme="minorEastAsia" w:hAnsi="Consolas" w:cs="Consolas"/>
      <w:sz w:val="20"/>
      <w:szCs w:val="20"/>
    </w:rPr>
  </w:style>
  <w:style w:type="table" w:styleId="MediumGrid1">
    <w:name w:val="Medium Grid 1"/>
    <w:basedOn w:val="TableNormal"/>
    <w:uiPriority w:val="67"/>
    <w:semiHidden/>
    <w:rsid w:val="00B200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B2009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B2009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B2009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B2009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B2009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B2009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B20091"/>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B20091"/>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B20091"/>
    <w:rPr>
      <w:color w:val="000000" w:themeColor="text1"/>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B20091"/>
    <w:rPr>
      <w:color w:val="000000" w:themeColor="text1"/>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B20091"/>
    <w:rPr>
      <w:color w:val="000000" w:themeColor="text1"/>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B20091"/>
    <w:rPr>
      <w:color w:val="000000" w:themeColor="text1"/>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B20091"/>
    <w:rPr>
      <w:color w:val="000000" w:themeColor="text1"/>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B20091"/>
    <w:rPr>
      <w:color w:val="000000" w:themeColor="text1"/>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B20091"/>
    <w:rPr>
      <w:rFonts w:asciiTheme="majorHAnsi" w:eastAsiaTheme="majorEastAsia" w:hAnsiTheme="majorHAnsi" w:cstheme="majorBidi"/>
      <w:color w:val="000000" w:themeColor="text1"/>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B20091"/>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B20091"/>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B20091"/>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B20091"/>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B20091"/>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B20091"/>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B20091"/>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B2009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B2009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8"/>
    <w:semiHidden/>
    <w:rsid w:val="00B20091"/>
    <w:rPr>
      <w:rFonts w:asciiTheme="majorHAnsi" w:eastAsiaTheme="majorEastAsia" w:hAnsiTheme="majorHAnsi" w:cstheme="majorBidi"/>
      <w:sz w:val="24"/>
      <w:szCs w:val="24"/>
      <w:shd w:val="pct20" w:color="auto" w:fill="auto"/>
      <w:lang w:val="en-GB"/>
    </w:rPr>
  </w:style>
  <w:style w:type="paragraph" w:styleId="NormalWeb">
    <w:name w:val="Normal (Web)"/>
    <w:basedOn w:val="Normal"/>
    <w:uiPriority w:val="98"/>
    <w:semiHidden/>
    <w:rsid w:val="00B20091"/>
    <w:rPr>
      <w:rFonts w:ascii="Times New Roman" w:hAnsi="Times New Roman" w:cs="Times New Roman"/>
      <w:szCs w:val="24"/>
    </w:rPr>
  </w:style>
  <w:style w:type="paragraph" w:styleId="NormalIndent">
    <w:name w:val="Normal Indent"/>
    <w:basedOn w:val="Normal"/>
    <w:uiPriority w:val="98"/>
    <w:semiHidden/>
    <w:rsid w:val="00B20091"/>
    <w:pPr>
      <w:ind w:left="720"/>
    </w:pPr>
  </w:style>
  <w:style w:type="character" w:styleId="PlaceholderText">
    <w:name w:val="Placeholder Text"/>
    <w:basedOn w:val="DefaultParagraphFont"/>
    <w:uiPriority w:val="98"/>
    <w:semiHidden/>
    <w:rsid w:val="00B20091"/>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B20091"/>
    <w:rPr>
      <w:rFonts w:ascii="Consolas" w:hAnsi="Consolas" w:cs="Consolas"/>
      <w:sz w:val="21"/>
      <w:szCs w:val="21"/>
    </w:rPr>
  </w:style>
  <w:style w:type="character" w:customStyle="1" w:styleId="PlainTextChar">
    <w:name w:val="Plain Text Char"/>
    <w:basedOn w:val="DefaultParagraphFont"/>
    <w:link w:val="PlainText"/>
    <w:uiPriority w:val="98"/>
    <w:semiHidden/>
    <w:rsid w:val="00B20091"/>
    <w:rPr>
      <w:rFonts w:ascii="Consolas" w:eastAsiaTheme="minorEastAsia" w:hAnsi="Consolas" w:cs="Consolas"/>
      <w:sz w:val="21"/>
      <w:szCs w:val="21"/>
      <w:lang w:val="en-GB"/>
    </w:rPr>
  </w:style>
  <w:style w:type="paragraph" w:styleId="Salutation">
    <w:name w:val="Salutation"/>
    <w:basedOn w:val="Normal"/>
    <w:next w:val="Normal"/>
    <w:link w:val="SalutationChar"/>
    <w:uiPriority w:val="98"/>
    <w:semiHidden/>
    <w:rsid w:val="00B20091"/>
  </w:style>
  <w:style w:type="character" w:customStyle="1" w:styleId="SalutationChar">
    <w:name w:val="Salutation Char"/>
    <w:basedOn w:val="DefaultParagraphFont"/>
    <w:link w:val="Salutation"/>
    <w:uiPriority w:val="98"/>
    <w:semiHidden/>
    <w:rsid w:val="00B20091"/>
    <w:rPr>
      <w:rFonts w:eastAsiaTheme="minorEastAsia"/>
      <w:sz w:val="24"/>
      <w:lang w:val="en-GB"/>
    </w:rPr>
  </w:style>
  <w:style w:type="paragraph" w:styleId="Signature">
    <w:name w:val="Signature"/>
    <w:basedOn w:val="Normal"/>
    <w:link w:val="SignatureChar"/>
    <w:uiPriority w:val="98"/>
    <w:semiHidden/>
    <w:rsid w:val="00B20091"/>
    <w:pPr>
      <w:ind w:left="4252"/>
    </w:pPr>
  </w:style>
  <w:style w:type="character" w:customStyle="1" w:styleId="SignatureChar">
    <w:name w:val="Signature Char"/>
    <w:basedOn w:val="DefaultParagraphFont"/>
    <w:link w:val="Signature"/>
    <w:uiPriority w:val="98"/>
    <w:semiHidden/>
    <w:rsid w:val="00B20091"/>
    <w:rPr>
      <w:rFonts w:eastAsiaTheme="minorEastAsia"/>
      <w:sz w:val="24"/>
      <w:lang w:val="en-GB"/>
    </w:rPr>
  </w:style>
  <w:style w:type="table" w:styleId="Table3Deffects1">
    <w:name w:val="Table 3D effects 1"/>
    <w:basedOn w:val="TableNormal"/>
    <w:uiPriority w:val="99"/>
    <w:semiHidden/>
    <w:unhideWhenUsed/>
    <w:rsid w:val="00B20091"/>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B20091"/>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B20091"/>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B20091"/>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B20091"/>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B20091"/>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B20091"/>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B20091"/>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B20091"/>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B20091"/>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B20091"/>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B20091"/>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B20091"/>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B20091"/>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B20091"/>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B20091"/>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B20091"/>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B200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B20091"/>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B20091"/>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B20091"/>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B20091"/>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B20091"/>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B20091"/>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B20091"/>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B20091"/>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B20091"/>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B20091"/>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B20091"/>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B20091"/>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B20091"/>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B20091"/>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B20091"/>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B20091"/>
    <w:pPr>
      <w:ind w:left="240" w:hanging="240"/>
    </w:pPr>
  </w:style>
  <w:style w:type="paragraph" w:styleId="TableofFigures">
    <w:name w:val="table of figures"/>
    <w:basedOn w:val="Normal"/>
    <w:next w:val="Normal"/>
    <w:uiPriority w:val="98"/>
    <w:semiHidden/>
    <w:rsid w:val="00B20091"/>
  </w:style>
  <w:style w:type="table" w:styleId="TableProfessional">
    <w:name w:val="Table Professional"/>
    <w:basedOn w:val="TableNormal"/>
    <w:uiPriority w:val="99"/>
    <w:semiHidden/>
    <w:unhideWhenUsed/>
    <w:rsid w:val="00B20091"/>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B20091"/>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B20091"/>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B20091"/>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B20091"/>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B20091"/>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B20091"/>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B20091"/>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B20091"/>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B20091"/>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6">
    <w:name w:val="toc 6"/>
    <w:basedOn w:val="Normal"/>
    <w:next w:val="Normal"/>
    <w:autoRedefine/>
    <w:uiPriority w:val="98"/>
    <w:semiHidden/>
    <w:rsid w:val="00B20091"/>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B20091"/>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B20091"/>
    <w:pPr>
      <w:spacing w:after="100"/>
      <w:ind w:left="1680"/>
    </w:pPr>
  </w:style>
  <w:style w:type="paragraph" w:styleId="TOC9">
    <w:name w:val="toc 9"/>
    <w:basedOn w:val="Normal"/>
    <w:next w:val="Normal"/>
    <w:autoRedefine/>
    <w:uiPriority w:val="98"/>
    <w:semiHidden/>
    <w:rsid w:val="00B20091"/>
    <w:pPr>
      <w:spacing w:after="100"/>
      <w:ind w:left="1920"/>
    </w:pPr>
  </w:style>
  <w:style w:type="paragraph" w:customStyle="1" w:styleId="DecHTitle">
    <w:name w:val="Dec_H_Title"/>
    <w:aliases w:val="_Title_1"/>
    <w:basedOn w:val="JuPara"/>
    <w:next w:val="JuPara"/>
    <w:uiPriority w:val="38"/>
    <w:qFormat/>
    <w:rsid w:val="00B20091"/>
    <w:pPr>
      <w:keepNext/>
      <w:keepLines/>
      <w:spacing w:after="240"/>
      <w:ind w:firstLine="0"/>
      <w:jc w:val="center"/>
      <w:outlineLvl w:val="0"/>
    </w:pPr>
    <w:rPr>
      <w:rFonts w:asciiTheme="majorHAnsi" w:hAnsiTheme="majorHAnsi"/>
      <w:sz w:val="28"/>
    </w:rPr>
  </w:style>
  <w:style w:type="paragraph" w:customStyle="1" w:styleId="JuJudges">
    <w:name w:val="Ju_Judges"/>
    <w:aliases w:val="_Judges"/>
    <w:basedOn w:val="Normal"/>
    <w:uiPriority w:val="32"/>
    <w:qFormat/>
    <w:rsid w:val="00B20091"/>
    <w:pPr>
      <w:tabs>
        <w:tab w:val="left" w:pos="567"/>
        <w:tab w:val="left" w:pos="1134"/>
      </w:tabs>
    </w:pPr>
  </w:style>
  <w:style w:type="paragraph" w:customStyle="1" w:styleId="ECHRFooter">
    <w:name w:val="ECHR_Footer"/>
    <w:aliases w:val="Footer_ECHR"/>
    <w:basedOn w:val="Footer"/>
    <w:uiPriority w:val="57"/>
    <w:semiHidden/>
    <w:rsid w:val="00B20091"/>
    <w:rPr>
      <w:sz w:val="8"/>
    </w:rPr>
  </w:style>
  <w:style w:type="paragraph" w:customStyle="1" w:styleId="FooterLine">
    <w:name w:val="_Footer_Line"/>
    <w:aliases w:val="Footer_Line"/>
    <w:basedOn w:val="Normal"/>
    <w:next w:val="Footer0"/>
    <w:uiPriority w:val="57"/>
    <w:semiHidden/>
    <w:rsid w:val="00B20091"/>
    <w:pPr>
      <w:pBdr>
        <w:top w:val="single" w:sz="6" w:space="1" w:color="5F5F5F"/>
      </w:pBdr>
      <w:tabs>
        <w:tab w:val="center" w:pos="4536"/>
        <w:tab w:val="right" w:pos="9696"/>
      </w:tabs>
      <w:ind w:left="-680" w:right="-680"/>
    </w:pPr>
    <w:rPr>
      <w:color w:val="5F5F5F"/>
    </w:rPr>
  </w:style>
  <w:style w:type="paragraph" w:customStyle="1" w:styleId="DecHCase">
    <w:name w:val="Dec_H_Case"/>
    <w:aliases w:val="_Title_3"/>
    <w:basedOn w:val="JuPara"/>
    <w:next w:val="JuPara"/>
    <w:uiPriority w:val="38"/>
    <w:qFormat/>
    <w:rsid w:val="00B20091"/>
    <w:pPr>
      <w:keepNext/>
      <w:keepLines/>
      <w:spacing w:after="280"/>
      <w:ind w:firstLine="0"/>
      <w:jc w:val="center"/>
    </w:pPr>
    <w:rPr>
      <w:rFonts w:asciiTheme="majorHAnsi" w:hAnsiTheme="majorHAnsi"/>
    </w:rPr>
  </w:style>
  <w:style w:type="paragraph" w:customStyle="1" w:styleId="ECHRLine">
    <w:name w:val="ECHR_Line"/>
    <w:aliases w:val="_Line"/>
    <w:basedOn w:val="NormalJustified"/>
    <w:next w:val="Normal"/>
    <w:uiPriority w:val="46"/>
    <w:semiHidden/>
    <w:rsid w:val="00B20091"/>
    <w:pPr>
      <w:pBdr>
        <w:bottom w:val="single" w:sz="12" w:space="1" w:color="949494" w:themeColor="text2" w:themeShade="BF"/>
      </w:pBdr>
      <w:spacing w:after="120"/>
    </w:pPr>
    <w:rPr>
      <w:rFonts w:eastAsiaTheme="minorHAnsi"/>
      <w:sz w:val="12"/>
    </w:rPr>
  </w:style>
  <w:style w:type="paragraph" w:customStyle="1" w:styleId="JuHeaderLandscape">
    <w:name w:val="Ju_Header_Landscape"/>
    <w:aliases w:val="_Header_Landscape"/>
    <w:basedOn w:val="JuHeader"/>
    <w:uiPriority w:val="29"/>
    <w:qFormat/>
    <w:rsid w:val="00B20091"/>
    <w:pPr>
      <w:tabs>
        <w:tab w:val="clear" w:pos="3686"/>
        <w:tab w:val="clear" w:pos="7371"/>
        <w:tab w:val="center" w:pos="6146"/>
        <w:tab w:val="right" w:pos="12293"/>
      </w:tabs>
    </w:pPr>
  </w:style>
  <w:style w:type="paragraph" w:customStyle="1" w:styleId="JuTitle">
    <w:name w:val="Ju_Title"/>
    <w:aliases w:val="_Title_2"/>
    <w:basedOn w:val="Normal"/>
    <w:next w:val="JuPara"/>
    <w:uiPriority w:val="38"/>
    <w:qFormat/>
    <w:rsid w:val="00B20091"/>
    <w:pPr>
      <w:keepNext/>
      <w:keepLines/>
      <w:spacing w:before="1320" w:after="280"/>
      <w:contextualSpacing/>
      <w:jc w:val="center"/>
    </w:pPr>
    <w:rPr>
      <w:rFonts w:eastAsiaTheme="minorHAnsi"/>
      <w:b/>
    </w:rPr>
  </w:style>
  <w:style w:type="character" w:customStyle="1" w:styleId="JuNames0">
    <w:name w:val="Ju_Names"/>
    <w:rsid w:val="005C5787"/>
    <w:rPr>
      <w:rFonts w:ascii="Times New Roman" w:hAnsi="Times New Roman" w:cs="Times New Roman"/>
      <w:smallCaps/>
    </w:rPr>
  </w:style>
  <w:style w:type="paragraph" w:styleId="NoteHeading">
    <w:name w:val="Note Heading"/>
    <w:basedOn w:val="Normal"/>
    <w:next w:val="Normal"/>
    <w:link w:val="NoteHeadingChar"/>
    <w:uiPriority w:val="98"/>
    <w:semiHidden/>
    <w:rsid w:val="00B20091"/>
  </w:style>
  <w:style w:type="paragraph" w:customStyle="1" w:styleId="DecList">
    <w:name w:val="Dec_List"/>
    <w:aliases w:val="_List"/>
    <w:basedOn w:val="JuList"/>
    <w:uiPriority w:val="22"/>
    <w:rsid w:val="00B20091"/>
    <w:pPr>
      <w:numPr>
        <w:numId w:val="0"/>
      </w:numPr>
    </w:pPr>
  </w:style>
  <w:style w:type="paragraph" w:customStyle="1" w:styleId="ECHRNumberedList1">
    <w:name w:val="ECHR_Numbered_List_1"/>
    <w:aliases w:val="_Num_1"/>
    <w:basedOn w:val="Normal"/>
    <w:uiPriority w:val="23"/>
    <w:semiHidden/>
    <w:qFormat/>
    <w:rsid w:val="00B20091"/>
    <w:pPr>
      <w:numPr>
        <w:numId w:val="7"/>
      </w:numPr>
      <w:spacing w:before="60" w:after="60"/>
    </w:pPr>
    <w:rPr>
      <w:sz w:val="22"/>
    </w:rPr>
  </w:style>
  <w:style w:type="paragraph" w:customStyle="1" w:styleId="ECHRNumberedList2">
    <w:name w:val="ECHR_Numbered_List_2"/>
    <w:aliases w:val="_Num_2"/>
    <w:basedOn w:val="ECHRNumberedList1"/>
    <w:uiPriority w:val="23"/>
    <w:semiHidden/>
    <w:rsid w:val="00B20091"/>
    <w:pPr>
      <w:numPr>
        <w:ilvl w:val="1"/>
      </w:numPr>
    </w:pPr>
  </w:style>
  <w:style w:type="paragraph" w:customStyle="1" w:styleId="ECHRNumberedList3">
    <w:name w:val="ECHR_Numbered_List_3"/>
    <w:aliases w:val="_Num_3"/>
    <w:basedOn w:val="ECHRNumberedList2"/>
    <w:uiPriority w:val="23"/>
    <w:semiHidden/>
    <w:rsid w:val="00B20091"/>
    <w:pPr>
      <w:numPr>
        <w:ilvl w:val="2"/>
      </w:numPr>
    </w:pPr>
  </w:style>
  <w:style w:type="character" w:customStyle="1" w:styleId="ECHRRed">
    <w:name w:val="ECHR_Red"/>
    <w:aliases w:val="_Red"/>
    <w:basedOn w:val="DefaultParagraphFont"/>
    <w:uiPriority w:val="15"/>
    <w:semiHidden/>
    <w:qFormat/>
    <w:rsid w:val="00B20091"/>
    <w:rPr>
      <w:color w:val="C00000" w:themeColor="accent2"/>
    </w:rPr>
  </w:style>
  <w:style w:type="paragraph" w:customStyle="1" w:styleId="ECHRHeaderDate">
    <w:name w:val="ECHR_Header_Date"/>
    <w:aliases w:val="_Ref_Date"/>
    <w:basedOn w:val="Normal"/>
    <w:uiPriority w:val="44"/>
    <w:semiHidden/>
    <w:qFormat/>
    <w:rsid w:val="00B20091"/>
    <w:pPr>
      <w:jc w:val="right"/>
    </w:pPr>
    <w:rPr>
      <w:rFonts w:eastAsiaTheme="minorHAnsi"/>
      <w:sz w:val="20"/>
    </w:rPr>
  </w:style>
  <w:style w:type="paragraph" w:customStyle="1" w:styleId="ECHRHeaderRefIt">
    <w:name w:val="ECHR_Header_Ref_It"/>
    <w:aliases w:val="_Ref_Ital"/>
    <w:basedOn w:val="Normal"/>
    <w:next w:val="ECHRHeaderDate"/>
    <w:uiPriority w:val="43"/>
    <w:semiHidden/>
    <w:qFormat/>
    <w:rsid w:val="00B20091"/>
    <w:pPr>
      <w:jc w:val="right"/>
    </w:pPr>
    <w:rPr>
      <w:rFonts w:eastAsiaTheme="minorHAnsi"/>
      <w:i/>
      <w:sz w:val="20"/>
    </w:rPr>
  </w:style>
  <w:style w:type="paragraph" w:customStyle="1" w:styleId="ECHRSpacer">
    <w:name w:val="ECHR_Spacer"/>
    <w:aliases w:val="_Spacer"/>
    <w:basedOn w:val="Normal"/>
    <w:uiPriority w:val="45"/>
    <w:semiHidden/>
    <w:rsid w:val="00B20091"/>
    <w:rPr>
      <w:rFonts w:eastAsiaTheme="minorHAnsi"/>
      <w:sz w:val="4"/>
    </w:rPr>
  </w:style>
  <w:style w:type="paragraph" w:customStyle="1" w:styleId="ECHRCoverTitle4">
    <w:name w:val="ECHR_Cover_Title_4"/>
    <w:aliases w:val="_Title_4"/>
    <w:basedOn w:val="JuPara"/>
    <w:next w:val="JuPara"/>
    <w:uiPriority w:val="38"/>
    <w:qFormat/>
    <w:rsid w:val="00B20091"/>
    <w:pPr>
      <w:keepNext/>
      <w:keepLines/>
      <w:tabs>
        <w:tab w:val="right" w:pos="7938"/>
      </w:tabs>
      <w:ind w:firstLine="0"/>
      <w:jc w:val="center"/>
    </w:pPr>
    <w:rPr>
      <w:rFonts w:eastAsiaTheme="minorHAnsi"/>
      <w:i/>
    </w:rPr>
  </w:style>
  <w:style w:type="paragraph" w:customStyle="1" w:styleId="ECHRTitleCentre1">
    <w:name w:val="ECHR_Title_Centre_1"/>
    <w:aliases w:val="_Title_C_1"/>
    <w:basedOn w:val="Normal"/>
    <w:next w:val="Normal"/>
    <w:uiPriority w:val="26"/>
    <w:semiHidden/>
    <w:qFormat/>
    <w:rsid w:val="00B20091"/>
    <w:pPr>
      <w:keepNext/>
      <w:keepLines/>
      <w:spacing w:before="240"/>
      <w:contextualSpacing/>
      <w:jc w:val="center"/>
    </w:pPr>
    <w:rPr>
      <w:rFonts w:asciiTheme="majorHAnsi" w:eastAsiaTheme="minorHAnsi" w:hAnsiTheme="majorHAnsi"/>
      <w:b/>
      <w:color w:val="2F2F2F" w:themeColor="accent3" w:themeShade="80"/>
      <w:sz w:val="32"/>
    </w:rPr>
  </w:style>
  <w:style w:type="paragraph" w:customStyle="1" w:styleId="ECHRTitleCentre2">
    <w:name w:val="ECHR_Title_Centre_2"/>
    <w:aliases w:val="_Title_C_2"/>
    <w:basedOn w:val="Normal"/>
    <w:next w:val="Normal"/>
    <w:uiPriority w:val="26"/>
    <w:semiHidden/>
    <w:qFormat/>
    <w:rsid w:val="00B20091"/>
    <w:pPr>
      <w:keepNext/>
      <w:keepLines/>
      <w:spacing w:before="240"/>
      <w:contextualSpacing/>
      <w:jc w:val="center"/>
    </w:pPr>
    <w:rPr>
      <w:rFonts w:asciiTheme="majorHAnsi" w:eastAsiaTheme="minorHAnsi" w:hAnsiTheme="majorHAnsi"/>
      <w:b/>
      <w:color w:val="474747" w:themeColor="accent3" w:themeShade="BF"/>
      <w:sz w:val="28"/>
    </w:rPr>
  </w:style>
  <w:style w:type="paragraph" w:customStyle="1" w:styleId="ECHRTitleCentre3">
    <w:name w:val="ECHR_Title_Centre_3"/>
    <w:aliases w:val="_Title_C_3"/>
    <w:basedOn w:val="Normal"/>
    <w:next w:val="Normal"/>
    <w:uiPriority w:val="26"/>
    <w:semiHidden/>
    <w:qFormat/>
    <w:rsid w:val="00B20091"/>
    <w:pPr>
      <w:keepNext/>
      <w:keepLines/>
      <w:spacing w:before="240"/>
      <w:contextualSpacing/>
      <w:jc w:val="center"/>
    </w:pPr>
    <w:rPr>
      <w:rFonts w:asciiTheme="majorHAnsi" w:eastAsiaTheme="min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semiHidden/>
    <w:qFormat/>
    <w:rsid w:val="00B20091"/>
    <w:pPr>
      <w:outlineLvl w:val="0"/>
    </w:pPr>
  </w:style>
  <w:style w:type="paragraph" w:customStyle="1" w:styleId="ECHRTitle1">
    <w:name w:val="ECHR_Title_1"/>
    <w:aliases w:val="_Title_L_1"/>
    <w:basedOn w:val="Normal"/>
    <w:next w:val="Normal"/>
    <w:uiPriority w:val="28"/>
    <w:semiHidden/>
    <w:qFormat/>
    <w:rsid w:val="00B20091"/>
    <w:pPr>
      <w:keepNext/>
      <w:keepLines/>
      <w:spacing w:before="240"/>
      <w:contextualSpacing/>
    </w:pPr>
    <w:rPr>
      <w:rFonts w:asciiTheme="majorHAnsi" w:eastAsiaTheme="minorHAnsi" w:hAnsiTheme="majorHAnsi"/>
      <w:b/>
      <w:color w:val="2F2F2F" w:themeColor="accent3" w:themeShade="80"/>
      <w:sz w:val="32"/>
    </w:rPr>
  </w:style>
  <w:style w:type="paragraph" w:customStyle="1" w:styleId="ECHRTitle2">
    <w:name w:val="ECHR_Title_2"/>
    <w:aliases w:val="_Title_L_2"/>
    <w:basedOn w:val="Normal"/>
    <w:next w:val="Normal"/>
    <w:uiPriority w:val="28"/>
    <w:semiHidden/>
    <w:qFormat/>
    <w:rsid w:val="00B20091"/>
    <w:pPr>
      <w:keepNext/>
      <w:keepLines/>
      <w:spacing w:before="240"/>
      <w:contextualSpacing/>
    </w:pPr>
    <w:rPr>
      <w:rFonts w:asciiTheme="majorHAnsi" w:eastAsiaTheme="minorHAnsi" w:hAnsiTheme="majorHAnsi"/>
      <w:b/>
      <w:color w:val="474747" w:themeColor="accent3" w:themeShade="BF"/>
      <w:sz w:val="28"/>
    </w:rPr>
  </w:style>
  <w:style w:type="paragraph" w:customStyle="1" w:styleId="ECHRTitle3">
    <w:name w:val="ECHR_Title_3"/>
    <w:aliases w:val="_Title_L_3"/>
    <w:basedOn w:val="Normal"/>
    <w:next w:val="Normal"/>
    <w:uiPriority w:val="28"/>
    <w:semiHidden/>
    <w:qFormat/>
    <w:rsid w:val="00B20091"/>
    <w:pPr>
      <w:keepNext/>
      <w:keepLines/>
      <w:spacing w:before="240"/>
      <w:contextualSpacing/>
    </w:pPr>
    <w:rPr>
      <w:rFonts w:asciiTheme="majorHAnsi" w:eastAsiaTheme="minorHAnsi" w:hAnsiTheme="majorHAnsi"/>
      <w:b/>
      <w:color w:val="474747" w:themeColor="accent3" w:themeShade="BF"/>
    </w:rPr>
  </w:style>
  <w:style w:type="paragraph" w:customStyle="1" w:styleId="ECHRTitleTOC1">
    <w:name w:val="ECHR_Title_TOC_1"/>
    <w:aliases w:val="_Title_L_TOC"/>
    <w:basedOn w:val="ECHRTitle1"/>
    <w:next w:val="Normal"/>
    <w:uiPriority w:val="27"/>
    <w:semiHidden/>
    <w:qFormat/>
    <w:rsid w:val="00B20091"/>
    <w:pPr>
      <w:outlineLvl w:val="0"/>
    </w:pPr>
  </w:style>
  <w:style w:type="numbering" w:customStyle="1" w:styleId="ECHRA1StyleBulletedSquare">
    <w:name w:val="ECHR_A1_Style_Bulleted_Square"/>
    <w:basedOn w:val="NoList"/>
    <w:rsid w:val="00B20091"/>
    <w:pPr>
      <w:numPr>
        <w:numId w:val="5"/>
      </w:numPr>
    </w:pPr>
  </w:style>
  <w:style w:type="numbering" w:customStyle="1" w:styleId="ECHRA1StyleList">
    <w:name w:val="ECHR_A1_Style_List"/>
    <w:basedOn w:val="NoList"/>
    <w:uiPriority w:val="99"/>
    <w:rsid w:val="00B20091"/>
    <w:pPr>
      <w:numPr>
        <w:numId w:val="6"/>
      </w:numPr>
    </w:pPr>
  </w:style>
  <w:style w:type="numbering" w:customStyle="1" w:styleId="ECHRA1StyleNumberedList">
    <w:name w:val="ECHR_A1_Style_Numbered_List"/>
    <w:basedOn w:val="NoList"/>
    <w:rsid w:val="00B20091"/>
    <w:pPr>
      <w:numPr>
        <w:numId w:val="7"/>
      </w:numPr>
    </w:pPr>
  </w:style>
  <w:style w:type="table" w:customStyle="1" w:styleId="ECHRTable2">
    <w:name w:val="ECHR_Table_2"/>
    <w:basedOn w:val="TableNormal"/>
    <w:uiPriority w:val="99"/>
    <w:rsid w:val="00B20091"/>
    <w:pPr>
      <w:tabs>
        <w:tab w:val="left" w:pos="567"/>
        <w:tab w:val="left" w:pos="851"/>
        <w:tab w:val="right" w:pos="5273"/>
      </w:tabs>
    </w:pPr>
    <w:rPr>
      <w:color w:val="262626" w:themeColor="text1" w:themeTint="D9"/>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B2009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table" w:customStyle="1" w:styleId="ECHRTable2019">
    <w:name w:val="ECHR_Table_2019"/>
    <w:basedOn w:val="TableNormal"/>
    <w:uiPriority w:val="99"/>
    <w:rsid w:val="00B20091"/>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Footer0">
    <w:name w:val="_Footer"/>
    <w:aliases w:val="Footer_"/>
    <w:basedOn w:val="Footer"/>
    <w:uiPriority w:val="57"/>
    <w:semiHidden/>
    <w:rsid w:val="00B20091"/>
    <w:rPr>
      <w:sz w:val="8"/>
    </w:rPr>
  </w:style>
  <w:style w:type="character" w:customStyle="1" w:styleId="NoteHeadingChar">
    <w:name w:val="Note Heading Char"/>
    <w:basedOn w:val="DefaultParagraphFont"/>
    <w:link w:val="NoteHeading"/>
    <w:uiPriority w:val="98"/>
    <w:semiHidden/>
    <w:rsid w:val="00B20091"/>
    <w:rPr>
      <w:rFonts w:eastAsiaTheme="minorEastAsia"/>
      <w:sz w:val="24"/>
      <w:lang w:val="en-GB"/>
    </w:rPr>
  </w:style>
  <w:style w:type="character" w:customStyle="1" w:styleId="ECHRParaChar">
    <w:name w:val="ECHR_Para Char"/>
    <w:aliases w:val="Ju_Para Char"/>
    <w:link w:val="JuPara"/>
    <w:uiPriority w:val="12"/>
    <w:rsid w:val="007514DB"/>
    <w:rPr>
      <w:rFonts w:eastAsiaTheme="minorEastAsia"/>
      <w:sz w:val="24"/>
      <w:lang w:val="en-GB"/>
    </w:rPr>
  </w:style>
  <w:style w:type="character" w:customStyle="1" w:styleId="tm-p-em">
    <w:name w:val="tm-p-em"/>
    <w:basedOn w:val="DefaultParagraphFont"/>
    <w:rsid w:val="007753D5"/>
  </w:style>
  <w:style w:type="character" w:customStyle="1" w:styleId="tm-p-">
    <w:name w:val="tm-p-"/>
    <w:basedOn w:val="DefaultParagraphFont"/>
    <w:rsid w:val="0077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055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46C46-7509-44F7-91FF-EDFB4F67E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7135</Words>
  <Characters>40672</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2020-02-24T08:51:00Z</dcterms:created>
  <dcterms:modified xsi:type="dcterms:W3CDTF">2020-02-24T08:51:00Z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