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E1E" w:rsidRPr="00AF4DEC" w:rsidRDefault="00BC3E1E" w:rsidP="00AF4DEC">
      <w:pPr>
        <w:jc w:val="center"/>
        <w:rPr>
          <w:rFonts w:ascii="Times New Roman" w:hAnsi="Times New Roman" w:cs="Times New Roman"/>
          <w:noProof/>
        </w:rPr>
      </w:pPr>
    </w:p>
    <w:p w:rsidR="0098410D" w:rsidRPr="00AF4DEC" w:rsidRDefault="0098410D" w:rsidP="00AF4DEC">
      <w:pPr>
        <w:jc w:val="center"/>
      </w:pPr>
    </w:p>
    <w:p w:rsidR="0098410D" w:rsidRPr="00AF4DEC" w:rsidRDefault="00B8382B" w:rsidP="00AF4DEC">
      <w:pPr>
        <w:pStyle w:val="DecHTitle"/>
      </w:pPr>
      <w:r>
        <w:t>ТРЕТО ОТДЕЛЕНИЕ</w:t>
      </w:r>
    </w:p>
    <w:p w:rsidR="00E30FF2" w:rsidRPr="00AF4DEC" w:rsidRDefault="00B8382B" w:rsidP="00AF4DEC">
      <w:pPr>
        <w:pStyle w:val="JuTitle"/>
      </w:pPr>
      <w:r>
        <w:t>ДЕЛО „НЕВАДА ТУРС 2004“ АД И</w:t>
      </w:r>
    </w:p>
    <w:p w:rsidR="008E6217" w:rsidRPr="00AF4DEC" w:rsidRDefault="00B8382B" w:rsidP="00AF4DEC">
      <w:pPr>
        <w:pStyle w:val="JuTitle"/>
      </w:pPr>
      <w:r>
        <w:t>БЪЛГАРСКО ТУРИСТИЧЕСКО ДРУЖЕСТВО „ГЛОБАЛ ТУРС“ АД срещу БЪЛГАРИЯ</w:t>
      </w:r>
    </w:p>
    <w:p w:rsidR="00D74888" w:rsidRPr="00AF4DEC" w:rsidRDefault="00B8382B" w:rsidP="00AF4DEC">
      <w:pPr>
        <w:pStyle w:val="ECHRCoverTitle4"/>
      </w:pPr>
      <w:r>
        <w:t>(Жалби № 4173/20 и 6186/20)</w:t>
      </w:r>
    </w:p>
    <w:p w:rsidR="0098410D" w:rsidRPr="00AF4DEC" w:rsidRDefault="0098410D" w:rsidP="00AF4DEC">
      <w:pPr>
        <w:pStyle w:val="DecHCase"/>
      </w:pPr>
    </w:p>
    <w:p w:rsidR="00AF4DEC" w:rsidRPr="00AF4DEC" w:rsidRDefault="00AF4DEC" w:rsidP="00AF4DEC">
      <w:pPr>
        <w:pStyle w:val="DecHCase"/>
      </w:pPr>
    </w:p>
    <w:p w:rsidR="00AF4DEC" w:rsidRPr="00AF4DEC" w:rsidRDefault="00AF4DEC" w:rsidP="00AF4DEC">
      <w:pPr>
        <w:pStyle w:val="DecHCase"/>
      </w:pPr>
    </w:p>
    <w:p w:rsidR="0098410D" w:rsidRPr="00AF4DEC" w:rsidRDefault="0098410D" w:rsidP="00AF4DEC">
      <w:pPr>
        <w:pStyle w:val="DecHCase"/>
      </w:pPr>
    </w:p>
    <w:p w:rsidR="00AC4CD4" w:rsidRPr="00AF4DEC" w:rsidRDefault="00AC4CD4" w:rsidP="00AF4DEC">
      <w:pPr>
        <w:pStyle w:val="DecHCase"/>
      </w:pPr>
    </w:p>
    <w:p w:rsidR="0098410D" w:rsidRPr="00AF4DEC" w:rsidRDefault="0098410D" w:rsidP="00AF4DEC">
      <w:pPr>
        <w:pStyle w:val="DecHCase"/>
      </w:pPr>
    </w:p>
    <w:p w:rsidR="0098410D" w:rsidRPr="00AF4DEC" w:rsidRDefault="00B8382B" w:rsidP="00AF4DEC">
      <w:pPr>
        <w:pStyle w:val="DecHCase"/>
      </w:pPr>
      <w:r>
        <w:t>РЕШЕНИЕ</w:t>
      </w:r>
      <w:r>
        <w:br/>
      </w:r>
    </w:p>
    <w:p w:rsidR="0098410D" w:rsidRPr="00AF4DEC" w:rsidRDefault="00B8382B" w:rsidP="00AF4DEC">
      <w:pPr>
        <w:pStyle w:val="DecHCase"/>
      </w:pPr>
      <w:r>
        <w:t>СТРАСБУРГ</w:t>
      </w:r>
    </w:p>
    <w:p w:rsidR="0098410D" w:rsidRPr="00AF4DEC" w:rsidRDefault="00B8382B" w:rsidP="00AF4DEC">
      <w:pPr>
        <w:pStyle w:val="DecHCase"/>
      </w:pPr>
      <w:r>
        <w:rPr>
          <w:rFonts w:ascii="Times New Roman" w:hAnsi="Times New Roman"/>
        </w:rPr>
        <w:t>10 септември 2024 г.</w:t>
      </w:r>
    </w:p>
    <w:p w:rsidR="00AC4CD4" w:rsidRPr="00AF4DEC" w:rsidRDefault="00AC4CD4" w:rsidP="00AF4DEC">
      <w:pPr>
        <w:pStyle w:val="JuPara"/>
      </w:pPr>
    </w:p>
    <w:p w:rsidR="002422B6" w:rsidRPr="00AF4DEC" w:rsidRDefault="00B8382B" w:rsidP="00AF4DEC">
      <w:pPr>
        <w:rPr>
          <w:i/>
          <w:sz w:val="22"/>
        </w:rPr>
      </w:pPr>
      <w:r>
        <w:rPr>
          <w:i/>
          <w:sz w:val="22"/>
        </w:rPr>
        <w:t>Това решение е окончателно, но може да бъде предмет на редакционни промени.</w:t>
      </w:r>
    </w:p>
    <w:p w:rsidR="0098410D" w:rsidRPr="00AF4DEC" w:rsidRDefault="0098410D" w:rsidP="00AF4DEC">
      <w:pPr>
        <w:sectPr w:rsidR="0098410D" w:rsidRPr="00AF4DEC" w:rsidSect="008755DE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2274" w:right="1983" w:bottom="2274" w:left="2274" w:header="1701" w:footer="720" w:gutter="0"/>
          <w:pgNumType w:start="1"/>
          <w:cols w:space="720"/>
          <w:noEndnote/>
          <w:titlePg/>
        </w:sectPr>
      </w:pPr>
    </w:p>
    <w:p w:rsidR="0098410D" w:rsidRPr="00AF4DEC" w:rsidRDefault="00B8382B" w:rsidP="00AF4DEC">
      <w:pPr>
        <w:pStyle w:val="JuCase"/>
      </w:pPr>
      <w:r>
        <w:lastRenderedPageBreak/>
        <w:t>По делото „Невада турс 2004“ АД И Българско туристическо дружество „Глобал турс“ АД</w:t>
      </w:r>
    </w:p>
    <w:p w:rsidR="009F4C8F" w:rsidRPr="00AF4DEC" w:rsidRDefault="00B8382B" w:rsidP="00AF4DEC">
      <w:pPr>
        <w:pStyle w:val="JuPara"/>
      </w:pPr>
      <w:r>
        <w:t>Европейският съд по правата на човека (Трето отделение), заседаващ като камара в състав:</w:t>
      </w:r>
    </w:p>
    <w:p w:rsidR="00A92625" w:rsidRPr="00AF4DEC" w:rsidRDefault="00B8382B" w:rsidP="00AF4DEC">
      <w:pPr>
        <w:pStyle w:val="JuJudges"/>
      </w:pPr>
      <w:r>
        <w:tab/>
        <w:t xml:space="preserve">Джорджос Сергидес </w:t>
      </w:r>
      <w:r>
        <w:rPr>
          <w:i/>
          <w:iCs/>
        </w:rPr>
        <w:t>(Georgios A. Serghides)</w:t>
      </w:r>
      <w:r>
        <w:t xml:space="preserve">, </w:t>
      </w:r>
      <w:r>
        <w:rPr>
          <w:i/>
          <w:iCs/>
        </w:rPr>
        <w:t>председател</w:t>
      </w:r>
      <w:r>
        <w:br/>
      </w:r>
      <w:r>
        <w:tab/>
        <w:t xml:space="preserve">Одни Мьол Арнардотир </w:t>
      </w:r>
      <w:r>
        <w:rPr>
          <w:i/>
          <w:iCs/>
        </w:rPr>
        <w:t>(Oddný Mjöll Arnardóttir)</w:t>
      </w:r>
      <w:r>
        <w:t>,</w:t>
      </w:r>
      <w:r>
        <w:br/>
      </w:r>
      <w:r>
        <w:tab/>
        <w:t xml:space="preserve">Диана Ковачева, </w:t>
      </w:r>
      <w:r>
        <w:rPr>
          <w:i/>
          <w:iCs/>
        </w:rPr>
        <w:t>съдии</w:t>
      </w:r>
      <w:r>
        <w:t>,</w:t>
      </w:r>
      <w:r>
        <w:br/>
        <w:t xml:space="preserve">и Олга Чернишова, </w:t>
      </w:r>
      <w:r>
        <w:rPr>
          <w:i/>
          <w:iCs/>
        </w:rPr>
        <w:t>заместник-секретар на отделението,</w:t>
      </w:r>
    </w:p>
    <w:p w:rsidR="00BC3E1E" w:rsidRPr="00AF4DEC" w:rsidRDefault="00B8382B" w:rsidP="00AF4DEC">
      <w:pPr>
        <w:pStyle w:val="JuPara"/>
      </w:pPr>
      <w:r>
        <w:t>като взе предвид:</w:t>
      </w:r>
    </w:p>
    <w:p w:rsidR="00BC3E1E" w:rsidRPr="00AF4DEC" w:rsidRDefault="00B8382B" w:rsidP="00AF4DEC">
      <w:pPr>
        <w:pStyle w:val="JuPara"/>
      </w:pPr>
      <w:r>
        <w:t>жалбата срещу Република България, подадена в Съда на основание чл. 34 от Конвенцията за защита на правата на човека и основните свободи („Конвенцията“) от две български акционерни дружества, както са изброени в приложената таблица („дружествата</w:t>
      </w:r>
      <w:r w:rsidR="00D05285">
        <w:t xml:space="preserve"> -</w:t>
      </w:r>
      <w:r>
        <w:t xml:space="preserve"> жалбоподатели“), на различните дати, посочени в нея;</w:t>
      </w:r>
    </w:p>
    <w:p w:rsidR="00BC3E1E" w:rsidRPr="00AF4DEC" w:rsidRDefault="00B8382B" w:rsidP="00AF4DEC">
      <w:pPr>
        <w:pStyle w:val="JuPara"/>
      </w:pPr>
      <w:r>
        <w:t>решението да уведоми Българското правителство („Правителството“), представлявано от правителствения агент г-жа М. Цочева от Министерство на правосъдието, за подадените жалби;</w:t>
      </w:r>
    </w:p>
    <w:p w:rsidR="00BC3E1E" w:rsidRPr="00AF4DEC" w:rsidRDefault="00B8382B" w:rsidP="00AF4DEC">
      <w:pPr>
        <w:pStyle w:val="JuPara"/>
      </w:pPr>
      <w:r>
        <w:t>становищата на страните;</w:t>
      </w:r>
    </w:p>
    <w:p w:rsidR="009F4C8F" w:rsidRPr="00AF4DEC" w:rsidRDefault="00B8382B" w:rsidP="00AF4DEC">
      <w:pPr>
        <w:pStyle w:val="JuPara"/>
      </w:pPr>
      <w:r>
        <w:t>След закрито заседание, проведено на 9 юли 2024 г.,</w:t>
      </w:r>
    </w:p>
    <w:p w:rsidR="009F4C8F" w:rsidRPr="00AF4DEC" w:rsidRDefault="00B8382B" w:rsidP="00AF4DEC">
      <w:pPr>
        <w:pStyle w:val="JuPara"/>
      </w:pPr>
      <w:r>
        <w:t>постанови следното решение, прието на същата дата:</w:t>
      </w:r>
    </w:p>
    <w:p w:rsidR="00BC3E1E" w:rsidRPr="00AF4DEC" w:rsidRDefault="00B8382B" w:rsidP="00AF4DEC">
      <w:pPr>
        <w:pStyle w:val="JuHHead"/>
        <w:numPr>
          <w:ilvl w:val="0"/>
          <w:numId w:val="0"/>
        </w:numPr>
      </w:pPr>
      <w:r>
        <w:t>ПРЕДМЕТ НА ДЕЛОТО</w:t>
      </w:r>
    </w:p>
    <w:p w:rsidR="00BC3E1E" w:rsidRPr="00AF4DEC" w:rsidRDefault="00A111E2" w:rsidP="00AF4DEC">
      <w:pPr>
        <w:pStyle w:val="JuPara"/>
      </w:pPr>
      <w:r>
        <w:fldChar w:fldCharType="begin"/>
      </w:r>
      <w:r>
        <w:instrText xml:space="preserve"> SEQ level0 \*arabic \* MERGEFORMAT </w:instrText>
      </w:r>
      <w:r>
        <w:fldChar w:fldCharType="separate"/>
      </w:r>
      <w:bookmarkStart w:id="0" w:name="paragraph00001"/>
      <w:r w:rsidR="0005076F">
        <w:rPr>
          <w:noProof/>
        </w:rPr>
        <w:t>1</w:t>
      </w:r>
      <w:bookmarkEnd w:id="0"/>
      <w:r>
        <w:rPr>
          <w:noProof/>
        </w:rPr>
        <w:fldChar w:fldCharType="end"/>
      </w:r>
      <w:r w:rsidR="00B8382B">
        <w:t>.  Делото е от вида, разгледан в „</w:t>
      </w:r>
      <w:r w:rsidR="00B8382B" w:rsidRPr="001C4377">
        <w:rPr>
          <w:i/>
        </w:rPr>
        <w:t>Костов и други срещу България</w:t>
      </w:r>
      <w:r w:rsidR="00B8382B">
        <w:t xml:space="preserve">“ (№. 66581/12 и 25054/15, 14 май 2020 г.) и се отнася до адекватността на обезщетението за отчуждаване по Закона за държавната собственост. През 2019 г. областният управител на </w:t>
      </w:r>
      <w:r w:rsidR="00212170" w:rsidRPr="00212170">
        <w:t>област Бургас</w:t>
      </w:r>
      <w:r w:rsidR="00212170">
        <w:t xml:space="preserve"> </w:t>
      </w:r>
      <w:r w:rsidR="00375E9A">
        <w:t>отчуждава два парцела</w:t>
      </w:r>
      <w:r w:rsidR="008E590E">
        <w:t>,</w:t>
      </w:r>
      <w:r w:rsidR="00B8382B">
        <w:t xml:space="preserve"> собственост на дружествата</w:t>
      </w:r>
      <w:r w:rsidR="00437AC8">
        <w:t xml:space="preserve"> -</w:t>
      </w:r>
      <w:r w:rsidR="00B8382B">
        <w:t xml:space="preserve"> жалбоподатели, с размери 4 103 и 14 390 квадратни метра</w:t>
      </w:r>
      <w:r w:rsidR="002505E0">
        <w:t>,</w:t>
      </w:r>
      <w:r w:rsidR="00B8382B">
        <w:t xml:space="preserve"> за изграждане на път. Дружествата използват  парцелите съгласно договори за</w:t>
      </w:r>
      <w:r w:rsidR="000D4DC9" w:rsidRPr="000D4DC9">
        <w:t xml:space="preserve"> лизинг</w:t>
      </w:r>
      <w:r w:rsidR="00B8382B">
        <w:t xml:space="preserve"> от 2007 г., като </w:t>
      </w:r>
      <w:r w:rsidR="00C05C02">
        <w:t>накрая,</w:t>
      </w:r>
      <w:r w:rsidR="00B8382B">
        <w:t xml:space="preserve"> през 2018</w:t>
      </w:r>
      <w:r w:rsidR="00176C37">
        <w:t xml:space="preserve"> </w:t>
      </w:r>
      <w:r w:rsidR="004A6DFF">
        <w:t xml:space="preserve">г. ги </w:t>
      </w:r>
      <w:r w:rsidR="00B8382B">
        <w:t xml:space="preserve">купуват. Договорите за </w:t>
      </w:r>
      <w:r w:rsidR="00716E6A">
        <w:t>лизинг</w:t>
      </w:r>
      <w:r w:rsidR="00B8382B">
        <w:t xml:space="preserve"> са </w:t>
      </w:r>
      <w:r w:rsidR="0057165E">
        <w:t xml:space="preserve">били </w:t>
      </w:r>
      <w:r w:rsidR="00B8382B">
        <w:t>сключени, тъй като жалбоподателите са възнамерявали да застроят земята, която, макар и формално считана за земеделска, е била част от индустриална зона в околностите на град Бургас. Съгласно местния градоустройствен план от 2011 г. теренът е отреден за обществени и административни услуги, търговия и малки частни предприятия.</w:t>
      </w:r>
    </w:p>
    <w:p w:rsidR="00BC3E1E" w:rsidRPr="00AF4DEC" w:rsidRDefault="00A111E2" w:rsidP="00AF4DEC">
      <w:pPr>
        <w:pStyle w:val="JuPara"/>
      </w:pPr>
      <w:r>
        <w:fldChar w:fldCharType="begin"/>
      </w:r>
      <w:r>
        <w:instrText xml:space="preserve"> SEQ level0 \*arabic \*</w:instrText>
      </w:r>
      <w:r>
        <w:instrText xml:space="preserve"> MERGEFORMAT </w:instrText>
      </w:r>
      <w:r>
        <w:fldChar w:fldCharType="separate"/>
      </w:r>
      <w:bookmarkStart w:id="1" w:name="paragraph00002"/>
      <w:r w:rsidR="0005076F">
        <w:rPr>
          <w:noProof/>
        </w:rPr>
        <w:t>2</w:t>
      </w:r>
      <w:bookmarkEnd w:id="1"/>
      <w:r>
        <w:rPr>
          <w:noProof/>
        </w:rPr>
        <w:fldChar w:fldCharType="end"/>
      </w:r>
      <w:r w:rsidR="00B8382B">
        <w:t>.  В производството по отчуждаване, което приключва с две окончателни решения на Административен съд Бургас от 12 и 22 юли 2019 г., земята на жалбоподателите е счетена за земеделска</w:t>
      </w:r>
      <w:r w:rsidR="00982ADE">
        <w:t>.</w:t>
      </w:r>
      <w:r w:rsidR="00B8382B">
        <w:t xml:space="preserve"> </w:t>
      </w:r>
      <w:r w:rsidR="00982ADE">
        <w:t>П</w:t>
      </w:r>
      <w:r w:rsidR="00B8382B">
        <w:t xml:space="preserve">ри </w:t>
      </w:r>
      <w:r w:rsidR="00982ADE" w:rsidRPr="00982ADE">
        <w:t>подбора на сравними имоти, с които са били извършени сделки в периода</w:t>
      </w:r>
      <w:r w:rsidR="00B8382B">
        <w:t>, предхождащ отчуждаването,</w:t>
      </w:r>
      <w:r w:rsidR="001C2D41">
        <w:t xml:space="preserve"> и</w:t>
      </w:r>
      <w:r w:rsidR="00B8382B">
        <w:t xml:space="preserve"> в съответствие с критериите, </w:t>
      </w:r>
      <w:r w:rsidR="007E41E9">
        <w:t>предвидени</w:t>
      </w:r>
      <w:r w:rsidR="00B8382B">
        <w:t xml:space="preserve"> в Закона за държавната собственост (вж. „</w:t>
      </w:r>
      <w:r w:rsidR="00B8382B" w:rsidRPr="00EA5FA7">
        <w:rPr>
          <w:i/>
        </w:rPr>
        <w:t>Костов и други</w:t>
      </w:r>
      <w:r w:rsidR="00B8382B">
        <w:t xml:space="preserve">“, цитирано по-горе, §§ 25-26), властите вземат предвид земеделската земя. По-конкретно, </w:t>
      </w:r>
      <w:r w:rsidR="00551098" w:rsidRPr="00551098">
        <w:t>Административен съд – Бургас</w:t>
      </w:r>
      <w:r w:rsidR="00551098">
        <w:t xml:space="preserve"> </w:t>
      </w:r>
      <w:r w:rsidR="00B8382B">
        <w:t>се позова</w:t>
      </w:r>
      <w:bookmarkStart w:id="2" w:name="_GoBack"/>
      <w:bookmarkEnd w:id="2"/>
      <w:r w:rsidR="00B8382B">
        <w:t xml:space="preserve">ва на </w:t>
      </w:r>
      <w:r w:rsidR="006D7453" w:rsidRPr="006D7453">
        <w:t>експертен доклад,</w:t>
      </w:r>
      <w:r w:rsidR="00B8382B">
        <w:t xml:space="preserve"> в ко</w:t>
      </w:r>
      <w:r w:rsidR="00D15413">
        <w:t>й</w:t>
      </w:r>
      <w:r w:rsidR="00B8382B">
        <w:t xml:space="preserve">то са </w:t>
      </w:r>
      <w:r w:rsidR="00B8382B">
        <w:lastRenderedPageBreak/>
        <w:t xml:space="preserve">изброени двадесет </w:t>
      </w:r>
      <w:r w:rsidR="001C272C" w:rsidRPr="001C272C">
        <w:t>имота от този вид</w:t>
      </w:r>
      <w:r w:rsidR="001C272C">
        <w:t xml:space="preserve"> </w:t>
      </w:r>
      <w:r w:rsidR="00B8382B">
        <w:t>в района на Бургас, продадени на цени, вариращи от 0,42 български лева (BGN) (0,21 евро – EUR) до 88 лв. (EUR 45) на квадратен метър. Средната стойност, изчислена на това основание, и съответно обезщетението, присъдено на дружествата</w:t>
      </w:r>
      <w:r w:rsidR="004E4504">
        <w:t xml:space="preserve"> -</w:t>
      </w:r>
      <w:r w:rsidR="00B8382B">
        <w:t xml:space="preserve"> жалбоподатели, е еквивалентна на 16,57 лв. (8,47 евро) на квадратен метър.</w:t>
      </w:r>
    </w:p>
    <w:p w:rsidR="00BC3E1E" w:rsidRPr="00AF4DEC" w:rsidRDefault="00A111E2" w:rsidP="00AF4DEC">
      <w:pPr>
        <w:pStyle w:val="JuPara"/>
      </w:pPr>
      <w:r>
        <w:fldChar w:fldCharType="begin"/>
      </w:r>
      <w:r>
        <w:instrText xml:space="preserve"> SEQ level0 \*arabic \* MERGEFORMAT </w:instrText>
      </w:r>
      <w:r>
        <w:fldChar w:fldCharType="separate"/>
      </w:r>
      <w:r w:rsidR="0005076F">
        <w:rPr>
          <w:noProof/>
        </w:rPr>
        <w:t>3</w:t>
      </w:r>
      <w:r>
        <w:rPr>
          <w:noProof/>
        </w:rPr>
        <w:fldChar w:fldCharType="end"/>
      </w:r>
      <w:r w:rsidR="00B8382B">
        <w:t xml:space="preserve">.  Дружествата </w:t>
      </w:r>
      <w:r w:rsidR="00D8793E">
        <w:t xml:space="preserve">- </w:t>
      </w:r>
      <w:r w:rsidR="00B8382B">
        <w:t xml:space="preserve">жалбоподатели се оплакват по чл. 1 от Протокол № 1, позовавайки се в допълнение на чл. 13 от Конвенцията, че </w:t>
      </w:r>
      <w:r w:rsidR="000C6604" w:rsidRPr="000C6604">
        <w:t>размерът на обезщетението е неадекватен,</w:t>
      </w:r>
      <w:r w:rsidR="00B8382B">
        <w:t xml:space="preserve"> тъй като е значително под действителната пазарна стойност на </w:t>
      </w:r>
      <w:r w:rsidR="005A764C">
        <w:t>имотите им</w:t>
      </w:r>
      <w:r w:rsidR="00B8382B">
        <w:t>.</w:t>
      </w:r>
    </w:p>
    <w:p w:rsidR="00BC3E1E" w:rsidRPr="00AF4DEC" w:rsidRDefault="00B8382B" w:rsidP="00AF4DEC">
      <w:pPr>
        <w:pStyle w:val="JuHHead"/>
      </w:pPr>
      <w:r>
        <w:t>ПРЕЦЕНКАТА НА СЪДА</w:t>
      </w:r>
    </w:p>
    <w:p w:rsidR="00BC3E1E" w:rsidRPr="00AF4DEC" w:rsidRDefault="00B8382B" w:rsidP="00AF4DEC">
      <w:pPr>
        <w:pStyle w:val="JuHIRoman"/>
      </w:pPr>
      <w:r>
        <w:t>ОБЕДИНЯВАНЕ НА ЖАЛБИТЕ</w:t>
      </w:r>
    </w:p>
    <w:p w:rsidR="00BC3E1E" w:rsidRPr="00AF4DEC" w:rsidRDefault="00A111E2" w:rsidP="00AF4DEC">
      <w:pPr>
        <w:pStyle w:val="JuPara"/>
      </w:pPr>
      <w:r>
        <w:fldChar w:fldCharType="begin"/>
      </w:r>
      <w:r>
        <w:instrText xml:space="preserve"> SEQ level0 \*arabic \* MERGEFORM</w:instrText>
      </w:r>
      <w:r>
        <w:instrText xml:space="preserve">AT </w:instrText>
      </w:r>
      <w:r>
        <w:fldChar w:fldCharType="separate"/>
      </w:r>
      <w:r w:rsidR="0005076F">
        <w:rPr>
          <w:noProof/>
        </w:rPr>
        <w:t>4</w:t>
      </w:r>
      <w:r>
        <w:rPr>
          <w:noProof/>
        </w:rPr>
        <w:fldChar w:fldCharType="end"/>
      </w:r>
      <w:r w:rsidR="00B8382B">
        <w:t>.  Предвид сходния предмет на жалбите, Съдът намира за уместно да ги разгледа съвместно в едно решение.</w:t>
      </w:r>
    </w:p>
    <w:p w:rsidR="00BC3E1E" w:rsidRPr="00AF4DEC" w:rsidRDefault="00B8382B" w:rsidP="00AF4DEC">
      <w:pPr>
        <w:pStyle w:val="JuHIRoman"/>
      </w:pPr>
      <w:r>
        <w:t>ТВЪРДЯНО НАРУШЕНИЕ НА ЧЛ. 1 ОТ Протокол № 1</w:t>
      </w:r>
    </w:p>
    <w:p w:rsidR="00BC3E1E" w:rsidRPr="00AF4DEC" w:rsidRDefault="00A111E2" w:rsidP="00AF4DEC">
      <w:pPr>
        <w:pStyle w:val="JuPara"/>
      </w:pPr>
      <w:r>
        <w:fldChar w:fldCharType="begin"/>
      </w:r>
      <w:r>
        <w:instrText xml:space="preserve"> SEQ level0 \*arabic \* MERGEFORMAT </w:instrText>
      </w:r>
      <w:r>
        <w:fldChar w:fldCharType="separate"/>
      </w:r>
      <w:r w:rsidR="0005076F">
        <w:rPr>
          <w:noProof/>
        </w:rPr>
        <w:t>5</w:t>
      </w:r>
      <w:r>
        <w:rPr>
          <w:noProof/>
        </w:rPr>
        <w:fldChar w:fldCharType="end"/>
      </w:r>
      <w:r w:rsidR="00B8382B">
        <w:t>.  Оплакванията на дружествата</w:t>
      </w:r>
      <w:r w:rsidR="006C08D2">
        <w:t xml:space="preserve"> -</w:t>
      </w:r>
      <w:r w:rsidR="00B8382B">
        <w:t xml:space="preserve"> жалбоподатели следва да бъдат разгледани по чл. 1 от Протокол № 1 (вж. „</w:t>
      </w:r>
      <w:r w:rsidR="00B8382B" w:rsidRPr="002222C1">
        <w:rPr>
          <w:i/>
        </w:rPr>
        <w:t>Костов и други</w:t>
      </w:r>
      <w:r w:rsidR="00B8382B">
        <w:t>“, цитирано по-горе, §§ 94-96, и „</w:t>
      </w:r>
      <w:r w:rsidR="00B8382B" w:rsidRPr="002222C1">
        <w:rPr>
          <w:i/>
        </w:rPr>
        <w:t>Христова и други срещу България</w:t>
      </w:r>
      <w:r w:rsidR="00B8382B">
        <w:t>“ [Комитет], № 56681/15, § 6, 5 септември 2023 г.).</w:t>
      </w:r>
    </w:p>
    <w:p w:rsidR="00BC3E1E" w:rsidRPr="00AF4DEC" w:rsidRDefault="00AF4DEC" w:rsidP="00AF4DEC">
      <w:pPr>
        <w:pStyle w:val="JuPara"/>
      </w:pPr>
      <w:r w:rsidRPr="00AF4DEC">
        <w:fldChar w:fldCharType="begin"/>
      </w:r>
      <w:r w:rsidR="00B8382B">
        <w:instrText xml:space="preserve"> SEQ level0 \*arabic \* MERGEFORMAT </w:instrText>
      </w:r>
      <w:r w:rsidRPr="00AF4DEC">
        <w:fldChar w:fldCharType="separate"/>
      </w:r>
      <w:r w:rsidR="0005076F">
        <w:rPr>
          <w:noProof/>
        </w:rPr>
        <w:t>6</w:t>
      </w:r>
      <w:r w:rsidRPr="00AF4DEC">
        <w:fldChar w:fldCharType="end"/>
      </w:r>
      <w:r>
        <w:t>.  Жалбите не са явно необосновани по смисъла на чл. 35, ал. 3 (a) от Конвенцията или недопустими на друго основание. Следователно трябва да бъдат обявени за допустими.</w:t>
      </w:r>
    </w:p>
    <w:p w:rsidR="00BC3E1E" w:rsidRPr="00AF4DEC" w:rsidRDefault="00AF4DEC" w:rsidP="00AF4DEC">
      <w:pPr>
        <w:pStyle w:val="JuPara"/>
      </w:pPr>
      <w:r w:rsidRPr="00AF4DEC">
        <w:fldChar w:fldCharType="begin"/>
      </w:r>
      <w:r w:rsidR="00B8382B">
        <w:instrText xml:space="preserve"> SEQ level0 \*arabic \* MERGEFORMAT </w:instrText>
      </w:r>
      <w:r w:rsidRPr="00AF4DEC">
        <w:fldChar w:fldCharType="separate"/>
      </w:r>
      <w:r w:rsidR="0005076F">
        <w:rPr>
          <w:noProof/>
        </w:rPr>
        <w:t>7</w:t>
      </w:r>
      <w:r w:rsidRPr="00AF4DEC">
        <w:fldChar w:fldCharType="end"/>
      </w:r>
      <w:r>
        <w:t xml:space="preserve">.  Приложимо национално законодателство и </w:t>
      </w:r>
      <w:r w:rsidR="00124B32" w:rsidRPr="00124B32">
        <w:t>съдебна практика, както</w:t>
      </w:r>
      <w:r>
        <w:t xml:space="preserve"> и критериите относно адекватността на обезщетението </w:t>
      </w:r>
      <w:r w:rsidR="005A127A">
        <w:t>при</w:t>
      </w:r>
      <w:r>
        <w:t xml:space="preserve"> отчуждаване съгласно Закона за държавната собственост</w:t>
      </w:r>
      <w:r w:rsidR="0089292A">
        <w:t>,</w:t>
      </w:r>
      <w:r>
        <w:t xml:space="preserve"> са описани в „</w:t>
      </w:r>
      <w:r w:rsidRPr="0089292A">
        <w:rPr>
          <w:i/>
        </w:rPr>
        <w:t>Костов и други</w:t>
      </w:r>
      <w:r>
        <w:t xml:space="preserve">“ (цитирано по-горе). По-конкретно, </w:t>
      </w:r>
      <w:r w:rsidR="002A5713" w:rsidRPr="002A5713">
        <w:t>Съдът повторно е заявил</w:t>
      </w:r>
      <w:r>
        <w:t xml:space="preserve">, че отнемането на собственост без </w:t>
      </w:r>
      <w:r w:rsidR="00D36D01">
        <w:t>из</w:t>
      </w:r>
      <w:r>
        <w:t xml:space="preserve">плащане на сума, разумно обвързана с нейната стойност, </w:t>
      </w:r>
      <w:r w:rsidR="003E344A">
        <w:t>поначало</w:t>
      </w:r>
      <w:r>
        <w:t xml:space="preserve"> представлява непропорционална намеса, както и че размерът на обезщетението трябва да бъде изчислен въз основа на стойността на имота към датата, на която собствеността върху него е загубена (пак там, §§ 62-63).</w:t>
      </w:r>
    </w:p>
    <w:p w:rsidR="00BC3E1E" w:rsidRPr="00AF4DEC" w:rsidRDefault="00A111E2" w:rsidP="00AF4DEC">
      <w:pPr>
        <w:pStyle w:val="JuPara"/>
      </w:pPr>
      <w:r>
        <w:fldChar w:fldCharType="begin"/>
      </w:r>
      <w:r>
        <w:instrText xml:space="preserve"> SEQ level0 \*arabic \* MERGEFORMAT </w:instrText>
      </w:r>
      <w:r>
        <w:fldChar w:fldCharType="separate"/>
      </w:r>
      <w:r w:rsidR="0005076F">
        <w:rPr>
          <w:noProof/>
        </w:rPr>
        <w:t>8</w:t>
      </w:r>
      <w:r>
        <w:rPr>
          <w:noProof/>
        </w:rPr>
        <w:fldChar w:fldCharType="end"/>
      </w:r>
      <w:r w:rsidR="00B8382B">
        <w:t>.  В отделните случаи, разгледани в „</w:t>
      </w:r>
      <w:r w:rsidR="00B8382B" w:rsidRPr="00E76DD9">
        <w:rPr>
          <w:i/>
        </w:rPr>
        <w:t>Костов и други</w:t>
      </w:r>
      <w:r w:rsidR="00B8382B">
        <w:t>“ (цитирано по-горе, §§ 81-87 и 91), както и в някои от последващите дела (вж. „</w:t>
      </w:r>
      <w:r w:rsidR="00B8382B" w:rsidRPr="00E76DD9">
        <w:rPr>
          <w:i/>
        </w:rPr>
        <w:t>Христова и други</w:t>
      </w:r>
      <w:r w:rsidR="00B8382B">
        <w:t>“, цитирано по-горе, §§ 11-18, и „</w:t>
      </w:r>
      <w:r w:rsidR="00B8382B" w:rsidRPr="00E76DD9">
        <w:rPr>
          <w:i/>
        </w:rPr>
        <w:t>Божилов и други срещу България</w:t>
      </w:r>
      <w:r w:rsidR="00B8382B">
        <w:t>“ [Комитет], № 56383/15, §§ 11-13, 5 септември 2023 г.), Съдът установява нарушение на чл. 1 от Протокол № 1. Съдът отбелязва</w:t>
      </w:r>
      <w:r w:rsidR="00440EEB">
        <w:t>, че размерът</w:t>
      </w:r>
      <w:r w:rsidR="00B8382B">
        <w:t xml:space="preserve"> на</w:t>
      </w:r>
      <w:r w:rsidR="00964587">
        <w:t xml:space="preserve"> присъденото обезщетение</w:t>
      </w:r>
      <w:r w:rsidR="00B8382B">
        <w:t xml:space="preserve">, </w:t>
      </w:r>
      <w:r w:rsidR="00964587">
        <w:t xml:space="preserve">е бил определен </w:t>
      </w:r>
      <w:r w:rsidR="00B8382B">
        <w:t>в съответствие с правилата на Закона за държавната собственост, но вижда сериозни индикации, че пазарната стойност на земята на жалбоподателите вероятно е била много по-висока. Съдът заключва, че държавата</w:t>
      </w:r>
      <w:r w:rsidR="007557E5">
        <w:t xml:space="preserve"> </w:t>
      </w:r>
      <w:r w:rsidR="00B8382B">
        <w:t>-</w:t>
      </w:r>
      <w:r w:rsidR="007557E5">
        <w:t xml:space="preserve"> </w:t>
      </w:r>
      <w:r w:rsidR="00B8382B">
        <w:t xml:space="preserve">ответник не доказва, че </w:t>
      </w:r>
      <w:r w:rsidR="00B8382B">
        <w:lastRenderedPageBreak/>
        <w:t>обезщетението, присъдено на национално ниво, отговаря на изискването да бъде разумно обвързано с действителната стойност на земята на жалбоподателите.</w:t>
      </w:r>
    </w:p>
    <w:p w:rsidR="00BC3E1E" w:rsidRPr="00AF4DEC" w:rsidRDefault="00A111E2" w:rsidP="00AF4DEC">
      <w:pPr>
        <w:pStyle w:val="JuPara"/>
      </w:pPr>
      <w:r>
        <w:fldChar w:fldCharType="begin"/>
      </w:r>
      <w:r>
        <w:instrText xml:space="preserve"> SEQ level0 \*arabic \* MERGEFORMAT </w:instrText>
      </w:r>
      <w:r>
        <w:fldChar w:fldCharType="separate"/>
      </w:r>
      <w:r w:rsidR="0005076F">
        <w:rPr>
          <w:noProof/>
        </w:rPr>
        <w:t>9</w:t>
      </w:r>
      <w:r>
        <w:rPr>
          <w:noProof/>
        </w:rPr>
        <w:fldChar w:fldCharType="end"/>
      </w:r>
      <w:r w:rsidR="00B8382B">
        <w:t>.  Следователно Съдът в настоящия случай трябва да извърши преценка  въз основа на фактите, представени от страните, дали има достатъчно индикации, че действителната стойност на земята на дружествата</w:t>
      </w:r>
      <w:r w:rsidR="003A1022">
        <w:t xml:space="preserve"> -</w:t>
      </w:r>
      <w:r w:rsidR="00B8382B">
        <w:t xml:space="preserve"> жалбоподатели би могла да бъде значително по-висока от обезщетението, присъдено на национално ниво .</w:t>
      </w:r>
    </w:p>
    <w:p w:rsidR="00BC3E1E" w:rsidRPr="00AF4DEC" w:rsidRDefault="00A111E2" w:rsidP="00AF4DEC">
      <w:pPr>
        <w:pStyle w:val="JuPara"/>
      </w:pPr>
      <w:r>
        <w:fldChar w:fldCharType="begin"/>
      </w:r>
      <w:r>
        <w:instrText xml:space="preserve"> SEQ level0 \*arabic \* MERGEFORMAT </w:instrText>
      </w:r>
      <w:r>
        <w:fldChar w:fldCharType="separate"/>
      </w:r>
      <w:r w:rsidR="0005076F">
        <w:rPr>
          <w:noProof/>
        </w:rPr>
        <w:t>10</w:t>
      </w:r>
      <w:r>
        <w:rPr>
          <w:noProof/>
        </w:rPr>
        <w:fldChar w:fldCharType="end"/>
      </w:r>
      <w:r w:rsidR="00B8382B">
        <w:t xml:space="preserve">.  Както бе отбелязано, това обезщетение е еквивалентно на 16,57 лв. (8,47 евро) на квадратен метър (вж. Параграф </w:t>
      </w:r>
      <w:r w:rsidR="00B8382B" w:rsidRPr="00AF4DEC">
        <w:fldChar w:fldCharType="begin"/>
      </w:r>
      <w:r w:rsidR="00B8382B" w:rsidRPr="00AF4DEC">
        <w:instrText xml:space="preserve"> REF paragraph00002 \h  \* CharFormat </w:instrText>
      </w:r>
      <w:r w:rsidR="00B8382B" w:rsidRPr="00AF4DEC">
        <w:fldChar w:fldCharType="separate"/>
      </w:r>
      <w:r w:rsidR="0005076F">
        <w:t>2</w:t>
      </w:r>
      <w:r w:rsidR="00B8382B" w:rsidRPr="00AF4DEC">
        <w:fldChar w:fldCharType="end"/>
      </w:r>
      <w:r w:rsidR="00B8382B">
        <w:t xml:space="preserve"> по-горе).</w:t>
      </w:r>
    </w:p>
    <w:p w:rsidR="00BC3E1E" w:rsidRPr="00AF4DEC" w:rsidRDefault="00A111E2" w:rsidP="00AF4DEC">
      <w:pPr>
        <w:pStyle w:val="JuPara"/>
      </w:pPr>
      <w:r>
        <w:fldChar w:fldCharType="begin"/>
      </w:r>
      <w:r>
        <w:instrText xml:space="preserve"> SEQ level0 \*arabic \* MERGEFORMAT </w:instrText>
      </w:r>
      <w:r>
        <w:fldChar w:fldCharType="separate"/>
      </w:r>
      <w:bookmarkStart w:id="3" w:name="paragraph00010"/>
      <w:r w:rsidR="0005076F">
        <w:rPr>
          <w:noProof/>
        </w:rPr>
        <w:t>11</w:t>
      </w:r>
      <w:bookmarkEnd w:id="3"/>
      <w:r>
        <w:rPr>
          <w:noProof/>
        </w:rPr>
        <w:fldChar w:fldCharType="end"/>
      </w:r>
      <w:r w:rsidR="00B8382B">
        <w:t xml:space="preserve">.  За обоснове </w:t>
      </w:r>
      <w:r w:rsidR="00AD7683">
        <w:t>този размер</w:t>
      </w:r>
      <w:r w:rsidR="00B8382B">
        <w:t xml:space="preserve"> на обезщетението</w:t>
      </w:r>
      <w:r w:rsidR="00AD7683">
        <w:t>,</w:t>
      </w:r>
      <w:r w:rsidR="00B8382B">
        <w:t xml:space="preserve"> Правителството посочва, че то</w:t>
      </w:r>
      <w:r w:rsidR="00F06FA8">
        <w:t xml:space="preserve">й </w:t>
      </w:r>
      <w:r w:rsidR="00B8382B">
        <w:t xml:space="preserve">е </w:t>
      </w:r>
      <w:r w:rsidR="00F06FA8" w:rsidRPr="00F06FA8">
        <w:t>бил определен</w:t>
      </w:r>
      <w:r w:rsidR="00F06FA8">
        <w:t xml:space="preserve"> </w:t>
      </w:r>
      <w:r w:rsidR="00B8382B">
        <w:t>в съответствие с изискванията на Закона за държавната собственост. Правителството също така отбелязва, че земята е земеделска, поради което счита за спекулативно предположението, че дружествата</w:t>
      </w:r>
      <w:r w:rsidR="00571D6C">
        <w:t xml:space="preserve"> -</w:t>
      </w:r>
      <w:r w:rsidR="00B8382B">
        <w:t xml:space="preserve"> жалбоподатели са можели да я разработят по друг начин.</w:t>
      </w:r>
    </w:p>
    <w:p w:rsidR="00BC3E1E" w:rsidRPr="00AF4DEC" w:rsidRDefault="00A111E2" w:rsidP="00AF4DEC">
      <w:pPr>
        <w:pStyle w:val="JuPara"/>
      </w:pPr>
      <w:r>
        <w:fldChar w:fldCharType="begin"/>
      </w:r>
      <w:r>
        <w:instrText xml:space="preserve"> SEQ level0 \*arabic \* MERGEFORMAT </w:instrText>
      </w:r>
      <w:r>
        <w:fldChar w:fldCharType="separate"/>
      </w:r>
      <w:r w:rsidR="0005076F">
        <w:rPr>
          <w:noProof/>
        </w:rPr>
        <w:t>12</w:t>
      </w:r>
      <w:r>
        <w:rPr>
          <w:noProof/>
        </w:rPr>
        <w:fldChar w:fldCharType="end"/>
      </w:r>
      <w:r w:rsidR="00B8382B">
        <w:t>.  Дружествата</w:t>
      </w:r>
      <w:r w:rsidR="003A1022">
        <w:t xml:space="preserve"> -</w:t>
      </w:r>
      <w:r w:rsidR="00B8382B">
        <w:t xml:space="preserve"> жалбоподатели от своя страна възразяват срещу размера на обезщетението, както и срещу третирането на земята им като чисто земеделска. Излагат аргументите по-долу.</w:t>
      </w:r>
    </w:p>
    <w:p w:rsidR="00BC3E1E" w:rsidRPr="00AF4DEC" w:rsidRDefault="00A111E2" w:rsidP="00AF4DEC">
      <w:pPr>
        <w:pStyle w:val="JuPara"/>
      </w:pPr>
      <w:r>
        <w:fldChar w:fldCharType="begin"/>
      </w:r>
      <w:r>
        <w:instrText xml:space="preserve"> SEQ level0 \*arabic \* MERGEFORMAT </w:instrText>
      </w:r>
      <w:r>
        <w:fldChar w:fldCharType="separate"/>
      </w:r>
      <w:bookmarkStart w:id="4" w:name="paragraph00013"/>
      <w:r w:rsidR="0005076F">
        <w:rPr>
          <w:noProof/>
        </w:rPr>
        <w:t>13</w:t>
      </w:r>
      <w:bookmarkEnd w:id="4"/>
      <w:r>
        <w:rPr>
          <w:noProof/>
        </w:rPr>
        <w:fldChar w:fldCharType="end"/>
      </w:r>
      <w:r w:rsidR="00B8382B">
        <w:t>.  Първо, самите те закупуват земята на значително по-високи цени малко преди отчуждаването, а именно по 88 лв. (45 евро) на квадратен метър съгласно Жалба № 4173/20 и 80 лв. (41 евро) на кв.м. по 6186/20. Второ, още след влизане във владение на земята през 2007 г. дружеството</w:t>
      </w:r>
      <w:r w:rsidR="00CF0444">
        <w:t xml:space="preserve"> -</w:t>
      </w:r>
      <w:r w:rsidR="00B8382B">
        <w:t xml:space="preserve"> жалбоподател по Жалба № 4173/20 получава съгласието на общинските власти да промени статута на земята и да я направи годна за застрояване; след това обаче не е взето официално решение, очевидно поради появилите се планове за изграждане на път. Трето, в производството, образувано от дружеството</w:t>
      </w:r>
      <w:r w:rsidR="00CF0444">
        <w:t xml:space="preserve"> -</w:t>
      </w:r>
      <w:r w:rsidR="00B8382B">
        <w:t xml:space="preserve"> жалбоподател по Жалба № 6186/20, на назначеното от съда вещо лице е възложено допълнително, по искане на жалбоподателя, да изчисли средна цена въз основа на сделки с парцели със същите характеристики като тези на парцела на жалбоподателя, а именно земеделска земя, предназначена за развитие на промишлена и търговска зона (вж. параграф </w:t>
      </w:r>
      <w:r w:rsidR="00B8382B" w:rsidRPr="00AF4DEC">
        <w:fldChar w:fldCharType="begin"/>
      </w:r>
      <w:r w:rsidR="00B8382B" w:rsidRPr="00AF4DEC">
        <w:instrText xml:space="preserve"> REF paragraph00001 \h  \* CharFormat </w:instrText>
      </w:r>
      <w:r w:rsidR="00B8382B" w:rsidRPr="00AF4DEC">
        <w:fldChar w:fldCharType="separate"/>
      </w:r>
      <w:r w:rsidR="0005076F">
        <w:t>1</w:t>
      </w:r>
      <w:r w:rsidR="00B8382B" w:rsidRPr="00AF4DEC">
        <w:fldChar w:fldCharType="end"/>
      </w:r>
      <w:r w:rsidR="00B8382B">
        <w:t xml:space="preserve"> по-горе). Експертното лице избира четири сделки от двадесетте, които отговарят на формалните изисквания на Закона за държавната собственост (вж. параграф </w:t>
      </w:r>
      <w:r w:rsidR="00B8382B" w:rsidRPr="00AF4DEC">
        <w:fldChar w:fldCharType="begin"/>
      </w:r>
      <w:r w:rsidR="00B8382B" w:rsidRPr="00AF4DEC">
        <w:instrText xml:space="preserve"> REF paragraph00002 \h  \* CharFormat </w:instrText>
      </w:r>
      <w:r w:rsidR="00B8382B" w:rsidRPr="00AF4DEC">
        <w:fldChar w:fldCharType="separate"/>
      </w:r>
      <w:r w:rsidR="0005076F">
        <w:t>2</w:t>
      </w:r>
      <w:r w:rsidR="00B8382B" w:rsidRPr="00AF4DEC">
        <w:fldChar w:fldCharType="end"/>
      </w:r>
      <w:r w:rsidR="00B8382B">
        <w:t xml:space="preserve"> по-горе), и изчислява на тяхна база средна стойност от 57,5 ​​лв. (29 евро) на квадратен метър. Това изчисление е счетено за </w:t>
      </w:r>
      <w:r w:rsidR="0019299A" w:rsidRPr="0019299A">
        <w:t>неотносимо от Административен съд – Бургас</w:t>
      </w:r>
      <w:r w:rsidR="00B8382B">
        <w:t>, който приема, че то трябва да отговаря на критериите, установени от Закона за държавната собственост. Четвърто, през април и май 2018 г. общината оценява парцели земеделска земя, разположени в близост до тези на дружествата</w:t>
      </w:r>
      <w:r w:rsidR="004A73E2">
        <w:t xml:space="preserve"> -</w:t>
      </w:r>
      <w:r w:rsidR="00B8382B">
        <w:t xml:space="preserve"> жалбоподатели, на 60 лв. (30,1 евро) и 162 лв. (83 евро) на квадратен метър, в административно производство относно промяна на статута на въпросната земя. И пето, през 2018 г. експерти, наети от жалбоподателите и </w:t>
      </w:r>
      <w:r w:rsidR="001E32AD">
        <w:t>лизингодателя</w:t>
      </w:r>
      <w:r w:rsidR="00B8382B">
        <w:t xml:space="preserve"> (вж. Параграф </w:t>
      </w:r>
      <w:r w:rsidR="00B8382B" w:rsidRPr="00AF4DEC">
        <w:fldChar w:fldCharType="begin"/>
      </w:r>
      <w:r w:rsidR="00B8382B" w:rsidRPr="00AF4DEC">
        <w:instrText xml:space="preserve"> REF paragraph00001 \h  \* CharFormat </w:instrText>
      </w:r>
      <w:r w:rsidR="00B8382B" w:rsidRPr="00AF4DEC">
        <w:fldChar w:fldCharType="separate"/>
      </w:r>
      <w:r w:rsidR="0005076F">
        <w:t>1</w:t>
      </w:r>
      <w:r w:rsidR="00B8382B" w:rsidRPr="00AF4DEC">
        <w:fldChar w:fldCharType="end"/>
      </w:r>
      <w:r w:rsidR="00B8382B">
        <w:t xml:space="preserve"> по-горе относно </w:t>
      </w:r>
      <w:r w:rsidR="00B8382B">
        <w:lastRenderedPageBreak/>
        <w:t xml:space="preserve">договорите за </w:t>
      </w:r>
      <w:r w:rsidR="0056647B">
        <w:t>лизинг</w:t>
      </w:r>
      <w:r w:rsidR="00B8382B">
        <w:t>, сключени от жалбоподателите), оценяват земята им на около 130 лв. (66 евро) на квадратен метър.</w:t>
      </w:r>
    </w:p>
    <w:p w:rsidR="00BC3E1E" w:rsidRPr="00AF4DEC" w:rsidRDefault="00A111E2" w:rsidP="00AF4DEC">
      <w:pPr>
        <w:pStyle w:val="JuPara"/>
      </w:pPr>
      <w:r>
        <w:fldChar w:fldCharType="begin"/>
      </w:r>
      <w:r>
        <w:instrText xml:space="preserve"> SEQ level0 \*arabic \* MERGEFORMAT </w:instrText>
      </w:r>
      <w:r>
        <w:fldChar w:fldCharType="separate"/>
      </w:r>
      <w:r w:rsidR="0005076F">
        <w:rPr>
          <w:noProof/>
        </w:rPr>
        <w:t>14</w:t>
      </w:r>
      <w:r>
        <w:rPr>
          <w:noProof/>
        </w:rPr>
        <w:fldChar w:fldCharType="end"/>
      </w:r>
      <w:r w:rsidR="00B8382B">
        <w:t xml:space="preserve">.  Съдът е удовлетворен, че обстоятелствата, посочени от дружествата </w:t>
      </w:r>
      <w:r w:rsidR="00C16CD4">
        <w:t xml:space="preserve">- </w:t>
      </w:r>
      <w:r w:rsidR="00B8382B">
        <w:t xml:space="preserve">жалбоподатели, са достатъчни, за да се заключи, че реалната пазарна стойност на отчуждената земя би могла да бъде значително по-висока от обезщетението, което е присъдено на национално ниво. По-конкретно, Съдът не счита, че определянето на земята на жалбоподателите като земеделска е от решаващо значение. Очевидно е, че земята е имала потенциал извън възможността за земеделска употреба, тъй като е разположена в промишлена зона и е разпределена съгласно местния градоустройствен план за промишлено и търговско развитие (вж. Параграф </w:t>
      </w:r>
      <w:r w:rsidR="00B8382B" w:rsidRPr="00AF4DEC">
        <w:fldChar w:fldCharType="begin"/>
      </w:r>
      <w:r w:rsidR="00B8382B" w:rsidRPr="00AF4DEC">
        <w:instrText xml:space="preserve"> REF paragraph00001 \h  \* CharFormat </w:instrText>
      </w:r>
      <w:r w:rsidR="00B8382B" w:rsidRPr="00AF4DEC">
        <w:fldChar w:fldCharType="separate"/>
      </w:r>
      <w:r w:rsidR="0005076F">
        <w:t>1</w:t>
      </w:r>
      <w:r w:rsidR="00B8382B" w:rsidRPr="00AF4DEC">
        <w:fldChar w:fldCharType="end"/>
      </w:r>
      <w:r w:rsidR="00B8382B">
        <w:t xml:space="preserve"> по-горе). Съдът освен това постановява при подобни обстоятелства, че факторът, който има значение, не е официалният статут на земята, а нейната действителна стойност (вж. „</w:t>
      </w:r>
      <w:r w:rsidR="00B8382B" w:rsidRPr="00AA0E69">
        <w:rPr>
          <w:i/>
        </w:rPr>
        <w:t>Божилов и други</w:t>
      </w:r>
      <w:r w:rsidR="00B8382B">
        <w:t>“, цитирано по-горе, § 12).</w:t>
      </w:r>
    </w:p>
    <w:p w:rsidR="00BC3E1E" w:rsidRPr="00AF4DEC" w:rsidRDefault="00A111E2" w:rsidP="00AF4DEC">
      <w:pPr>
        <w:pStyle w:val="JuPara"/>
      </w:pPr>
      <w:r>
        <w:fldChar w:fldCharType="begin"/>
      </w:r>
      <w:r>
        <w:instrText xml:space="preserve"> SEQ level0 \*arabic \* MERGEFORMAT </w:instrText>
      </w:r>
      <w:r>
        <w:fldChar w:fldCharType="separate"/>
      </w:r>
      <w:r w:rsidR="0005076F">
        <w:rPr>
          <w:noProof/>
        </w:rPr>
        <w:t>15</w:t>
      </w:r>
      <w:r>
        <w:rPr>
          <w:noProof/>
        </w:rPr>
        <w:fldChar w:fldCharType="end"/>
      </w:r>
      <w:r w:rsidR="00B8382B">
        <w:t xml:space="preserve">.  Що се отнася до аргумента на правителството, че обезщетението на национално ниво е изчислено в съответствие с изискванията на Закона за държавната собственост (вж. </w:t>
      </w:r>
      <w:r w:rsidR="00B8382B" w:rsidRPr="00AF4DEC">
        <w:fldChar w:fldCharType="begin"/>
      </w:r>
      <w:r w:rsidR="00B8382B" w:rsidRPr="00AF4DEC">
        <w:instrText xml:space="preserve"> REF paragraph00010 \h  \* CharFormat </w:instrText>
      </w:r>
      <w:r w:rsidR="00B8382B" w:rsidRPr="00AF4DEC">
        <w:fldChar w:fldCharType="separate"/>
      </w:r>
      <w:r w:rsidR="0005076F">
        <w:t>11</w:t>
      </w:r>
      <w:r w:rsidR="00B8382B" w:rsidRPr="00AF4DEC">
        <w:fldChar w:fldCharType="end"/>
      </w:r>
      <w:r w:rsidR="00B8382B">
        <w:t xml:space="preserve">  параграф по-горе), Съдът няма причина да се съмнява, че това е така. Освен това Съдът преди е приемал, че подходът съгласно националното законодателство не може да се разглежда като неспособен </w:t>
      </w:r>
      <w:r w:rsidR="00B8382B">
        <w:rPr>
          <w:i/>
          <w:iCs/>
        </w:rPr>
        <w:t xml:space="preserve">a priori </w:t>
      </w:r>
      <w:r w:rsidR="00B8382B">
        <w:t>да доведе до определяне на адекватно обезщетение (вж. „</w:t>
      </w:r>
      <w:r w:rsidR="00B8382B" w:rsidRPr="00AA0E69">
        <w:rPr>
          <w:i/>
        </w:rPr>
        <w:t>Костов и други</w:t>
      </w:r>
      <w:r w:rsidR="00B8382B">
        <w:t>“, цитирано по-горе, § 80). Въпреки това остава фактът, че в разглеждания случай липсата на гъвкавост на националното законодателство и неуспехът на местните власти да вземат предвид в достатъчна степен индивидуалните характеристики на земята на дружествата</w:t>
      </w:r>
      <w:r w:rsidR="0006271E">
        <w:t xml:space="preserve"> -</w:t>
      </w:r>
      <w:r w:rsidR="00B8382B">
        <w:t xml:space="preserve"> жалбоподатели са довели до това, което Съдът вижда като проблематичен резултат.</w:t>
      </w:r>
    </w:p>
    <w:p w:rsidR="00BC3E1E" w:rsidRPr="00AF4DEC" w:rsidRDefault="00A111E2" w:rsidP="00AF4DEC">
      <w:pPr>
        <w:pStyle w:val="JuPara"/>
      </w:pPr>
      <w:r>
        <w:fldChar w:fldCharType="begin"/>
      </w:r>
      <w:r>
        <w:instrText xml:space="preserve"> SEQ level0 \*arabic \* MERGEFORMAT </w:instrText>
      </w:r>
      <w:r>
        <w:fldChar w:fldCharType="separate"/>
      </w:r>
      <w:r w:rsidR="0005076F">
        <w:rPr>
          <w:noProof/>
        </w:rPr>
        <w:t>16</w:t>
      </w:r>
      <w:r>
        <w:rPr>
          <w:noProof/>
        </w:rPr>
        <w:fldChar w:fldCharType="end"/>
      </w:r>
      <w:r w:rsidR="00B8382B">
        <w:t xml:space="preserve">.  Съответно Съдът заключва, че обезщетението, присъдено на дружествата </w:t>
      </w:r>
      <w:r w:rsidR="0006271E">
        <w:t xml:space="preserve">- </w:t>
      </w:r>
      <w:r w:rsidR="00B8382B">
        <w:t>жалбоподатели за тяхната отчуждена земя, не е разумно обвързано със стойността на тази земя, което означава, че изискванията на чл. 1 от Протокол № 1 не са изпълнени и че лишаването на жалбоподателите от имуществото им е непропорционална мярка.</w:t>
      </w:r>
    </w:p>
    <w:p w:rsidR="00BC3E1E" w:rsidRPr="00AF4DEC" w:rsidRDefault="00A111E2" w:rsidP="00AF4DEC">
      <w:pPr>
        <w:pStyle w:val="JuPara"/>
      </w:pPr>
      <w:r>
        <w:fldChar w:fldCharType="begin"/>
      </w:r>
      <w:r>
        <w:instrText xml:space="preserve"> SEQ level0 \*arabic \* MERGEFOR</w:instrText>
      </w:r>
      <w:r>
        <w:instrText xml:space="preserve">MAT </w:instrText>
      </w:r>
      <w:r>
        <w:fldChar w:fldCharType="separate"/>
      </w:r>
      <w:r w:rsidR="0005076F">
        <w:rPr>
          <w:noProof/>
        </w:rPr>
        <w:t>17</w:t>
      </w:r>
      <w:r>
        <w:rPr>
          <w:noProof/>
        </w:rPr>
        <w:fldChar w:fldCharType="end"/>
      </w:r>
      <w:r w:rsidR="00B8382B">
        <w:t>.  Съответно е налице нарушение на чл. 1 от Протокол № 1.</w:t>
      </w:r>
    </w:p>
    <w:p w:rsidR="00BC3E1E" w:rsidRPr="00AF4DEC" w:rsidRDefault="00B8382B" w:rsidP="00AF4DEC">
      <w:pPr>
        <w:pStyle w:val="JuHHead"/>
      </w:pPr>
      <w:r>
        <w:t>ПРИЛОЖЕНИЕ НА ЧЛ. 41 ОТ КОНВЕНЦИЯТА</w:t>
      </w:r>
    </w:p>
    <w:p w:rsidR="00BC3E1E" w:rsidRPr="00AF4DEC" w:rsidRDefault="00A111E2" w:rsidP="00AF4DEC">
      <w:pPr>
        <w:pStyle w:val="JuPara"/>
      </w:pPr>
      <w:r>
        <w:fldChar w:fldCharType="begin"/>
      </w:r>
      <w:r>
        <w:instrText xml:space="preserve"> SEQ level0 \*arabic \* MERGEFORMAT </w:instrText>
      </w:r>
      <w:r>
        <w:fldChar w:fldCharType="separate"/>
      </w:r>
      <w:bookmarkStart w:id="5" w:name="paragraph00018"/>
      <w:r w:rsidR="0005076F">
        <w:rPr>
          <w:noProof/>
        </w:rPr>
        <w:t>18</w:t>
      </w:r>
      <w:bookmarkEnd w:id="5"/>
      <w:r>
        <w:rPr>
          <w:noProof/>
        </w:rPr>
        <w:fldChar w:fldCharType="end"/>
      </w:r>
      <w:r w:rsidR="00B8382B">
        <w:t>.  Дружествата</w:t>
      </w:r>
      <w:r w:rsidR="0006271E">
        <w:t xml:space="preserve"> -</w:t>
      </w:r>
      <w:r w:rsidR="00B8382B">
        <w:t xml:space="preserve"> жалбоподатели претендират стойността на земята си. Представят оценки, изготвени през декември 2023 г., според които справедливата пазарна стойност на земята е между 68 и 70 евро (EUR) на квадратен метър. На това основание жалбоподателят по Жалба № 4173/20 претендира 279 988 евро  имуществени вреди, а жалбоподателят по Жалба 6186/20 претендира 1 104 207 евро.</w:t>
      </w:r>
    </w:p>
    <w:p w:rsidR="00BC3E1E" w:rsidRPr="00AF4DEC" w:rsidRDefault="00A111E2" w:rsidP="00AF4DEC">
      <w:pPr>
        <w:pStyle w:val="JuPara"/>
      </w:pPr>
      <w:r>
        <w:lastRenderedPageBreak/>
        <w:fldChar w:fldCharType="begin"/>
      </w:r>
      <w:r>
        <w:instrText xml:space="preserve"> SEQ level0 \*arabic \* MERGEFORMAT </w:instrText>
      </w:r>
      <w:r>
        <w:fldChar w:fldCharType="separate"/>
      </w:r>
      <w:r w:rsidR="0005076F">
        <w:rPr>
          <w:noProof/>
        </w:rPr>
        <w:t>19</w:t>
      </w:r>
      <w:r>
        <w:rPr>
          <w:noProof/>
        </w:rPr>
        <w:fldChar w:fldCharType="end"/>
      </w:r>
      <w:r w:rsidR="00B8382B">
        <w:t>.  По отношение на неимуществени вреди, всяко от дружествата претендира по 15 000 евро. Посочват, че са придобили спорните парцели с оглед развитието им.</w:t>
      </w:r>
    </w:p>
    <w:p w:rsidR="00BC3E1E" w:rsidRPr="00AF4DEC" w:rsidRDefault="00A111E2" w:rsidP="00AF4DEC">
      <w:pPr>
        <w:pStyle w:val="JuPara"/>
      </w:pPr>
      <w:r>
        <w:fldChar w:fldCharType="begin"/>
      </w:r>
      <w:r>
        <w:instrText xml:space="preserve"> SEQ level0 \*arabic \* MERGEFORMAT </w:instrText>
      </w:r>
      <w:r>
        <w:fldChar w:fldCharType="separate"/>
      </w:r>
      <w:r w:rsidR="0005076F">
        <w:rPr>
          <w:noProof/>
        </w:rPr>
        <w:t>20</w:t>
      </w:r>
      <w:r>
        <w:rPr>
          <w:noProof/>
        </w:rPr>
        <w:fldChar w:fldCharType="end"/>
      </w:r>
      <w:r w:rsidR="00B8382B">
        <w:t>.  Правителството оспорва претенциите.</w:t>
      </w:r>
    </w:p>
    <w:p w:rsidR="00BC3E1E" w:rsidRPr="00AF4DEC" w:rsidRDefault="00A111E2" w:rsidP="00AF4DEC">
      <w:pPr>
        <w:pStyle w:val="JuPara"/>
      </w:pPr>
      <w:r>
        <w:fldChar w:fldCharType="begin"/>
      </w:r>
      <w:r>
        <w:instrText xml:space="preserve"> SEQ level0 \*arabic \* MERGEFORMAT </w:instrText>
      </w:r>
      <w:r>
        <w:fldChar w:fldCharType="separate"/>
      </w:r>
      <w:r w:rsidR="0005076F">
        <w:rPr>
          <w:noProof/>
        </w:rPr>
        <w:t>21</w:t>
      </w:r>
      <w:r>
        <w:rPr>
          <w:noProof/>
        </w:rPr>
        <w:fldChar w:fldCharType="end"/>
      </w:r>
      <w:r w:rsidR="00B8382B">
        <w:t xml:space="preserve">.  В случай като настоящия Съдът трябва да извърши присъждане, доколкото е възможно, „разумно обвързано“ с пазарната стойност на отчуждената земя към момента, в който жалбоподателят е загубил собствеността върху нея (вж. </w:t>
      </w:r>
      <w:r w:rsidR="00B8382B">
        <w:rPr>
          <w:i/>
        </w:rPr>
        <w:t>Vistiņš and Perepjolkins v. Latvia</w:t>
      </w:r>
      <w:r w:rsidR="00B8382B">
        <w:t xml:space="preserve"> (справедливо обезщетение) [GC], № 71243/01, § 36, ЕСПЧ 2014, и „</w:t>
      </w:r>
      <w:r w:rsidR="00B8382B" w:rsidRPr="000929E0">
        <w:rPr>
          <w:i/>
        </w:rPr>
        <w:t>Костов и други</w:t>
      </w:r>
      <w:r w:rsidR="00B8382B">
        <w:t>“, цитирано по-горе, § 102).</w:t>
      </w:r>
    </w:p>
    <w:p w:rsidR="00BC3E1E" w:rsidRPr="00AF4DEC" w:rsidRDefault="00A111E2" w:rsidP="00AF4DEC">
      <w:pPr>
        <w:pStyle w:val="JuPara"/>
      </w:pPr>
      <w:r>
        <w:fldChar w:fldCharType="begin"/>
      </w:r>
      <w:r>
        <w:instrText xml:space="preserve"> SEQ level0 \*arabic \* MERGEFORMAT </w:instrText>
      </w:r>
      <w:r>
        <w:fldChar w:fldCharType="separate"/>
      </w:r>
      <w:r w:rsidR="0005076F">
        <w:rPr>
          <w:noProof/>
        </w:rPr>
        <w:t>22</w:t>
      </w:r>
      <w:r>
        <w:rPr>
          <w:noProof/>
        </w:rPr>
        <w:fldChar w:fldCharType="end"/>
      </w:r>
      <w:r w:rsidR="00B8382B">
        <w:t>.  Съдът обаче не може да определи с точност такава стойност</w:t>
      </w:r>
      <w:r w:rsidR="003167A6" w:rsidRPr="003167A6">
        <w:t xml:space="preserve"> </w:t>
      </w:r>
      <w:r w:rsidR="003167A6">
        <w:t>в конкретния случай</w:t>
      </w:r>
      <w:r w:rsidR="00B8382B">
        <w:t xml:space="preserve">. Въпреки че жалбоподателите представят оценки (вж. </w:t>
      </w:r>
      <w:r w:rsidR="00B8382B" w:rsidRPr="00AF4DEC">
        <w:fldChar w:fldCharType="begin"/>
      </w:r>
      <w:r w:rsidR="00B8382B" w:rsidRPr="00AF4DEC">
        <w:instrText xml:space="preserve"> REF paragraph00018 \h  \* CharFormat </w:instrText>
      </w:r>
      <w:r w:rsidR="00B8382B" w:rsidRPr="00AF4DEC">
        <w:fldChar w:fldCharType="separate"/>
      </w:r>
      <w:r w:rsidR="0005076F">
        <w:t>18</w:t>
      </w:r>
      <w:r w:rsidR="00B8382B" w:rsidRPr="00AF4DEC">
        <w:fldChar w:fldCharType="end"/>
      </w:r>
      <w:r w:rsidR="00B8382B">
        <w:t xml:space="preserve"> параграф по-горе), Съдът не е убеден, че стойностите, посочени в тях, </w:t>
      </w:r>
      <w:r w:rsidR="00246FF2" w:rsidRPr="00246FF2">
        <w:t>представляват безспорно</w:t>
      </w:r>
      <w:r w:rsidR="00246FF2">
        <w:t xml:space="preserve"> </w:t>
      </w:r>
      <w:r w:rsidR="00B8382B">
        <w:t xml:space="preserve">установени пазарни стойности към момента, в който жалбоподателите са загубили собствеността върху земята си. </w:t>
      </w:r>
      <w:r w:rsidR="001E7735" w:rsidRPr="001E7735">
        <w:t xml:space="preserve">В тази връзка е съществено обстоятелството, че примерите, използвани по-горе с цел да се постави под съмнение адекватността на присъденото от националните органи обезщетение, се позовават на различни стойности </w:t>
      </w:r>
      <w:r w:rsidR="00B8382B">
        <w:t>(вж. Параграф  </w:t>
      </w:r>
      <w:r w:rsidR="00B8382B" w:rsidRPr="00AF4DEC">
        <w:fldChar w:fldCharType="begin"/>
      </w:r>
      <w:r w:rsidR="00B8382B" w:rsidRPr="00AF4DEC">
        <w:instrText xml:space="preserve"> REF paragraph00013 \h  \* CharFormat </w:instrText>
      </w:r>
      <w:r w:rsidR="00B8382B" w:rsidRPr="00AF4DEC">
        <w:fldChar w:fldCharType="separate"/>
      </w:r>
      <w:r w:rsidR="0005076F">
        <w:t>13</w:t>
      </w:r>
      <w:r w:rsidR="00B8382B" w:rsidRPr="00AF4DEC">
        <w:fldChar w:fldCharType="end"/>
      </w:r>
      <w:r w:rsidR="00B8382B">
        <w:t xml:space="preserve"> по-горе).</w:t>
      </w:r>
    </w:p>
    <w:p w:rsidR="00BC3E1E" w:rsidRPr="00AF4DEC" w:rsidRDefault="00A111E2" w:rsidP="00AF4DEC">
      <w:pPr>
        <w:pStyle w:val="JuPara"/>
      </w:pPr>
      <w:r>
        <w:fldChar w:fldCharType="begin"/>
      </w:r>
      <w:r>
        <w:instrText xml:space="preserve"> SEQ level0 \*arabic \* MERGEFORMAT </w:instrText>
      </w:r>
      <w:r>
        <w:fldChar w:fldCharType="separate"/>
      </w:r>
      <w:r w:rsidR="0005076F">
        <w:rPr>
          <w:noProof/>
        </w:rPr>
        <w:t>23</w:t>
      </w:r>
      <w:r>
        <w:rPr>
          <w:noProof/>
        </w:rPr>
        <w:fldChar w:fldCharType="end"/>
      </w:r>
      <w:r w:rsidR="00B8382B">
        <w:t>.  Следователно, както в „</w:t>
      </w:r>
      <w:r w:rsidR="00B8382B" w:rsidRPr="00A32B47">
        <w:rPr>
          <w:i/>
        </w:rPr>
        <w:t>Костов и други</w:t>
      </w:r>
      <w:r w:rsidR="00B8382B">
        <w:t>“ (цитирано по-горе, § 105), Съдът е на мнение, че най-подходящото средство за отстраняване на нарушението, установено по делото, би било да се възобнови производството на национално ниво и да се преразгледат претенциите на дружествата</w:t>
      </w:r>
      <w:r w:rsidR="0017780E">
        <w:t xml:space="preserve"> -</w:t>
      </w:r>
      <w:r w:rsidR="00B8382B">
        <w:t xml:space="preserve"> жалбоподатели в съответствие с изискванията на чл. 1 от Протокол № 1. Националното законодателство ясно предвижда такава възможност (пак там, § 104).</w:t>
      </w:r>
    </w:p>
    <w:p w:rsidR="00BC3E1E" w:rsidRPr="00AF4DEC" w:rsidRDefault="00A111E2" w:rsidP="00AF4DEC">
      <w:pPr>
        <w:pStyle w:val="JuPara"/>
      </w:pPr>
      <w:r>
        <w:fldChar w:fldCharType="begin"/>
      </w:r>
      <w:r>
        <w:instrText xml:space="preserve"> SEQ level0 \*arabic \* MERGEFORMAT </w:instrText>
      </w:r>
      <w:r>
        <w:fldChar w:fldCharType="separate"/>
      </w:r>
      <w:r w:rsidR="0005076F">
        <w:rPr>
          <w:noProof/>
        </w:rPr>
        <w:t>24</w:t>
      </w:r>
      <w:r>
        <w:rPr>
          <w:noProof/>
        </w:rPr>
        <w:fldChar w:fldCharType="end"/>
      </w:r>
      <w:r w:rsidR="00B8382B">
        <w:t>.  Следователно Съдът отхвърля исковете за имуществени вреди.</w:t>
      </w:r>
    </w:p>
    <w:p w:rsidR="00BC3E1E" w:rsidRPr="00AF4DEC" w:rsidRDefault="00A111E2" w:rsidP="00AF4DEC">
      <w:pPr>
        <w:pStyle w:val="JuPara"/>
      </w:pPr>
      <w:r>
        <w:fldChar w:fldCharType="begin"/>
      </w:r>
      <w:r>
        <w:instrText xml:space="preserve"> SEQ level0 \*arabic \* MERGEFORMAT </w:instrText>
      </w:r>
      <w:r>
        <w:fldChar w:fldCharType="separate"/>
      </w:r>
      <w:r w:rsidR="0005076F">
        <w:rPr>
          <w:noProof/>
        </w:rPr>
        <w:t>25</w:t>
      </w:r>
      <w:r>
        <w:rPr>
          <w:noProof/>
        </w:rPr>
        <w:fldChar w:fldCharType="end"/>
      </w:r>
      <w:r w:rsidR="00B8382B">
        <w:t>.  </w:t>
      </w:r>
      <w:r w:rsidR="00AD1ECB" w:rsidRPr="00AD1ECB">
        <w:t>По отношение на</w:t>
      </w:r>
      <w:r w:rsidR="00AD1ECB">
        <w:t xml:space="preserve"> </w:t>
      </w:r>
      <w:r w:rsidR="00B8382B">
        <w:t>неимуществените вреди, Съдът присъжда на всяко от дружествата</w:t>
      </w:r>
      <w:r w:rsidR="0017780E">
        <w:t xml:space="preserve"> -</w:t>
      </w:r>
      <w:r w:rsidR="00B8382B">
        <w:t xml:space="preserve"> жалбоподатели по 3 000 евро (вж. </w:t>
      </w:r>
      <w:r w:rsidR="00B8382B">
        <w:rPr>
          <w:i/>
        </w:rPr>
        <w:t>Comingersoll S.A. v. Portugal</w:t>
      </w:r>
      <w:r w:rsidR="00B8382B">
        <w:t> ([GC], no. 35382/97, § 35, ЕСПЧ 2000</w:t>
      </w:r>
      <w:r w:rsidR="00B8382B">
        <w:noBreakHyphen/>
        <w:t>IV).</w:t>
      </w:r>
    </w:p>
    <w:p w:rsidR="00BC3E1E" w:rsidRPr="00AF4DEC" w:rsidRDefault="00A111E2" w:rsidP="00AF4DEC">
      <w:pPr>
        <w:pStyle w:val="JuPara"/>
      </w:pPr>
      <w:r>
        <w:fldChar w:fldCharType="begin"/>
      </w:r>
      <w:r>
        <w:instrText xml:space="preserve"> SEQ level0 \*arabic \* MERGEFORMAT </w:instrText>
      </w:r>
      <w:r>
        <w:fldChar w:fldCharType="separate"/>
      </w:r>
      <w:r w:rsidR="0005076F">
        <w:rPr>
          <w:noProof/>
        </w:rPr>
        <w:t>26</w:t>
      </w:r>
      <w:r>
        <w:rPr>
          <w:noProof/>
        </w:rPr>
        <w:fldChar w:fldCharType="end"/>
      </w:r>
      <w:r w:rsidR="00B8382B">
        <w:t>.  Що се отнася до разходите и разноските, дружеството</w:t>
      </w:r>
      <w:r w:rsidR="00CD584E">
        <w:t xml:space="preserve"> -</w:t>
      </w:r>
      <w:r w:rsidR="00B8382B">
        <w:t xml:space="preserve"> жалбоподател по Жалба № 4173/20 </w:t>
      </w:r>
      <w:r w:rsidR="00E60140" w:rsidRPr="00E60140">
        <w:t>претендира възстановяване</w:t>
      </w:r>
      <w:r w:rsidR="00E60140">
        <w:t xml:space="preserve"> </w:t>
      </w:r>
      <w:r w:rsidR="00B8382B">
        <w:t xml:space="preserve">на 7 200 евро, платени за процесуално представителство пред Съда и 17 евро за пощенски разходи. Дружеството </w:t>
      </w:r>
      <w:r w:rsidR="001A5470">
        <w:t xml:space="preserve">- </w:t>
      </w:r>
      <w:r w:rsidR="00B8382B">
        <w:t>жалбоподател по Жалба № 6186/20 претендира от своя страна 4 800 евро за процесуално представителство, 17 евро за пощенски разходи и 115 евро за превод. Жалбоподателите представят съответните фактури и касови бележки.</w:t>
      </w:r>
    </w:p>
    <w:p w:rsidR="00BC3E1E" w:rsidRPr="00AF4DEC" w:rsidRDefault="00A111E2" w:rsidP="00AF4DEC">
      <w:pPr>
        <w:pStyle w:val="JuPara"/>
      </w:pPr>
      <w:r>
        <w:fldChar w:fldCharType="begin"/>
      </w:r>
      <w:r>
        <w:instrText xml:space="preserve"> SEQ level0 \*arabic \* MERGEFORMAT </w:instrText>
      </w:r>
      <w:r>
        <w:fldChar w:fldCharType="separate"/>
      </w:r>
      <w:r w:rsidR="0005076F">
        <w:rPr>
          <w:noProof/>
        </w:rPr>
        <w:t>27</w:t>
      </w:r>
      <w:r>
        <w:rPr>
          <w:noProof/>
        </w:rPr>
        <w:fldChar w:fldCharType="end"/>
      </w:r>
      <w:r w:rsidR="00B8382B">
        <w:t>.  Правителството оспорва претенциите.</w:t>
      </w:r>
    </w:p>
    <w:p w:rsidR="00BC3E1E" w:rsidRPr="00AF4DEC" w:rsidRDefault="00A111E2" w:rsidP="00AF4DEC">
      <w:pPr>
        <w:pStyle w:val="JuPara"/>
      </w:pPr>
      <w:r>
        <w:fldChar w:fldCharType="begin"/>
      </w:r>
      <w:r>
        <w:instrText xml:space="preserve"> SEQ level0 \*arabic \* MERGEFORMAT </w:instrText>
      </w:r>
      <w:r>
        <w:fldChar w:fldCharType="separate"/>
      </w:r>
      <w:r w:rsidR="0005076F">
        <w:rPr>
          <w:noProof/>
        </w:rPr>
        <w:t>28</w:t>
      </w:r>
      <w:r>
        <w:rPr>
          <w:noProof/>
        </w:rPr>
        <w:fldChar w:fldCharType="end"/>
      </w:r>
      <w:r w:rsidR="006B69D7">
        <w:t>.  П</w:t>
      </w:r>
      <w:r w:rsidR="00B8382B">
        <w:t>редвид документите, с които разполага и естеството на делото, Съдът счита за разумно да присъди на всяко от дружествата</w:t>
      </w:r>
      <w:r w:rsidR="00CF0C38">
        <w:t xml:space="preserve"> -</w:t>
      </w:r>
      <w:r w:rsidR="00B8382B">
        <w:t xml:space="preserve"> жалбоподатели по 2 000 евро, покриващи разноските по всички пера, плюс всички данъци, които могат да бъдат начислени на жалбоподателите.</w:t>
      </w:r>
    </w:p>
    <w:p w:rsidR="00BC3E1E" w:rsidRPr="00AF4DEC" w:rsidRDefault="00B8382B" w:rsidP="00AF4DEC">
      <w:pPr>
        <w:pStyle w:val="JuHHead"/>
      </w:pPr>
      <w:r>
        <w:lastRenderedPageBreak/>
        <w:t>ПО ТЕЗИ СЪОБРАЖЕНИЯ, СЪДЪТ ЕДИНОДУШНО</w:t>
      </w:r>
    </w:p>
    <w:p w:rsidR="00BC3E1E" w:rsidRPr="00AF4DEC" w:rsidRDefault="00B8382B" w:rsidP="00AF4DEC">
      <w:pPr>
        <w:pStyle w:val="JuList"/>
        <w:numPr>
          <w:ilvl w:val="0"/>
          <w:numId w:val="7"/>
        </w:numPr>
      </w:pPr>
      <w:r>
        <w:rPr>
          <w:i/>
          <w:iCs/>
        </w:rPr>
        <w:t>Решава</w:t>
      </w:r>
      <w:r>
        <w:t xml:space="preserve"> да обедини жалбите;</w:t>
      </w:r>
    </w:p>
    <w:p w:rsidR="00BC3E1E" w:rsidRPr="00AF4DEC" w:rsidRDefault="00B8382B" w:rsidP="00AF4DEC">
      <w:pPr>
        <w:pStyle w:val="JuList"/>
        <w:numPr>
          <w:ilvl w:val="0"/>
          <w:numId w:val="7"/>
        </w:numPr>
      </w:pPr>
      <w:r>
        <w:rPr>
          <w:i/>
          <w:iCs/>
        </w:rPr>
        <w:t>Обявява</w:t>
      </w:r>
      <w:r>
        <w:t xml:space="preserve"> жалбите за допустими;</w:t>
      </w:r>
    </w:p>
    <w:p w:rsidR="00BC3E1E" w:rsidRPr="00AF4DEC" w:rsidRDefault="00B8382B" w:rsidP="00AF4DEC">
      <w:pPr>
        <w:pStyle w:val="JuList"/>
        <w:numPr>
          <w:ilvl w:val="0"/>
          <w:numId w:val="7"/>
        </w:numPr>
      </w:pPr>
      <w:r>
        <w:rPr>
          <w:i/>
          <w:iCs/>
        </w:rPr>
        <w:t>Приема</w:t>
      </w:r>
      <w:r>
        <w:t>, че е налице нарушение на чл. 1 от Протокол № 1;</w:t>
      </w:r>
    </w:p>
    <w:p w:rsidR="00BC3E1E" w:rsidRPr="00AF4DEC" w:rsidRDefault="000F7589" w:rsidP="000F7589">
      <w:pPr>
        <w:pStyle w:val="JuList"/>
      </w:pPr>
      <w:r w:rsidRPr="000F7589">
        <w:rPr>
          <w:i/>
        </w:rPr>
        <w:t>Постановява</w:t>
      </w:r>
      <w:r w:rsidR="00B8382B">
        <w:rPr>
          <w:i/>
        </w:rPr>
        <w:t>,</w:t>
      </w:r>
    </w:p>
    <w:p w:rsidR="00BC3E1E" w:rsidRPr="00AF4DEC" w:rsidRDefault="00B8382B" w:rsidP="00C6071B">
      <w:pPr>
        <w:pStyle w:val="JuLista"/>
      </w:pPr>
      <w:r>
        <w:t>че държавата</w:t>
      </w:r>
      <w:r w:rsidR="002338BA">
        <w:t xml:space="preserve"> </w:t>
      </w:r>
      <w:r>
        <w:t>-</w:t>
      </w:r>
      <w:r w:rsidR="002338BA">
        <w:t xml:space="preserve"> </w:t>
      </w:r>
      <w:r>
        <w:t xml:space="preserve">ответник следва да </w:t>
      </w:r>
      <w:r w:rsidR="00961D52">
        <w:t>и</w:t>
      </w:r>
      <w:r>
        <w:t>зплати на всяко дружество</w:t>
      </w:r>
      <w:r w:rsidR="00D258D4">
        <w:t xml:space="preserve"> -</w:t>
      </w:r>
      <w:r>
        <w:t xml:space="preserve"> жалбоподател в срок до три месеца следните суми, които се конвертират във валутата на държавата</w:t>
      </w:r>
      <w:r w:rsidR="00C6071B">
        <w:t xml:space="preserve"> </w:t>
      </w:r>
      <w:r>
        <w:t>-</w:t>
      </w:r>
      <w:r w:rsidR="00C6071B">
        <w:t xml:space="preserve"> </w:t>
      </w:r>
      <w:r>
        <w:t>ответник по курса</w:t>
      </w:r>
      <w:r w:rsidR="00C6071B" w:rsidRPr="00C6071B">
        <w:t xml:space="preserve"> към датата на плащане</w:t>
      </w:r>
      <w:r>
        <w:t>;</w:t>
      </w:r>
      <w:r w:rsidR="002338BA">
        <w:t xml:space="preserve"> </w:t>
      </w:r>
    </w:p>
    <w:p w:rsidR="00BC3E1E" w:rsidRPr="00AF4DEC" w:rsidRDefault="00B8382B" w:rsidP="00DC4591">
      <w:pPr>
        <w:pStyle w:val="JuListi"/>
      </w:pPr>
      <w:r>
        <w:t xml:space="preserve">EUR 3 000 (три хиляди евро), плюс </w:t>
      </w:r>
      <w:r w:rsidR="00DC4591" w:rsidRPr="00DC4591">
        <w:t>евентуално дължими данъци</w:t>
      </w:r>
      <w:r>
        <w:t>, по отношение на неимуществени вреди;</w:t>
      </w:r>
    </w:p>
    <w:p w:rsidR="00BC3E1E" w:rsidRPr="00AF4DEC" w:rsidRDefault="00B8382B" w:rsidP="00C53710">
      <w:pPr>
        <w:pStyle w:val="JuListi"/>
      </w:pPr>
      <w:r>
        <w:t xml:space="preserve">EUR 2 000 (две хиляди евро), плюс </w:t>
      </w:r>
      <w:r w:rsidR="004C4909" w:rsidRPr="004C4909">
        <w:t>евентуално дължими данъци</w:t>
      </w:r>
      <w:r w:rsidR="00C53710" w:rsidRPr="00C53710">
        <w:t xml:space="preserve"> от страна на жалбоподателите</w:t>
      </w:r>
      <w:r>
        <w:t xml:space="preserve">, </w:t>
      </w:r>
      <w:r w:rsidR="00754705">
        <w:t>за</w:t>
      </w:r>
      <w:r>
        <w:t xml:space="preserve"> разходи и разноски;</w:t>
      </w:r>
    </w:p>
    <w:p w:rsidR="00BC3E1E" w:rsidRPr="00AF4DEC" w:rsidRDefault="00B8382B" w:rsidP="00660FFB">
      <w:pPr>
        <w:pStyle w:val="JuLista"/>
      </w:pPr>
      <w:r>
        <w:t xml:space="preserve">че от изтичането на гореспоменатия тримесечен срок до </w:t>
      </w:r>
      <w:r w:rsidR="005504B1" w:rsidRPr="005504B1">
        <w:t>окончателното изплащане върху горепосочените суми</w:t>
      </w:r>
      <w:r w:rsidR="005504B1">
        <w:t xml:space="preserve"> </w:t>
      </w:r>
      <w:r>
        <w:t xml:space="preserve">дължи проста лихва в размер, равен на </w:t>
      </w:r>
      <w:r w:rsidR="00352152" w:rsidRPr="00352152">
        <w:t>пределния лихвен процент</w:t>
      </w:r>
      <w:r w:rsidR="00352152">
        <w:t xml:space="preserve"> </w:t>
      </w:r>
      <w:r>
        <w:t xml:space="preserve">по заеми на Европейската централна банка за </w:t>
      </w:r>
      <w:r w:rsidR="004E2BD5">
        <w:t xml:space="preserve">периода </w:t>
      </w:r>
      <w:r>
        <w:t xml:space="preserve">на забава, </w:t>
      </w:r>
      <w:r w:rsidR="00660FFB" w:rsidRPr="00660FFB">
        <w:t>увеличен с три процентни пункт</w:t>
      </w:r>
      <w:r w:rsidR="00660FFB">
        <w:t>а</w:t>
      </w:r>
      <w:r>
        <w:t>;</w:t>
      </w:r>
    </w:p>
    <w:p w:rsidR="004D0EC7" w:rsidRPr="00AF4DEC" w:rsidRDefault="00B8382B" w:rsidP="004934A1">
      <w:pPr>
        <w:pStyle w:val="JuList"/>
      </w:pPr>
      <w:r>
        <w:rPr>
          <w:i/>
          <w:iCs/>
        </w:rPr>
        <w:t>Отхвърля</w:t>
      </w:r>
      <w:r>
        <w:t xml:space="preserve"> останалата част от </w:t>
      </w:r>
      <w:r w:rsidR="004934A1" w:rsidRPr="004934A1">
        <w:t>претенциите</w:t>
      </w:r>
      <w:r>
        <w:t xml:space="preserve"> на жалбоподателите за справедливо обезщетение.</w:t>
      </w:r>
    </w:p>
    <w:p w:rsidR="008E3A08" w:rsidRPr="00AF4DEC" w:rsidRDefault="00B8382B" w:rsidP="00AF4DEC">
      <w:pPr>
        <w:pStyle w:val="JuParaLast"/>
      </w:pPr>
      <w:r>
        <w:t xml:space="preserve">Изготвено на английски език и </w:t>
      </w:r>
      <w:r w:rsidR="00472FC3">
        <w:t>съобщено</w:t>
      </w:r>
      <w:r>
        <w:t xml:space="preserve"> писмено на 10 септември 2024 г. в съответствие с чл. 77 §§ 2 и 3 от Правилника на Съда.</w:t>
      </w:r>
    </w:p>
    <w:p w:rsidR="007E79A4" w:rsidRPr="00AF4DEC" w:rsidRDefault="00B8382B" w:rsidP="00AF4DEC">
      <w:pPr>
        <w:pStyle w:val="ECHRPlaceholder"/>
        <w:rPr>
          <w:szCs w:val="22"/>
        </w:rPr>
      </w:pPr>
      <w:r>
        <w:tab/>
      </w:r>
    </w:p>
    <w:p w:rsidR="007E79A4" w:rsidRPr="00AF4DEC" w:rsidRDefault="00B8382B" w:rsidP="00AF4DEC">
      <w:pPr>
        <w:pStyle w:val="JuSigned"/>
      </w:pPr>
      <w:r>
        <w:tab/>
        <w:t>Олга Чернишова</w:t>
      </w:r>
      <w:r>
        <w:tab/>
        <w:t>Джорджос Сергидес</w:t>
      </w:r>
      <w:r>
        <w:cr/>
      </w:r>
      <w:r>
        <w:br/>
      </w:r>
      <w:r>
        <w:tab/>
        <w:t>Заместник-секретар</w:t>
      </w:r>
      <w:r>
        <w:tab/>
        <w:t>Председател</w:t>
      </w:r>
    </w:p>
    <w:p w:rsidR="00675AF2" w:rsidRPr="00AF4DEC" w:rsidRDefault="00675AF2" w:rsidP="00AF4DEC">
      <w:pPr>
        <w:pStyle w:val="JuPara"/>
      </w:pPr>
    </w:p>
    <w:p w:rsidR="00BC3E1E" w:rsidRPr="00AF4DEC" w:rsidRDefault="00BC3E1E" w:rsidP="00AF4DEC">
      <w:pPr>
        <w:rPr>
          <w:noProof/>
          <w:color w:val="000000"/>
        </w:rPr>
      </w:pPr>
    </w:p>
    <w:p w:rsidR="00BC3E1E" w:rsidRPr="00AF4DEC" w:rsidRDefault="00BC3E1E" w:rsidP="00AF4DEC">
      <w:pPr>
        <w:rPr>
          <w:noProof/>
          <w:color w:val="000000"/>
        </w:rPr>
        <w:sectPr w:rsidR="00BC3E1E" w:rsidRPr="00AF4DEC" w:rsidSect="008755DE">
          <w:headerReference w:type="even" r:id="rId12"/>
          <w:headerReference w:type="default" r:id="rId13"/>
          <w:footerReference w:type="even" r:id="rId14"/>
          <w:footerReference w:type="default" r:id="rId15"/>
          <w:footnotePr>
            <w:numRestart w:val="eachSect"/>
          </w:footnotePr>
          <w:pgSz w:w="11906" w:h="16838" w:code="9"/>
          <w:pgMar w:top="2274" w:right="1983" w:bottom="2274" w:left="2274" w:header="1701" w:footer="720" w:gutter="0"/>
          <w:pgNumType w:start="1"/>
          <w:cols w:space="720"/>
          <w:docGrid w:linePitch="326"/>
        </w:sectPr>
      </w:pPr>
    </w:p>
    <w:p w:rsidR="00BC3E1E" w:rsidRPr="00AF4DEC" w:rsidRDefault="00B8382B" w:rsidP="00AF4DEC">
      <w:pPr>
        <w:pStyle w:val="DecHTitle"/>
        <w:rPr>
          <w:noProof/>
        </w:rPr>
      </w:pPr>
      <w:r>
        <w:lastRenderedPageBreak/>
        <w:t>ПРИЛОЖЕНИЕ</w:t>
      </w:r>
    </w:p>
    <w:p w:rsidR="00BC3E1E" w:rsidRPr="00AF4DEC" w:rsidRDefault="00B8382B" w:rsidP="00AF4DEC">
      <w:pPr>
        <w:pStyle w:val="DecHCase"/>
        <w:keepNext w:val="0"/>
        <w:keepLines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Списък на делата:</w:t>
      </w:r>
    </w:p>
    <w:tbl>
      <w:tblPr>
        <w:tblStyle w:val="ECHRListTable"/>
        <w:tblW w:w="9640" w:type="dxa"/>
        <w:tblInd w:w="-1281" w:type="dxa"/>
        <w:tblLook w:val="0420" w:firstRow="1" w:lastRow="0" w:firstColumn="0" w:lastColumn="0" w:noHBand="0" w:noVBand="1"/>
      </w:tblPr>
      <w:tblGrid>
        <w:gridCol w:w="522"/>
        <w:gridCol w:w="1238"/>
        <w:gridCol w:w="2103"/>
        <w:gridCol w:w="1310"/>
        <w:gridCol w:w="2500"/>
        <w:gridCol w:w="1967"/>
      </w:tblGrid>
      <w:tr w:rsidR="004B2802" w:rsidTr="004B28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70" w:type="dxa"/>
            <w:hideMark/>
          </w:tcPr>
          <w:p w:rsidR="00BC3E1E" w:rsidRPr="00AF4DEC" w:rsidRDefault="00B8382B" w:rsidP="00AF4DEC">
            <w:pPr>
              <w:rPr>
                <w:rFonts w:eastAsia="Times New Roman"/>
              </w:rPr>
            </w:pPr>
            <w:bookmarkStart w:id="6" w:name="AppTableStart"/>
            <w:bookmarkEnd w:id="6"/>
            <w:r>
              <w:t>№</w:t>
            </w:r>
          </w:p>
        </w:tc>
        <w:tc>
          <w:tcPr>
            <w:tcW w:w="1413" w:type="dxa"/>
            <w:hideMark/>
          </w:tcPr>
          <w:p w:rsidR="00BC3E1E" w:rsidRPr="00AF4DEC" w:rsidRDefault="00B8382B" w:rsidP="00AF4DEC">
            <w:pPr>
              <w:rPr>
                <w:rFonts w:eastAsia="Times New Roman"/>
              </w:rPr>
            </w:pPr>
            <w:r>
              <w:t>Жалба №</w:t>
            </w:r>
          </w:p>
        </w:tc>
        <w:tc>
          <w:tcPr>
            <w:tcW w:w="1552" w:type="dxa"/>
            <w:hideMark/>
          </w:tcPr>
          <w:p w:rsidR="00BC3E1E" w:rsidRPr="00AF4DEC" w:rsidRDefault="00B8382B" w:rsidP="00AF4DEC">
            <w:pPr>
              <w:rPr>
                <w:rFonts w:eastAsia="Times New Roman"/>
              </w:rPr>
            </w:pPr>
            <w:r>
              <w:t>Име на делото</w:t>
            </w:r>
          </w:p>
        </w:tc>
        <w:tc>
          <w:tcPr>
            <w:tcW w:w="1310" w:type="dxa"/>
            <w:hideMark/>
          </w:tcPr>
          <w:p w:rsidR="00BC3E1E" w:rsidRPr="00AF4DEC" w:rsidRDefault="00B8382B" w:rsidP="00AF4DEC">
            <w:pPr>
              <w:rPr>
                <w:rFonts w:eastAsia="Times New Roman"/>
              </w:rPr>
            </w:pPr>
            <w:r>
              <w:t>Заведено на</w:t>
            </w:r>
          </w:p>
        </w:tc>
        <w:tc>
          <w:tcPr>
            <w:tcW w:w="2668" w:type="dxa"/>
            <w:hideMark/>
          </w:tcPr>
          <w:p w:rsidR="00BC3E1E" w:rsidRPr="00AF4DEC" w:rsidRDefault="00B8382B" w:rsidP="00AF4DEC">
            <w:pPr>
              <w:rPr>
                <w:rFonts w:eastAsia="Times New Roman"/>
              </w:rPr>
            </w:pPr>
            <w:r>
              <w:t>Жалбоподател</w:t>
            </w:r>
            <w:r>
              <w:br/>
              <w:t>Година на регистрация</w:t>
            </w:r>
            <w:r>
              <w:br/>
              <w:t>Място на регистрирано седалище</w:t>
            </w:r>
          </w:p>
        </w:tc>
        <w:tc>
          <w:tcPr>
            <w:tcW w:w="2127" w:type="dxa"/>
            <w:hideMark/>
          </w:tcPr>
          <w:p w:rsidR="00BC3E1E" w:rsidRPr="00AF4DEC" w:rsidRDefault="00B8382B" w:rsidP="00AF4DEC">
            <w:pPr>
              <w:rPr>
                <w:rFonts w:eastAsia="Times New Roman"/>
              </w:rPr>
            </w:pPr>
            <w:r>
              <w:t>Представлява се от:</w:t>
            </w:r>
          </w:p>
        </w:tc>
      </w:tr>
      <w:tr w:rsidR="004B2802" w:rsidTr="004B2802">
        <w:tc>
          <w:tcPr>
            <w:tcW w:w="570" w:type="dxa"/>
            <w:hideMark/>
          </w:tcPr>
          <w:p w:rsidR="00BC3E1E" w:rsidRPr="00AF4DEC" w:rsidRDefault="00B8382B" w:rsidP="00AF4DEC">
            <w:pPr>
              <w:rPr>
                <w:rFonts w:eastAsia="Times New Roman"/>
              </w:rPr>
            </w:pPr>
            <w:r>
              <w:t>1.</w:t>
            </w:r>
          </w:p>
        </w:tc>
        <w:tc>
          <w:tcPr>
            <w:tcW w:w="1413" w:type="dxa"/>
            <w:hideMark/>
          </w:tcPr>
          <w:p w:rsidR="00BC3E1E" w:rsidRPr="00AF4DEC" w:rsidRDefault="00B8382B" w:rsidP="00AF4DEC">
            <w:pPr>
              <w:rPr>
                <w:rFonts w:eastAsia="Times New Roman"/>
              </w:rPr>
            </w:pPr>
            <w:r>
              <w:t>4173/20</w:t>
            </w:r>
          </w:p>
        </w:tc>
        <w:tc>
          <w:tcPr>
            <w:tcW w:w="1552" w:type="dxa"/>
            <w:hideMark/>
          </w:tcPr>
          <w:p w:rsidR="00BC3E1E" w:rsidRPr="00AF4DEC" w:rsidRDefault="00B8382B" w:rsidP="00AF4DEC">
            <w:pPr>
              <w:rPr>
                <w:rFonts w:eastAsia="Times New Roman"/>
                <w:i/>
                <w:iCs/>
              </w:rPr>
            </w:pPr>
            <w:r>
              <w:rPr>
                <w:i/>
              </w:rPr>
              <w:t>„НЕВАДА ТУРС 2004“ АД срещу БЪЛГАРИЯ</w:t>
            </w:r>
          </w:p>
        </w:tc>
        <w:tc>
          <w:tcPr>
            <w:tcW w:w="1310" w:type="dxa"/>
            <w:hideMark/>
          </w:tcPr>
          <w:p w:rsidR="00BC3E1E" w:rsidRPr="00AF4DEC" w:rsidRDefault="00B8382B" w:rsidP="00AF4DEC">
            <w:pPr>
              <w:rPr>
                <w:rFonts w:eastAsia="Times New Roman"/>
              </w:rPr>
            </w:pPr>
            <w:r>
              <w:t>11/01/2020</w:t>
            </w:r>
          </w:p>
        </w:tc>
        <w:tc>
          <w:tcPr>
            <w:tcW w:w="2668" w:type="dxa"/>
            <w:hideMark/>
          </w:tcPr>
          <w:p w:rsidR="00BC3E1E" w:rsidRPr="00AF4DEC" w:rsidRDefault="00B8382B" w:rsidP="00AF4DEC">
            <w:pPr>
              <w:rPr>
                <w:rFonts w:eastAsia="Times New Roman"/>
              </w:rPr>
            </w:pPr>
            <w:r>
              <w:rPr>
                <w:b/>
                <w:bCs/>
              </w:rPr>
              <w:t>„НЕВАДА ТУРС 2004“ АД</w:t>
            </w:r>
            <w:r>
              <w:br/>
              <w:t>2003</w:t>
            </w:r>
            <w:r>
              <w:br/>
              <w:t>Несебър</w:t>
            </w:r>
          </w:p>
        </w:tc>
        <w:tc>
          <w:tcPr>
            <w:tcW w:w="2127" w:type="dxa"/>
            <w:hideMark/>
          </w:tcPr>
          <w:p w:rsidR="00BC3E1E" w:rsidRPr="00AF4DEC" w:rsidRDefault="00B8382B" w:rsidP="00AF4DEC">
            <w:pPr>
              <w:rPr>
                <w:rFonts w:eastAsia="Times New Roman"/>
              </w:rPr>
            </w:pPr>
            <w:r>
              <w:t>М. Екимджиев</w:t>
            </w:r>
          </w:p>
          <w:p w:rsidR="00BC3E1E" w:rsidRPr="00AF4DEC" w:rsidRDefault="00B8382B" w:rsidP="00AF4DEC">
            <w:pPr>
              <w:rPr>
                <w:rFonts w:eastAsia="Times New Roman"/>
              </w:rPr>
            </w:pPr>
            <w:r>
              <w:t>К. Бончева</w:t>
            </w:r>
          </w:p>
          <w:p w:rsidR="00BC3E1E" w:rsidRPr="00AF4DEC" w:rsidRDefault="00B8382B" w:rsidP="00AF4DEC">
            <w:pPr>
              <w:rPr>
                <w:rFonts w:eastAsia="Times New Roman"/>
              </w:rPr>
            </w:pPr>
            <w:r>
              <w:t>М. Докова-Костадинова</w:t>
            </w:r>
          </w:p>
        </w:tc>
      </w:tr>
      <w:tr w:rsidR="004B2802" w:rsidTr="004B2802">
        <w:tc>
          <w:tcPr>
            <w:tcW w:w="570" w:type="dxa"/>
            <w:hideMark/>
          </w:tcPr>
          <w:p w:rsidR="00BC3E1E" w:rsidRPr="00AF4DEC" w:rsidRDefault="00B8382B" w:rsidP="00AF4DEC">
            <w:pPr>
              <w:rPr>
                <w:rFonts w:eastAsia="Times New Roman"/>
              </w:rPr>
            </w:pPr>
            <w:r>
              <w:t>2.</w:t>
            </w:r>
          </w:p>
        </w:tc>
        <w:tc>
          <w:tcPr>
            <w:tcW w:w="1413" w:type="dxa"/>
            <w:hideMark/>
          </w:tcPr>
          <w:p w:rsidR="00BC3E1E" w:rsidRPr="00AF4DEC" w:rsidRDefault="00B8382B" w:rsidP="00AF4DEC">
            <w:pPr>
              <w:rPr>
                <w:rFonts w:eastAsia="Times New Roman"/>
              </w:rPr>
            </w:pPr>
            <w:r>
              <w:t>6186/20</w:t>
            </w:r>
          </w:p>
        </w:tc>
        <w:tc>
          <w:tcPr>
            <w:tcW w:w="1552" w:type="dxa"/>
            <w:hideMark/>
          </w:tcPr>
          <w:p w:rsidR="00BC3E1E" w:rsidRPr="00AF4DEC" w:rsidRDefault="00B8382B" w:rsidP="00AF4DEC">
            <w:pPr>
              <w:rPr>
                <w:rFonts w:eastAsia="Times New Roman"/>
                <w:i/>
                <w:iCs/>
              </w:rPr>
            </w:pPr>
            <w:r>
              <w:rPr>
                <w:i/>
              </w:rPr>
              <w:t>БЪЛГАРСКО ТУРИСТИЧЕСКО ДРУЖЕСТВО „ГЛОБАЛ ТУРС“ АД срещу БЪЛГАРИЯ</w:t>
            </w:r>
          </w:p>
        </w:tc>
        <w:tc>
          <w:tcPr>
            <w:tcW w:w="1310" w:type="dxa"/>
            <w:hideMark/>
          </w:tcPr>
          <w:p w:rsidR="00BC3E1E" w:rsidRPr="00AF4DEC" w:rsidRDefault="00B8382B" w:rsidP="00AF4DEC">
            <w:pPr>
              <w:rPr>
                <w:rFonts w:eastAsia="Times New Roman"/>
              </w:rPr>
            </w:pPr>
            <w:r>
              <w:t>21/01/2020</w:t>
            </w:r>
          </w:p>
        </w:tc>
        <w:tc>
          <w:tcPr>
            <w:tcW w:w="2668" w:type="dxa"/>
            <w:hideMark/>
          </w:tcPr>
          <w:p w:rsidR="00BC3E1E" w:rsidRPr="00AF4DEC" w:rsidRDefault="00B8382B" w:rsidP="00AF4DEC">
            <w:pPr>
              <w:rPr>
                <w:rFonts w:eastAsia="Times New Roman"/>
              </w:rPr>
            </w:pPr>
            <w:r>
              <w:rPr>
                <w:b/>
              </w:rPr>
              <w:t>БЪЛГАРСКО ТУРИСТИЧЕСКО ДРУЖЕСТВО</w:t>
            </w:r>
            <w:r>
              <w:t xml:space="preserve"> </w:t>
            </w:r>
            <w:r>
              <w:rPr>
                <w:b/>
                <w:bCs/>
              </w:rPr>
              <w:t>„ГЛОБАЛ ТУРС“ АД</w:t>
            </w:r>
            <w:r>
              <w:t xml:space="preserve"> </w:t>
            </w:r>
            <w:r>
              <w:br/>
              <w:t xml:space="preserve">1999 </w:t>
            </w:r>
            <w:r>
              <w:br/>
              <w:t>Бургас</w:t>
            </w:r>
          </w:p>
        </w:tc>
        <w:tc>
          <w:tcPr>
            <w:tcW w:w="2127" w:type="dxa"/>
            <w:hideMark/>
          </w:tcPr>
          <w:p w:rsidR="00BC3E1E" w:rsidRPr="00AF4DEC" w:rsidRDefault="00B8382B" w:rsidP="00AF4DEC">
            <w:pPr>
              <w:rPr>
                <w:rFonts w:eastAsia="Times New Roman"/>
              </w:rPr>
            </w:pPr>
            <w:r>
              <w:t>М. Екимджиев</w:t>
            </w:r>
          </w:p>
          <w:p w:rsidR="00BC3E1E" w:rsidRPr="00AF4DEC" w:rsidRDefault="00B8382B" w:rsidP="00AF4DEC">
            <w:pPr>
              <w:rPr>
                <w:rFonts w:eastAsia="Times New Roman"/>
              </w:rPr>
            </w:pPr>
            <w:r>
              <w:t>К. Бончева</w:t>
            </w:r>
          </w:p>
          <w:p w:rsidR="00BC3E1E" w:rsidRPr="00AF4DEC" w:rsidRDefault="00B8382B" w:rsidP="00AF4DEC">
            <w:pPr>
              <w:rPr>
                <w:rFonts w:eastAsia="Times New Roman"/>
              </w:rPr>
            </w:pPr>
            <w:r>
              <w:t>М. Докова-Костадинова</w:t>
            </w:r>
          </w:p>
        </w:tc>
      </w:tr>
    </w:tbl>
    <w:p w:rsidR="00182EBA" w:rsidRPr="00AF4DEC" w:rsidRDefault="00182EBA" w:rsidP="00AF4DEC"/>
    <w:sectPr w:rsidR="00182EBA" w:rsidRPr="00AF4DEC" w:rsidSect="008755DE">
      <w:headerReference w:type="even" r:id="rId16"/>
      <w:headerReference w:type="default" r:id="rId17"/>
      <w:footerReference w:type="even" r:id="rId18"/>
      <w:footerReference w:type="default" r:id="rId19"/>
      <w:footnotePr>
        <w:numRestart w:val="eachSect"/>
      </w:footnotePr>
      <w:pgSz w:w="11906" w:h="16838" w:code="9"/>
      <w:pgMar w:top="2274" w:right="1983" w:bottom="2274" w:left="2274" w:header="170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1E2" w:rsidRDefault="00A111E2">
      <w:r>
        <w:separator/>
      </w:r>
    </w:p>
  </w:endnote>
  <w:endnote w:type="continuationSeparator" w:id="0">
    <w:p w:rsidR="00A111E2" w:rsidRDefault="00A1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E1E" w:rsidRPr="00150BFA" w:rsidRDefault="00B8382B" w:rsidP="0020718E">
    <w:pPr>
      <w:jc w:val="center"/>
    </w:pPr>
    <w:r>
      <w:rPr>
        <w:noProof/>
        <w:lang w:eastAsia="bg-BG"/>
      </w:rPr>
      <w:drawing>
        <wp:inline distT="0" distB="0" distL="0" distR="0">
          <wp:extent cx="771525" cy="619125"/>
          <wp:effectExtent l="0" t="0" r="9525" b="9525"/>
          <wp:docPr id="12" name="Picture 12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410D" w:rsidRPr="00BC3E1E" w:rsidRDefault="0098410D" w:rsidP="00AF12C5">
    <w:pPr>
      <w:pStyle w:val="Footer0"/>
      <w:jc w:val="cen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E1E" w:rsidRPr="00150BFA" w:rsidRDefault="00B8382B" w:rsidP="0020718E">
    <w:pPr>
      <w:jc w:val="center"/>
    </w:pPr>
    <w:r>
      <w:rPr>
        <w:noProof/>
        <w:lang w:eastAsia="bg-BG"/>
      </w:rPr>
      <w:drawing>
        <wp:inline distT="0" distB="0" distL="0" distR="0">
          <wp:extent cx="771525" cy="619125"/>
          <wp:effectExtent l="0" t="0" r="9525" b="9525"/>
          <wp:docPr id="14" name="Picture 14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7A6F" w:rsidRPr="00BC3E1E" w:rsidRDefault="009E7A6F" w:rsidP="009E7A6F">
    <w:pPr>
      <w:pStyle w:val="Footer0"/>
      <w:jc w:val="cen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E1E" w:rsidRDefault="00B8382B" w:rsidP="009A115C">
    <w:pPr>
      <w:pStyle w:val="JuHeader"/>
    </w:pPr>
    <w:r>
      <w:fldChar w:fldCharType="begin"/>
    </w:r>
    <w:r>
      <w:instrText xml:space="preserve"> PAGE  \* MERGEFORMAT </w:instrText>
    </w:r>
    <w:r>
      <w:fldChar w:fldCharType="separate"/>
    </w:r>
    <w:r w:rsidR="00412343">
      <w:rPr>
        <w:noProof/>
      </w:rPr>
      <w:t>6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E1E" w:rsidRPr="000B7195" w:rsidRDefault="00B8382B" w:rsidP="007D3701">
    <w:pPr>
      <w:pStyle w:val="JuHeader"/>
    </w:pPr>
    <w:r>
      <w:fldChar w:fldCharType="begin"/>
    </w:r>
    <w:r>
      <w:instrText xml:space="preserve"> PAGE  \* MERGEFORMAT </w:instrText>
    </w:r>
    <w:r>
      <w:fldChar w:fldCharType="separate"/>
    </w:r>
    <w:r w:rsidR="00412343">
      <w:rPr>
        <w:noProof/>
      </w:rPr>
      <w:t>5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BA" w:rsidRDefault="00B8382B" w:rsidP="009A115C">
    <w:pPr>
      <w:pStyle w:val="JuHeader"/>
    </w:pPr>
    <w:r>
      <w:fldChar w:fldCharType="begin"/>
    </w:r>
    <w:r>
      <w:instrText xml:space="preserve"> PAGE  \* MERGEFORMAT </w:instrText>
    </w:r>
    <w:r>
      <w:fldChar w:fldCharType="separate"/>
    </w:r>
    <w:r w:rsidR="00440EEB">
      <w:rPr>
        <w:noProof/>
      </w:rPr>
      <w:t>8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BA" w:rsidRPr="000B7195" w:rsidRDefault="00B8382B" w:rsidP="007D3701">
    <w:pPr>
      <w:pStyle w:val="JuHeader"/>
    </w:pPr>
    <w:r>
      <w:fldChar w:fldCharType="begin"/>
    </w:r>
    <w:r>
      <w:instrText xml:space="preserve"> PAGE  \* MERGEFORMAT </w:instrText>
    </w:r>
    <w:r>
      <w:fldChar w:fldCharType="separate"/>
    </w:r>
    <w:r w:rsidR="00C151D9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1E2" w:rsidRDefault="00A111E2">
      <w:r>
        <w:separator/>
      </w:r>
    </w:p>
  </w:footnote>
  <w:footnote w:type="continuationSeparator" w:id="0">
    <w:p w:rsidR="00A111E2" w:rsidRDefault="00A11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E1E" w:rsidRPr="00A45145" w:rsidRDefault="00B8382B" w:rsidP="00A45145">
    <w:pPr>
      <w:jc w:val="center"/>
    </w:pPr>
    <w:r>
      <w:rPr>
        <w:noProof/>
        <w:lang w:eastAsia="bg-BG"/>
      </w:rPr>
      <w:drawing>
        <wp:inline distT="0" distB="0" distL="0" distR="0">
          <wp:extent cx="2962275" cy="1219200"/>
          <wp:effectExtent l="0" t="0" r="9525" b="0"/>
          <wp:docPr id="11" name="Picture 1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410D" w:rsidRPr="00BC3E1E" w:rsidRDefault="0098410D" w:rsidP="00B14793">
    <w:pPr>
      <w:jc w:val="cent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E1E" w:rsidRPr="00A45145" w:rsidRDefault="00B8382B" w:rsidP="00A45145">
    <w:pPr>
      <w:jc w:val="center"/>
    </w:pPr>
    <w:r>
      <w:rPr>
        <w:noProof/>
        <w:lang w:eastAsia="bg-BG"/>
      </w:rPr>
      <w:drawing>
        <wp:inline distT="0" distB="0" distL="0" distR="0">
          <wp:extent cx="2962275" cy="1219200"/>
          <wp:effectExtent l="0" t="0" r="9525" b="0"/>
          <wp:docPr id="13" name="Picture 13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410D" w:rsidRPr="00BC3E1E" w:rsidRDefault="0098410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966" w:rsidRPr="00882CD5" w:rsidRDefault="00B8382B" w:rsidP="000E6966">
    <w:pPr>
      <w:pStyle w:val="JuHeader"/>
    </w:pPr>
    <w:r>
      <w:t>„НЕВАДА ТУРС 2004“ АД И БЪЛГАРСКО ТУРИСТИЧЕСКО ДРУЖЕСТВО „ГЛОБАЛ ТУРС“ АД</w:t>
    </w:r>
  </w:p>
  <w:p w:rsidR="00BC3E1E" w:rsidRPr="000E6966" w:rsidRDefault="00BC3E1E" w:rsidP="000E696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E1E" w:rsidRPr="00882CD5" w:rsidRDefault="00B8382B" w:rsidP="007D3701">
    <w:pPr>
      <w:pStyle w:val="JuHeader"/>
    </w:pPr>
    <w:r>
      <w:t>„НЕВАДА ТУРС 2004“ АД И БЪЛГАРСКО ТУРИСТИЧЕСКО ДРУЖЕСТВО „ГЛОБАЛ ТУРС“ АД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BA" w:rsidRPr="004D0EC7" w:rsidRDefault="00B8382B" w:rsidP="004D0EC7">
    <w:pPr>
      <w:pStyle w:val="JuHeader"/>
    </w:pPr>
    <w:r>
      <w:t>„НЕВАДА ТУРС 2004“ АД срещу БЪЛГАРИЯ РЕШЕНИЕ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966" w:rsidRPr="00882CD5" w:rsidRDefault="00B8382B" w:rsidP="000E6966">
    <w:pPr>
      <w:pStyle w:val="JuHeader"/>
    </w:pPr>
    <w:r>
      <w:t>„НЕВАДА ТУРС 2004“ АД И БЪЛГАРСКО ТУРИСТИЧЕСКО ДРУЖЕСТВО „ГЛОБАЛ ТУРС“ 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8F2261"/>
    <w:multiLevelType w:val="multilevel"/>
    <w:tmpl w:val="C8FE6436"/>
    <w:numStyleLink w:val="ECHRA1StyleList"/>
  </w:abstractNum>
  <w:abstractNum w:abstractNumId="10" w15:restartNumberingAfterBreak="0">
    <w:nsid w:val="0C0F5BFC"/>
    <w:multiLevelType w:val="multilevel"/>
    <w:tmpl w:val="E2B270DC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69" w:hanging="369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FFFFFF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FFFFFF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FFFFFF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6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7" w15:restartNumberingAfterBreak="0">
    <w:nsid w:val="67FD1241"/>
    <w:multiLevelType w:val="hybridMultilevel"/>
    <w:tmpl w:val="F6D86CC2"/>
    <w:lvl w:ilvl="0" w:tplc="36DC28F0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FE804078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B02ADFCC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43A688EC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5F968CD6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94C4CE86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98CEB2E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8F820F14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DDC09DFC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5"/>
  </w:num>
  <w:num w:numId="5">
    <w:abstractNumId w:val="13"/>
  </w:num>
  <w:num w:numId="6">
    <w:abstractNumId w:val="16"/>
  </w:num>
  <w:num w:numId="7">
    <w:abstractNumId w:val="9"/>
  </w:num>
  <w:num w:numId="8">
    <w:abstractNumId w:val="17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10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2"/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Plural" w:val="2"/>
    <w:docVar w:name="SecondCaseNumber" w:val="6186/20"/>
    <w:docVar w:name="SignForeName" w:val="0"/>
    <w:docVar w:name="SndCaseNumber" w:val="6186/20"/>
  </w:docVars>
  <w:rsids>
    <w:rsidRoot w:val="00BC3E1E"/>
    <w:rsid w:val="000041F8"/>
    <w:rsid w:val="000042A8"/>
    <w:rsid w:val="00004308"/>
    <w:rsid w:val="00005BF0"/>
    <w:rsid w:val="0000617D"/>
    <w:rsid w:val="00007154"/>
    <w:rsid w:val="000103AE"/>
    <w:rsid w:val="00011D69"/>
    <w:rsid w:val="00012AD3"/>
    <w:rsid w:val="00015C2D"/>
    <w:rsid w:val="00015F00"/>
    <w:rsid w:val="00022C1D"/>
    <w:rsid w:val="0002592F"/>
    <w:rsid w:val="00031428"/>
    <w:rsid w:val="00034987"/>
    <w:rsid w:val="00041560"/>
    <w:rsid w:val="0005076F"/>
    <w:rsid w:val="000602DF"/>
    <w:rsid w:val="00061B05"/>
    <w:rsid w:val="0006271E"/>
    <w:rsid w:val="000632D5"/>
    <w:rsid w:val="000644EE"/>
    <w:rsid w:val="000712E3"/>
    <w:rsid w:val="0007780A"/>
    <w:rsid w:val="00085457"/>
    <w:rsid w:val="000925AD"/>
    <w:rsid w:val="000929E0"/>
    <w:rsid w:val="00096FE1"/>
    <w:rsid w:val="00097A62"/>
    <w:rsid w:val="000A24EB"/>
    <w:rsid w:val="000B686A"/>
    <w:rsid w:val="000B6923"/>
    <w:rsid w:val="000B7195"/>
    <w:rsid w:val="000C5F3C"/>
    <w:rsid w:val="000C6604"/>
    <w:rsid w:val="000C6DCC"/>
    <w:rsid w:val="000D47AA"/>
    <w:rsid w:val="000D4DC9"/>
    <w:rsid w:val="000D721F"/>
    <w:rsid w:val="000E069B"/>
    <w:rsid w:val="000E0E82"/>
    <w:rsid w:val="000E1DC5"/>
    <w:rsid w:val="000E223F"/>
    <w:rsid w:val="000E46B8"/>
    <w:rsid w:val="000E6966"/>
    <w:rsid w:val="000E7D45"/>
    <w:rsid w:val="000F52F4"/>
    <w:rsid w:val="000F7589"/>
    <w:rsid w:val="000F7851"/>
    <w:rsid w:val="00101505"/>
    <w:rsid w:val="00104E23"/>
    <w:rsid w:val="00110DA8"/>
    <w:rsid w:val="00111B0C"/>
    <w:rsid w:val="00120D6C"/>
    <w:rsid w:val="00124B32"/>
    <w:rsid w:val="001257EC"/>
    <w:rsid w:val="00133D33"/>
    <w:rsid w:val="00134B6A"/>
    <w:rsid w:val="00134D64"/>
    <w:rsid w:val="00135A30"/>
    <w:rsid w:val="0013612C"/>
    <w:rsid w:val="00137FF6"/>
    <w:rsid w:val="00141650"/>
    <w:rsid w:val="00150BFA"/>
    <w:rsid w:val="001561B6"/>
    <w:rsid w:val="00162A12"/>
    <w:rsid w:val="00166530"/>
    <w:rsid w:val="00170027"/>
    <w:rsid w:val="00176C37"/>
    <w:rsid w:val="0017780E"/>
    <w:rsid w:val="00182EBA"/>
    <w:rsid w:val="001832BD"/>
    <w:rsid w:val="0019299A"/>
    <w:rsid w:val="001943B5"/>
    <w:rsid w:val="00195134"/>
    <w:rsid w:val="001A020C"/>
    <w:rsid w:val="001A145B"/>
    <w:rsid w:val="001A3E09"/>
    <w:rsid w:val="001A5470"/>
    <w:rsid w:val="001A674C"/>
    <w:rsid w:val="001B3B24"/>
    <w:rsid w:val="001C055B"/>
    <w:rsid w:val="001C0F98"/>
    <w:rsid w:val="001C272C"/>
    <w:rsid w:val="001C2A42"/>
    <w:rsid w:val="001C2D41"/>
    <w:rsid w:val="001C4377"/>
    <w:rsid w:val="001D63ED"/>
    <w:rsid w:val="001D7348"/>
    <w:rsid w:val="001E035B"/>
    <w:rsid w:val="001E0961"/>
    <w:rsid w:val="001E32AD"/>
    <w:rsid w:val="001E3EAE"/>
    <w:rsid w:val="001E6857"/>
    <w:rsid w:val="001E6F32"/>
    <w:rsid w:val="001E7735"/>
    <w:rsid w:val="001F2145"/>
    <w:rsid w:val="001F6262"/>
    <w:rsid w:val="001F67B0"/>
    <w:rsid w:val="001F7B3D"/>
    <w:rsid w:val="00202752"/>
    <w:rsid w:val="0020335A"/>
    <w:rsid w:val="002052BC"/>
    <w:rsid w:val="00205F9F"/>
    <w:rsid w:val="0020718E"/>
    <w:rsid w:val="00210338"/>
    <w:rsid w:val="002115FC"/>
    <w:rsid w:val="00212170"/>
    <w:rsid w:val="0021423C"/>
    <w:rsid w:val="002222C1"/>
    <w:rsid w:val="00226C89"/>
    <w:rsid w:val="00230D00"/>
    <w:rsid w:val="00231DF7"/>
    <w:rsid w:val="00231FD1"/>
    <w:rsid w:val="002338BA"/>
    <w:rsid w:val="002339E0"/>
    <w:rsid w:val="00233CF8"/>
    <w:rsid w:val="0023575D"/>
    <w:rsid w:val="00237148"/>
    <w:rsid w:val="0024222D"/>
    <w:rsid w:val="002422B6"/>
    <w:rsid w:val="0024342D"/>
    <w:rsid w:val="00244B0E"/>
    <w:rsid w:val="00244F6C"/>
    <w:rsid w:val="00246B89"/>
    <w:rsid w:val="00246FF2"/>
    <w:rsid w:val="002505E0"/>
    <w:rsid w:val="00252C4E"/>
    <w:rsid w:val="002532C5"/>
    <w:rsid w:val="00254DF2"/>
    <w:rsid w:val="00260C03"/>
    <w:rsid w:val="0026439A"/>
    <w:rsid w:val="0026540E"/>
    <w:rsid w:val="00275123"/>
    <w:rsid w:val="00281B7C"/>
    <w:rsid w:val="00282240"/>
    <w:rsid w:val="00282BD8"/>
    <w:rsid w:val="002838AE"/>
    <w:rsid w:val="00287AD5"/>
    <w:rsid w:val="002934D0"/>
    <w:rsid w:val="00293676"/>
    <w:rsid w:val="00293BD9"/>
    <w:rsid w:val="002948AD"/>
    <w:rsid w:val="002A01CC"/>
    <w:rsid w:val="002A5713"/>
    <w:rsid w:val="002A613A"/>
    <w:rsid w:val="002A61B1"/>
    <w:rsid w:val="002A663C"/>
    <w:rsid w:val="002B444B"/>
    <w:rsid w:val="002B5887"/>
    <w:rsid w:val="002B5B43"/>
    <w:rsid w:val="002C0E27"/>
    <w:rsid w:val="002C3040"/>
    <w:rsid w:val="002C4433"/>
    <w:rsid w:val="002C5ADD"/>
    <w:rsid w:val="002C7826"/>
    <w:rsid w:val="002D022D"/>
    <w:rsid w:val="002D24BB"/>
    <w:rsid w:val="002D2FA7"/>
    <w:rsid w:val="002D47BA"/>
    <w:rsid w:val="002D77B9"/>
    <w:rsid w:val="002E46DA"/>
    <w:rsid w:val="002E7764"/>
    <w:rsid w:val="002F2AF7"/>
    <w:rsid w:val="002F69C4"/>
    <w:rsid w:val="002F7D9E"/>
    <w:rsid w:val="002F7E1C"/>
    <w:rsid w:val="00301A75"/>
    <w:rsid w:val="00302F70"/>
    <w:rsid w:val="0030336F"/>
    <w:rsid w:val="0030375E"/>
    <w:rsid w:val="00307F20"/>
    <w:rsid w:val="00312A30"/>
    <w:rsid w:val="003167A6"/>
    <w:rsid w:val="003201D8"/>
    <w:rsid w:val="00320F72"/>
    <w:rsid w:val="0032463E"/>
    <w:rsid w:val="00326224"/>
    <w:rsid w:val="00337EE4"/>
    <w:rsid w:val="00340FFD"/>
    <w:rsid w:val="00345C41"/>
    <w:rsid w:val="003506B1"/>
    <w:rsid w:val="00352152"/>
    <w:rsid w:val="00355877"/>
    <w:rsid w:val="00356AC7"/>
    <w:rsid w:val="003609FA"/>
    <w:rsid w:val="003651A1"/>
    <w:rsid w:val="003710C8"/>
    <w:rsid w:val="003750BE"/>
    <w:rsid w:val="00375E9A"/>
    <w:rsid w:val="00385A36"/>
    <w:rsid w:val="00385F3D"/>
    <w:rsid w:val="0038740C"/>
    <w:rsid w:val="00387B9D"/>
    <w:rsid w:val="00387C70"/>
    <w:rsid w:val="00390294"/>
    <w:rsid w:val="0039364F"/>
    <w:rsid w:val="00396686"/>
    <w:rsid w:val="0039778E"/>
    <w:rsid w:val="003A1022"/>
    <w:rsid w:val="003B4941"/>
    <w:rsid w:val="003C1FDB"/>
    <w:rsid w:val="003C5714"/>
    <w:rsid w:val="003C6B9F"/>
    <w:rsid w:val="003C6E2A"/>
    <w:rsid w:val="003D0299"/>
    <w:rsid w:val="003E344A"/>
    <w:rsid w:val="003E6D80"/>
    <w:rsid w:val="003E7BCC"/>
    <w:rsid w:val="003F05FA"/>
    <w:rsid w:val="003F244A"/>
    <w:rsid w:val="003F2517"/>
    <w:rsid w:val="003F30B8"/>
    <w:rsid w:val="003F4C45"/>
    <w:rsid w:val="003F5F7B"/>
    <w:rsid w:val="003F7D64"/>
    <w:rsid w:val="0040433A"/>
    <w:rsid w:val="00412343"/>
    <w:rsid w:val="00414300"/>
    <w:rsid w:val="00414F27"/>
    <w:rsid w:val="00420703"/>
    <w:rsid w:val="00425C67"/>
    <w:rsid w:val="00427E7A"/>
    <w:rsid w:val="004355AC"/>
    <w:rsid w:val="00436C49"/>
    <w:rsid w:val="00437AC8"/>
    <w:rsid w:val="00440EEB"/>
    <w:rsid w:val="00443D98"/>
    <w:rsid w:val="00445366"/>
    <w:rsid w:val="00447F5B"/>
    <w:rsid w:val="00461DB0"/>
    <w:rsid w:val="00463926"/>
    <w:rsid w:val="00464AB7"/>
    <w:rsid w:val="00464C9A"/>
    <w:rsid w:val="00472FC3"/>
    <w:rsid w:val="00474F3D"/>
    <w:rsid w:val="00477E3A"/>
    <w:rsid w:val="00483E5F"/>
    <w:rsid w:val="00485FF9"/>
    <w:rsid w:val="0049049B"/>
    <w:rsid w:val="004907F0"/>
    <w:rsid w:val="0049140B"/>
    <w:rsid w:val="004923A5"/>
    <w:rsid w:val="0049310E"/>
    <w:rsid w:val="004934A1"/>
    <w:rsid w:val="004950E2"/>
    <w:rsid w:val="00496BFB"/>
    <w:rsid w:val="004A15C7"/>
    <w:rsid w:val="004A3201"/>
    <w:rsid w:val="004A41F7"/>
    <w:rsid w:val="004A6DFF"/>
    <w:rsid w:val="004A7044"/>
    <w:rsid w:val="004A73E2"/>
    <w:rsid w:val="004B013B"/>
    <w:rsid w:val="004B112B"/>
    <w:rsid w:val="004B2802"/>
    <w:rsid w:val="004B444E"/>
    <w:rsid w:val="004C01E4"/>
    <w:rsid w:val="004C086C"/>
    <w:rsid w:val="004C1F56"/>
    <w:rsid w:val="004C27BC"/>
    <w:rsid w:val="004C4909"/>
    <w:rsid w:val="004C6621"/>
    <w:rsid w:val="004D0EC7"/>
    <w:rsid w:val="004D15F3"/>
    <w:rsid w:val="004D3B3D"/>
    <w:rsid w:val="004D4EF1"/>
    <w:rsid w:val="004D5311"/>
    <w:rsid w:val="004D5DCC"/>
    <w:rsid w:val="004D7E45"/>
    <w:rsid w:val="004E2BD5"/>
    <w:rsid w:val="004E4504"/>
    <w:rsid w:val="004F10AF"/>
    <w:rsid w:val="004F11A4"/>
    <w:rsid w:val="004F2389"/>
    <w:rsid w:val="004F304D"/>
    <w:rsid w:val="004F4290"/>
    <w:rsid w:val="004F61BE"/>
    <w:rsid w:val="004F66B1"/>
    <w:rsid w:val="00505F69"/>
    <w:rsid w:val="00511C07"/>
    <w:rsid w:val="005125CB"/>
    <w:rsid w:val="00512EC4"/>
    <w:rsid w:val="0051725A"/>
    <w:rsid w:val="005173A6"/>
    <w:rsid w:val="00517BB8"/>
    <w:rsid w:val="00520354"/>
    <w:rsid w:val="00520BAA"/>
    <w:rsid w:val="005217D8"/>
    <w:rsid w:val="00525208"/>
    <w:rsid w:val="005257A5"/>
    <w:rsid w:val="005264C0"/>
    <w:rsid w:val="00526A8A"/>
    <w:rsid w:val="00527FB1"/>
    <w:rsid w:val="00530FE6"/>
    <w:rsid w:val="00531DF2"/>
    <w:rsid w:val="0053315C"/>
    <w:rsid w:val="00537476"/>
    <w:rsid w:val="005442EE"/>
    <w:rsid w:val="00545DA6"/>
    <w:rsid w:val="00547353"/>
    <w:rsid w:val="005474E7"/>
    <w:rsid w:val="005504B1"/>
    <w:rsid w:val="00551098"/>
    <w:rsid w:val="005512A3"/>
    <w:rsid w:val="005578CE"/>
    <w:rsid w:val="00562781"/>
    <w:rsid w:val="00562B6C"/>
    <w:rsid w:val="0056647B"/>
    <w:rsid w:val="0057165E"/>
    <w:rsid w:val="00571D6C"/>
    <w:rsid w:val="0057271C"/>
    <w:rsid w:val="00572845"/>
    <w:rsid w:val="005879A2"/>
    <w:rsid w:val="00592772"/>
    <w:rsid w:val="0059574A"/>
    <w:rsid w:val="005A127A"/>
    <w:rsid w:val="005A1B9B"/>
    <w:rsid w:val="005A2221"/>
    <w:rsid w:val="005A2E79"/>
    <w:rsid w:val="005A6751"/>
    <w:rsid w:val="005A764C"/>
    <w:rsid w:val="005B092E"/>
    <w:rsid w:val="005B152C"/>
    <w:rsid w:val="005B1EE0"/>
    <w:rsid w:val="005B2B24"/>
    <w:rsid w:val="005B4425"/>
    <w:rsid w:val="005B4B94"/>
    <w:rsid w:val="005C2C62"/>
    <w:rsid w:val="005C3EE8"/>
    <w:rsid w:val="005D2F2A"/>
    <w:rsid w:val="005D34F9"/>
    <w:rsid w:val="005D4190"/>
    <w:rsid w:val="005D67A3"/>
    <w:rsid w:val="005E2988"/>
    <w:rsid w:val="005E3085"/>
    <w:rsid w:val="005F0EB3"/>
    <w:rsid w:val="005F51E1"/>
    <w:rsid w:val="005F7B2C"/>
    <w:rsid w:val="00611C80"/>
    <w:rsid w:val="00620692"/>
    <w:rsid w:val="006242CA"/>
    <w:rsid w:val="00627507"/>
    <w:rsid w:val="00633717"/>
    <w:rsid w:val="006344E1"/>
    <w:rsid w:val="00635174"/>
    <w:rsid w:val="00643524"/>
    <w:rsid w:val="0064393B"/>
    <w:rsid w:val="00645CF2"/>
    <w:rsid w:val="006545C4"/>
    <w:rsid w:val="00660FFB"/>
    <w:rsid w:val="00661971"/>
    <w:rsid w:val="00661CE8"/>
    <w:rsid w:val="006623D9"/>
    <w:rsid w:val="006642A5"/>
    <w:rsid w:val="0066550C"/>
    <w:rsid w:val="00665BD2"/>
    <w:rsid w:val="006716F2"/>
    <w:rsid w:val="00675AF2"/>
    <w:rsid w:val="00682309"/>
    <w:rsid w:val="00682BF2"/>
    <w:rsid w:val="0068573E"/>
    <w:rsid w:val="006859CE"/>
    <w:rsid w:val="00691270"/>
    <w:rsid w:val="00694BA8"/>
    <w:rsid w:val="006A037C"/>
    <w:rsid w:val="006A0C84"/>
    <w:rsid w:val="006A36F4"/>
    <w:rsid w:val="006A378A"/>
    <w:rsid w:val="006A406F"/>
    <w:rsid w:val="006A4E97"/>
    <w:rsid w:val="006A5D3A"/>
    <w:rsid w:val="006B1942"/>
    <w:rsid w:val="006B69D7"/>
    <w:rsid w:val="006C08D2"/>
    <w:rsid w:val="006C23D4"/>
    <w:rsid w:val="006C7BB0"/>
    <w:rsid w:val="006D3237"/>
    <w:rsid w:val="006D374C"/>
    <w:rsid w:val="006D7453"/>
    <w:rsid w:val="006E2E37"/>
    <w:rsid w:val="006E3CF1"/>
    <w:rsid w:val="006E68A3"/>
    <w:rsid w:val="006E7E80"/>
    <w:rsid w:val="006F1C2D"/>
    <w:rsid w:val="006F26C0"/>
    <w:rsid w:val="006F48CA"/>
    <w:rsid w:val="006F64DD"/>
    <w:rsid w:val="006F712D"/>
    <w:rsid w:val="00715127"/>
    <w:rsid w:val="00715E8E"/>
    <w:rsid w:val="00716E6A"/>
    <w:rsid w:val="00723580"/>
    <w:rsid w:val="00723755"/>
    <w:rsid w:val="0073136C"/>
    <w:rsid w:val="00731F0F"/>
    <w:rsid w:val="00733250"/>
    <w:rsid w:val="00741404"/>
    <w:rsid w:val="007449E5"/>
    <w:rsid w:val="0074750E"/>
    <w:rsid w:val="00747FF0"/>
    <w:rsid w:val="00751066"/>
    <w:rsid w:val="00754705"/>
    <w:rsid w:val="0075566E"/>
    <w:rsid w:val="007557E5"/>
    <w:rsid w:val="00763602"/>
    <w:rsid w:val="00764D4E"/>
    <w:rsid w:val="00765A1F"/>
    <w:rsid w:val="00775B6D"/>
    <w:rsid w:val="00776D68"/>
    <w:rsid w:val="00781140"/>
    <w:rsid w:val="0078323E"/>
    <w:rsid w:val="007849C2"/>
    <w:rsid w:val="007850EE"/>
    <w:rsid w:val="00785B95"/>
    <w:rsid w:val="00790E96"/>
    <w:rsid w:val="007926FD"/>
    <w:rsid w:val="00793366"/>
    <w:rsid w:val="0079666C"/>
    <w:rsid w:val="007A3E24"/>
    <w:rsid w:val="007A716F"/>
    <w:rsid w:val="007B270A"/>
    <w:rsid w:val="007B4182"/>
    <w:rsid w:val="007C0695"/>
    <w:rsid w:val="007C419A"/>
    <w:rsid w:val="007C4CC8"/>
    <w:rsid w:val="007C5426"/>
    <w:rsid w:val="007C5798"/>
    <w:rsid w:val="007D1ECD"/>
    <w:rsid w:val="007D3701"/>
    <w:rsid w:val="007D4832"/>
    <w:rsid w:val="007D6F04"/>
    <w:rsid w:val="007E21B2"/>
    <w:rsid w:val="007E2C4E"/>
    <w:rsid w:val="007E2C8C"/>
    <w:rsid w:val="007E41E9"/>
    <w:rsid w:val="007E51BA"/>
    <w:rsid w:val="007E73D7"/>
    <w:rsid w:val="007E79A4"/>
    <w:rsid w:val="007F1905"/>
    <w:rsid w:val="007F27E4"/>
    <w:rsid w:val="007F3437"/>
    <w:rsid w:val="00802C64"/>
    <w:rsid w:val="00805E52"/>
    <w:rsid w:val="008061D0"/>
    <w:rsid w:val="00810B38"/>
    <w:rsid w:val="008204C7"/>
    <w:rsid w:val="00820992"/>
    <w:rsid w:val="00823602"/>
    <w:rsid w:val="008255F5"/>
    <w:rsid w:val="00826890"/>
    <w:rsid w:val="0083014E"/>
    <w:rsid w:val="0083214A"/>
    <w:rsid w:val="00834220"/>
    <w:rsid w:val="00845723"/>
    <w:rsid w:val="008519E7"/>
    <w:rsid w:val="00851EF9"/>
    <w:rsid w:val="008577FD"/>
    <w:rsid w:val="00860B03"/>
    <w:rsid w:val="0086497A"/>
    <w:rsid w:val="0086538E"/>
    <w:rsid w:val="00867066"/>
    <w:rsid w:val="008713A1"/>
    <w:rsid w:val="00872584"/>
    <w:rsid w:val="008754AB"/>
    <w:rsid w:val="008755DE"/>
    <w:rsid w:val="0088060C"/>
    <w:rsid w:val="00882CD5"/>
    <w:rsid w:val="00883151"/>
    <w:rsid w:val="0089292A"/>
    <w:rsid w:val="00893576"/>
    <w:rsid w:val="00893E73"/>
    <w:rsid w:val="008B02DC"/>
    <w:rsid w:val="008B092C"/>
    <w:rsid w:val="008B57CE"/>
    <w:rsid w:val="008C26DE"/>
    <w:rsid w:val="008D1668"/>
    <w:rsid w:val="008D2225"/>
    <w:rsid w:val="008D4752"/>
    <w:rsid w:val="008D5A13"/>
    <w:rsid w:val="008E271C"/>
    <w:rsid w:val="008E3A08"/>
    <w:rsid w:val="008E418E"/>
    <w:rsid w:val="008E590E"/>
    <w:rsid w:val="008E5BC6"/>
    <w:rsid w:val="008E6217"/>
    <w:rsid w:val="008E6A25"/>
    <w:rsid w:val="008F2465"/>
    <w:rsid w:val="008F2554"/>
    <w:rsid w:val="008F3AEC"/>
    <w:rsid w:val="008F4D80"/>
    <w:rsid w:val="008F5193"/>
    <w:rsid w:val="008F6B36"/>
    <w:rsid w:val="009013A7"/>
    <w:rsid w:val="009017FB"/>
    <w:rsid w:val="009017FC"/>
    <w:rsid w:val="0090506B"/>
    <w:rsid w:val="009050C9"/>
    <w:rsid w:val="009066FC"/>
    <w:rsid w:val="009140A3"/>
    <w:rsid w:val="009144A2"/>
    <w:rsid w:val="0091510C"/>
    <w:rsid w:val="009259AC"/>
    <w:rsid w:val="00926F38"/>
    <w:rsid w:val="00927BEB"/>
    <w:rsid w:val="009333DC"/>
    <w:rsid w:val="00934301"/>
    <w:rsid w:val="00936CD1"/>
    <w:rsid w:val="0094131C"/>
    <w:rsid w:val="00941747"/>
    <w:rsid w:val="00941EFB"/>
    <w:rsid w:val="00947AFB"/>
    <w:rsid w:val="00951AA3"/>
    <w:rsid w:val="00951D7D"/>
    <w:rsid w:val="00956D0C"/>
    <w:rsid w:val="00961D52"/>
    <w:rsid w:val="009630C7"/>
    <w:rsid w:val="00964587"/>
    <w:rsid w:val="00972B55"/>
    <w:rsid w:val="009743B7"/>
    <w:rsid w:val="0098228B"/>
    <w:rsid w:val="009828DA"/>
    <w:rsid w:val="00982ADE"/>
    <w:rsid w:val="0098410D"/>
    <w:rsid w:val="00985BAB"/>
    <w:rsid w:val="00986B3C"/>
    <w:rsid w:val="009A115C"/>
    <w:rsid w:val="009A7FC1"/>
    <w:rsid w:val="009B1606"/>
    <w:rsid w:val="009B1B5F"/>
    <w:rsid w:val="009B6673"/>
    <w:rsid w:val="009C191B"/>
    <w:rsid w:val="009C2BD6"/>
    <w:rsid w:val="009D57AA"/>
    <w:rsid w:val="009E1F32"/>
    <w:rsid w:val="009E2CC2"/>
    <w:rsid w:val="009E47A2"/>
    <w:rsid w:val="009E776C"/>
    <w:rsid w:val="009E7A6F"/>
    <w:rsid w:val="009F4C8F"/>
    <w:rsid w:val="00A02972"/>
    <w:rsid w:val="00A05588"/>
    <w:rsid w:val="00A111E2"/>
    <w:rsid w:val="00A11FAD"/>
    <w:rsid w:val="00A15601"/>
    <w:rsid w:val="00A1726E"/>
    <w:rsid w:val="00A204CF"/>
    <w:rsid w:val="00A20F1F"/>
    <w:rsid w:val="00A21D2B"/>
    <w:rsid w:val="00A22745"/>
    <w:rsid w:val="00A23D49"/>
    <w:rsid w:val="00A27004"/>
    <w:rsid w:val="00A308CE"/>
    <w:rsid w:val="00A30C29"/>
    <w:rsid w:val="00A32B47"/>
    <w:rsid w:val="00A34DD6"/>
    <w:rsid w:val="00A35683"/>
    <w:rsid w:val="00A36819"/>
    <w:rsid w:val="00A36989"/>
    <w:rsid w:val="00A41D86"/>
    <w:rsid w:val="00A43628"/>
    <w:rsid w:val="00A45145"/>
    <w:rsid w:val="00A51D0F"/>
    <w:rsid w:val="00A54192"/>
    <w:rsid w:val="00A57147"/>
    <w:rsid w:val="00A6035E"/>
    <w:rsid w:val="00A6144C"/>
    <w:rsid w:val="00A62C2F"/>
    <w:rsid w:val="00A66617"/>
    <w:rsid w:val="00A671F8"/>
    <w:rsid w:val="00A673A4"/>
    <w:rsid w:val="00A724AE"/>
    <w:rsid w:val="00A73329"/>
    <w:rsid w:val="00A82359"/>
    <w:rsid w:val="00A865D2"/>
    <w:rsid w:val="00A87C10"/>
    <w:rsid w:val="00A90BCD"/>
    <w:rsid w:val="00A92625"/>
    <w:rsid w:val="00A94C20"/>
    <w:rsid w:val="00A95D81"/>
    <w:rsid w:val="00AA0E69"/>
    <w:rsid w:val="00AA1B09"/>
    <w:rsid w:val="00AA227F"/>
    <w:rsid w:val="00AA3BC7"/>
    <w:rsid w:val="00AA754A"/>
    <w:rsid w:val="00AB099E"/>
    <w:rsid w:val="00AB4328"/>
    <w:rsid w:val="00AB4DC0"/>
    <w:rsid w:val="00AC38DE"/>
    <w:rsid w:val="00AC4CD4"/>
    <w:rsid w:val="00AD1ECB"/>
    <w:rsid w:val="00AD7683"/>
    <w:rsid w:val="00AE0A2E"/>
    <w:rsid w:val="00AE354C"/>
    <w:rsid w:val="00AF12C5"/>
    <w:rsid w:val="00AF4B07"/>
    <w:rsid w:val="00AF4DEC"/>
    <w:rsid w:val="00AF6186"/>
    <w:rsid w:val="00AF7A3A"/>
    <w:rsid w:val="00B02587"/>
    <w:rsid w:val="00B049D1"/>
    <w:rsid w:val="00B14793"/>
    <w:rsid w:val="00B153A0"/>
    <w:rsid w:val="00B160DB"/>
    <w:rsid w:val="00B20836"/>
    <w:rsid w:val="00B235BB"/>
    <w:rsid w:val="00B27A44"/>
    <w:rsid w:val="00B30BBF"/>
    <w:rsid w:val="00B33C03"/>
    <w:rsid w:val="00B4421F"/>
    <w:rsid w:val="00B44E56"/>
    <w:rsid w:val="00B45917"/>
    <w:rsid w:val="00B46543"/>
    <w:rsid w:val="00B47705"/>
    <w:rsid w:val="00B47D33"/>
    <w:rsid w:val="00B52BE0"/>
    <w:rsid w:val="00B54133"/>
    <w:rsid w:val="00B55A8D"/>
    <w:rsid w:val="00B701ED"/>
    <w:rsid w:val="00B748F7"/>
    <w:rsid w:val="00B8086C"/>
    <w:rsid w:val="00B81C58"/>
    <w:rsid w:val="00B8382B"/>
    <w:rsid w:val="00B861B4"/>
    <w:rsid w:val="00B86DFE"/>
    <w:rsid w:val="00B90990"/>
    <w:rsid w:val="00B922FF"/>
    <w:rsid w:val="00B9281E"/>
    <w:rsid w:val="00B93925"/>
    <w:rsid w:val="00B95187"/>
    <w:rsid w:val="00BA2D55"/>
    <w:rsid w:val="00BA71B1"/>
    <w:rsid w:val="00BB0637"/>
    <w:rsid w:val="00BB345F"/>
    <w:rsid w:val="00BB68EA"/>
    <w:rsid w:val="00BC0B99"/>
    <w:rsid w:val="00BC1C27"/>
    <w:rsid w:val="00BC3E1E"/>
    <w:rsid w:val="00BC56A7"/>
    <w:rsid w:val="00BC6BBF"/>
    <w:rsid w:val="00BD1572"/>
    <w:rsid w:val="00BE14E3"/>
    <w:rsid w:val="00BE3774"/>
    <w:rsid w:val="00BE41E5"/>
    <w:rsid w:val="00BE4CE2"/>
    <w:rsid w:val="00BF118F"/>
    <w:rsid w:val="00BF4109"/>
    <w:rsid w:val="00BF4CC3"/>
    <w:rsid w:val="00C054C7"/>
    <w:rsid w:val="00C057B5"/>
    <w:rsid w:val="00C05C02"/>
    <w:rsid w:val="00C07D0E"/>
    <w:rsid w:val="00C115C3"/>
    <w:rsid w:val="00C151D9"/>
    <w:rsid w:val="00C15547"/>
    <w:rsid w:val="00C1672D"/>
    <w:rsid w:val="00C16CD4"/>
    <w:rsid w:val="00C22687"/>
    <w:rsid w:val="00C26A92"/>
    <w:rsid w:val="00C26B1C"/>
    <w:rsid w:val="00C32E4D"/>
    <w:rsid w:val="00C333A0"/>
    <w:rsid w:val="00C36A81"/>
    <w:rsid w:val="00C41974"/>
    <w:rsid w:val="00C44A2C"/>
    <w:rsid w:val="00C44F09"/>
    <w:rsid w:val="00C477F7"/>
    <w:rsid w:val="00C509A6"/>
    <w:rsid w:val="00C53710"/>
    <w:rsid w:val="00C53F4A"/>
    <w:rsid w:val="00C54125"/>
    <w:rsid w:val="00C55B54"/>
    <w:rsid w:val="00C6071B"/>
    <w:rsid w:val="00C6098E"/>
    <w:rsid w:val="00C6152C"/>
    <w:rsid w:val="00C71424"/>
    <w:rsid w:val="00C74810"/>
    <w:rsid w:val="00C90D68"/>
    <w:rsid w:val="00C939FE"/>
    <w:rsid w:val="00CA4BDA"/>
    <w:rsid w:val="00CB13E3"/>
    <w:rsid w:val="00CB1F66"/>
    <w:rsid w:val="00CB232C"/>
    <w:rsid w:val="00CB2951"/>
    <w:rsid w:val="00CB4277"/>
    <w:rsid w:val="00CC5067"/>
    <w:rsid w:val="00CD11D3"/>
    <w:rsid w:val="00CD282B"/>
    <w:rsid w:val="00CD447B"/>
    <w:rsid w:val="00CD4C35"/>
    <w:rsid w:val="00CD584E"/>
    <w:rsid w:val="00CD7369"/>
    <w:rsid w:val="00CE0B0E"/>
    <w:rsid w:val="00CE3831"/>
    <w:rsid w:val="00CF0444"/>
    <w:rsid w:val="00CF0C38"/>
    <w:rsid w:val="00CF2397"/>
    <w:rsid w:val="00D00ABB"/>
    <w:rsid w:val="00D02EEC"/>
    <w:rsid w:val="00D03551"/>
    <w:rsid w:val="00D04315"/>
    <w:rsid w:val="00D05285"/>
    <w:rsid w:val="00D06A63"/>
    <w:rsid w:val="00D07CB6"/>
    <w:rsid w:val="00D07E0E"/>
    <w:rsid w:val="00D10CD6"/>
    <w:rsid w:val="00D11478"/>
    <w:rsid w:val="00D15413"/>
    <w:rsid w:val="00D15ED0"/>
    <w:rsid w:val="00D164BF"/>
    <w:rsid w:val="00D21B3E"/>
    <w:rsid w:val="00D21FED"/>
    <w:rsid w:val="00D23048"/>
    <w:rsid w:val="00D24251"/>
    <w:rsid w:val="00D258D4"/>
    <w:rsid w:val="00D26E72"/>
    <w:rsid w:val="00D343E2"/>
    <w:rsid w:val="00D361A2"/>
    <w:rsid w:val="00D36D01"/>
    <w:rsid w:val="00D37272"/>
    <w:rsid w:val="00D44C2E"/>
    <w:rsid w:val="00D45414"/>
    <w:rsid w:val="00D50A0A"/>
    <w:rsid w:val="00D53548"/>
    <w:rsid w:val="00D5576B"/>
    <w:rsid w:val="00D566BD"/>
    <w:rsid w:val="00D57A4D"/>
    <w:rsid w:val="00D60AA7"/>
    <w:rsid w:val="00D6435F"/>
    <w:rsid w:val="00D66471"/>
    <w:rsid w:val="00D669D4"/>
    <w:rsid w:val="00D70641"/>
    <w:rsid w:val="00D74888"/>
    <w:rsid w:val="00D7488B"/>
    <w:rsid w:val="00D75E28"/>
    <w:rsid w:val="00D772C2"/>
    <w:rsid w:val="00D8008E"/>
    <w:rsid w:val="00D82C45"/>
    <w:rsid w:val="00D8793E"/>
    <w:rsid w:val="00D908A8"/>
    <w:rsid w:val="00D977B6"/>
    <w:rsid w:val="00DA1223"/>
    <w:rsid w:val="00DA4A31"/>
    <w:rsid w:val="00DA7B04"/>
    <w:rsid w:val="00DB36C2"/>
    <w:rsid w:val="00DC00A8"/>
    <w:rsid w:val="00DC169B"/>
    <w:rsid w:val="00DC2AB9"/>
    <w:rsid w:val="00DC4591"/>
    <w:rsid w:val="00DC5A62"/>
    <w:rsid w:val="00DC63F0"/>
    <w:rsid w:val="00DD37EA"/>
    <w:rsid w:val="00DD6EE5"/>
    <w:rsid w:val="00DE115D"/>
    <w:rsid w:val="00DE386C"/>
    <w:rsid w:val="00DE4D35"/>
    <w:rsid w:val="00DF098B"/>
    <w:rsid w:val="00DF11C4"/>
    <w:rsid w:val="00DF210C"/>
    <w:rsid w:val="00DF4B6A"/>
    <w:rsid w:val="00E004C0"/>
    <w:rsid w:val="00E01956"/>
    <w:rsid w:val="00E02C09"/>
    <w:rsid w:val="00E04D59"/>
    <w:rsid w:val="00E07DA1"/>
    <w:rsid w:val="00E123CB"/>
    <w:rsid w:val="00E13B09"/>
    <w:rsid w:val="00E16B3F"/>
    <w:rsid w:val="00E20E13"/>
    <w:rsid w:val="00E21DBC"/>
    <w:rsid w:val="00E275D7"/>
    <w:rsid w:val="00E27DBE"/>
    <w:rsid w:val="00E30FF2"/>
    <w:rsid w:val="00E32AB1"/>
    <w:rsid w:val="00E35924"/>
    <w:rsid w:val="00E36C71"/>
    <w:rsid w:val="00E40404"/>
    <w:rsid w:val="00E4126A"/>
    <w:rsid w:val="00E42A06"/>
    <w:rsid w:val="00E4445C"/>
    <w:rsid w:val="00E459C6"/>
    <w:rsid w:val="00E47589"/>
    <w:rsid w:val="00E557AA"/>
    <w:rsid w:val="00E60140"/>
    <w:rsid w:val="00E63EC7"/>
    <w:rsid w:val="00E64915"/>
    <w:rsid w:val="00E64D3A"/>
    <w:rsid w:val="00E661D4"/>
    <w:rsid w:val="00E67565"/>
    <w:rsid w:val="00E70091"/>
    <w:rsid w:val="00E70D2E"/>
    <w:rsid w:val="00E720F5"/>
    <w:rsid w:val="00E744E0"/>
    <w:rsid w:val="00E76D47"/>
    <w:rsid w:val="00E76DD9"/>
    <w:rsid w:val="00E827BC"/>
    <w:rsid w:val="00E849F7"/>
    <w:rsid w:val="00E90302"/>
    <w:rsid w:val="00E91D05"/>
    <w:rsid w:val="00E9262D"/>
    <w:rsid w:val="00E94245"/>
    <w:rsid w:val="00E95C1E"/>
    <w:rsid w:val="00E97396"/>
    <w:rsid w:val="00EA185E"/>
    <w:rsid w:val="00EA592A"/>
    <w:rsid w:val="00EA5FA7"/>
    <w:rsid w:val="00EB14E4"/>
    <w:rsid w:val="00EB32A5"/>
    <w:rsid w:val="00EB34ED"/>
    <w:rsid w:val="00EB447C"/>
    <w:rsid w:val="00EB7BE0"/>
    <w:rsid w:val="00EC315E"/>
    <w:rsid w:val="00ED077C"/>
    <w:rsid w:val="00ED10A9"/>
    <w:rsid w:val="00ED1190"/>
    <w:rsid w:val="00ED34AC"/>
    <w:rsid w:val="00ED6544"/>
    <w:rsid w:val="00EE0277"/>
    <w:rsid w:val="00EE2899"/>
    <w:rsid w:val="00EE3E00"/>
    <w:rsid w:val="00EE5DD2"/>
    <w:rsid w:val="00EF36C5"/>
    <w:rsid w:val="00EF3DB4"/>
    <w:rsid w:val="00F00A79"/>
    <w:rsid w:val="00F00D13"/>
    <w:rsid w:val="00F00E86"/>
    <w:rsid w:val="00F06FA8"/>
    <w:rsid w:val="00F07C1E"/>
    <w:rsid w:val="00F105DB"/>
    <w:rsid w:val="00F132BC"/>
    <w:rsid w:val="00F13D80"/>
    <w:rsid w:val="00F15B4D"/>
    <w:rsid w:val="00F16A7C"/>
    <w:rsid w:val="00F16AAA"/>
    <w:rsid w:val="00F1709C"/>
    <w:rsid w:val="00F21161"/>
    <w:rsid w:val="00F218EF"/>
    <w:rsid w:val="00F21BC7"/>
    <w:rsid w:val="00F23A06"/>
    <w:rsid w:val="00F260F0"/>
    <w:rsid w:val="00F266A2"/>
    <w:rsid w:val="00F32269"/>
    <w:rsid w:val="00F35B7A"/>
    <w:rsid w:val="00F56A6F"/>
    <w:rsid w:val="00F5709C"/>
    <w:rsid w:val="00F60B85"/>
    <w:rsid w:val="00F64EF1"/>
    <w:rsid w:val="00F72498"/>
    <w:rsid w:val="00F72B14"/>
    <w:rsid w:val="00F7349B"/>
    <w:rsid w:val="00F8765F"/>
    <w:rsid w:val="00F90767"/>
    <w:rsid w:val="00F9263C"/>
    <w:rsid w:val="00FA1637"/>
    <w:rsid w:val="00FA685B"/>
    <w:rsid w:val="00FB0C01"/>
    <w:rsid w:val="00FB5934"/>
    <w:rsid w:val="00FC18F2"/>
    <w:rsid w:val="00FC2A17"/>
    <w:rsid w:val="00FC38CF"/>
    <w:rsid w:val="00FC39E5"/>
    <w:rsid w:val="00FC3A78"/>
    <w:rsid w:val="00FD1005"/>
    <w:rsid w:val="00FD1F7F"/>
    <w:rsid w:val="00FD6C75"/>
    <w:rsid w:val="00FD7972"/>
    <w:rsid w:val="00FE0401"/>
    <w:rsid w:val="00FE71B3"/>
    <w:rsid w:val="00FF42C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1F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AF4DE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AF4DE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AF4DEC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AF4DE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AF4DE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AF4DE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AF4DE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AF4DEC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AF4DEC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AF4DE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8"/>
    <w:semiHidden/>
    <w:rsid w:val="00AF4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AF4DEC"/>
    <w:rPr>
      <w:rFonts w:ascii="Tahoma" w:hAnsi="Tahoma" w:cs="Tahoma"/>
      <w:sz w:val="16"/>
      <w:szCs w:val="16"/>
      <w:lang w:val="bg-BG"/>
    </w:rPr>
  </w:style>
  <w:style w:type="character" w:styleId="BookTitle">
    <w:name w:val="Book Title"/>
    <w:uiPriority w:val="98"/>
    <w:semiHidden/>
    <w:qFormat/>
    <w:rsid w:val="00AF4DEC"/>
    <w:rPr>
      <w:i/>
      <w:iCs/>
      <w:smallCaps/>
      <w:spacing w:val="5"/>
    </w:rPr>
  </w:style>
  <w:style w:type="paragraph" w:customStyle="1" w:styleId="JuHeader">
    <w:name w:val="Ju_Header"/>
    <w:aliases w:val="_Header"/>
    <w:basedOn w:val="Header"/>
    <w:uiPriority w:val="29"/>
    <w:qFormat/>
    <w:rsid w:val="00AF4DEC"/>
    <w:pPr>
      <w:tabs>
        <w:tab w:val="clear" w:pos="4536"/>
        <w:tab w:val="clear" w:pos="9072"/>
      </w:tabs>
      <w:jc w:val="center"/>
    </w:pPr>
    <w:rPr>
      <w:sz w:val="18"/>
    </w:rPr>
  </w:style>
  <w:style w:type="paragraph" w:customStyle="1" w:styleId="NormalJustified">
    <w:name w:val="Normal_Justified"/>
    <w:basedOn w:val="Normal"/>
    <w:semiHidden/>
    <w:rsid w:val="00AF4DEC"/>
    <w:pPr>
      <w:jc w:val="both"/>
    </w:pPr>
  </w:style>
  <w:style w:type="character" w:styleId="Strong">
    <w:name w:val="Strong"/>
    <w:uiPriority w:val="98"/>
    <w:semiHidden/>
    <w:qFormat/>
    <w:rsid w:val="00AF4DEC"/>
    <w:rPr>
      <w:b/>
      <w:bCs/>
    </w:rPr>
  </w:style>
  <w:style w:type="paragraph" w:styleId="NoSpacing">
    <w:name w:val="No Spacing"/>
    <w:basedOn w:val="Normal"/>
    <w:link w:val="NoSpacingChar"/>
    <w:uiPriority w:val="98"/>
    <w:semiHidden/>
    <w:qFormat/>
    <w:rsid w:val="00AF4DEC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AF4DEC"/>
    <w:rPr>
      <w:sz w:val="24"/>
      <w:szCs w:val="24"/>
      <w:lang w:val="bg-BG"/>
    </w:rPr>
  </w:style>
  <w:style w:type="paragraph" w:customStyle="1" w:styleId="JuQuot">
    <w:name w:val="Ju_Quot"/>
    <w:aliases w:val="_Quote"/>
    <w:basedOn w:val="NormalJustified"/>
    <w:uiPriority w:val="20"/>
    <w:qFormat/>
    <w:rsid w:val="00AF4DEC"/>
    <w:pPr>
      <w:spacing w:before="120" w:after="120"/>
      <w:ind w:left="425" w:firstLine="142"/>
    </w:pPr>
    <w:rPr>
      <w:sz w:val="20"/>
    </w:rPr>
  </w:style>
  <w:style w:type="paragraph" w:customStyle="1" w:styleId="DummyStyle">
    <w:name w:val="Dummy_Style"/>
    <w:aliases w:val="_Dummy"/>
    <w:basedOn w:val="Normal"/>
    <w:semiHidden/>
    <w:qFormat/>
    <w:rsid w:val="00AF4DEC"/>
    <w:rPr>
      <w:color w:val="00B050"/>
      <w:sz w:val="22"/>
    </w:rPr>
  </w:style>
  <w:style w:type="paragraph" w:customStyle="1" w:styleId="JuList">
    <w:name w:val="Ju_List"/>
    <w:aliases w:val="_List_1"/>
    <w:basedOn w:val="NormalJustified"/>
    <w:uiPriority w:val="23"/>
    <w:qFormat/>
    <w:rsid w:val="00AF4DEC"/>
    <w:pPr>
      <w:numPr>
        <w:numId w:val="21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AF4DEC"/>
    <w:pPr>
      <w:numPr>
        <w:ilvl w:val="1"/>
        <w:numId w:val="21"/>
      </w:numPr>
    </w:pPr>
  </w:style>
  <w:style w:type="paragraph" w:customStyle="1" w:styleId="JuListi">
    <w:name w:val="Ju_List_i"/>
    <w:aliases w:val="_List_3"/>
    <w:basedOn w:val="NormalJustified"/>
    <w:uiPriority w:val="23"/>
    <w:rsid w:val="00AF4DEC"/>
    <w:pPr>
      <w:numPr>
        <w:ilvl w:val="2"/>
        <w:numId w:val="21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AF4DEC"/>
    <w:pPr>
      <w:keepNext/>
      <w:spacing w:before="100" w:beforeAutospacing="1" w:after="120"/>
      <w:contextualSpacing/>
      <w:jc w:val="center"/>
    </w:pPr>
    <w:rPr>
      <w:b/>
      <w:sz w:val="20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AF4DEC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AF4DEC"/>
    <w:pPr>
      <w:keepNext/>
      <w:keepLines/>
      <w:tabs>
        <w:tab w:val="right" w:pos="7938"/>
      </w:tabs>
      <w:ind w:firstLine="0"/>
      <w:jc w:val="center"/>
    </w:pPr>
    <w:rPr>
      <w:i/>
    </w:r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AF4DEC"/>
    <w:pPr>
      <w:keepNext/>
      <w:keepLines/>
      <w:numPr>
        <w:numId w:val="20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numbering" w:customStyle="1" w:styleId="ECHRA1StyleBulletedSquare">
    <w:name w:val="ECHR_A1_Style_Bulleted_Square"/>
    <w:basedOn w:val="NoList"/>
    <w:rsid w:val="00AF4DEC"/>
    <w:pPr>
      <w:numPr>
        <w:numId w:val="4"/>
      </w:numPr>
    </w:pPr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AF4DEC"/>
    <w:pPr>
      <w:tabs>
        <w:tab w:val="center" w:pos="1418"/>
        <w:tab w:val="center" w:pos="5954"/>
      </w:tabs>
      <w:spacing w:before="720"/>
    </w:pPr>
  </w:style>
  <w:style w:type="paragraph" w:styleId="Title">
    <w:name w:val="Title"/>
    <w:basedOn w:val="Normal"/>
    <w:next w:val="Normal"/>
    <w:link w:val="TitleChar"/>
    <w:uiPriority w:val="98"/>
    <w:semiHidden/>
    <w:qFormat/>
    <w:rsid w:val="00AF4DE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AF4DEC"/>
    <w:rPr>
      <w:rFonts w:asciiTheme="majorHAnsi" w:eastAsiaTheme="majorEastAsia" w:hAnsiTheme="majorHAnsi" w:cstheme="majorBidi"/>
      <w:spacing w:val="5"/>
      <w:sz w:val="52"/>
      <w:szCs w:val="52"/>
      <w:lang w:val="bg-BG" w:bidi="en-US"/>
    </w:rPr>
  </w:style>
  <w:style w:type="numbering" w:customStyle="1" w:styleId="ECHRA1StyleList">
    <w:name w:val="ECHR_A1_Style_List"/>
    <w:basedOn w:val="NoList"/>
    <w:uiPriority w:val="99"/>
    <w:rsid w:val="00AF4DEC"/>
    <w:pPr>
      <w:numPr>
        <w:numId w:val="5"/>
      </w:numPr>
    </w:pPr>
  </w:style>
  <w:style w:type="numbering" w:customStyle="1" w:styleId="ECHRA1StyleNumberedList">
    <w:name w:val="ECHR_A1_Style_Numbered_List"/>
    <w:basedOn w:val="NoList"/>
    <w:rsid w:val="00AF4DEC"/>
    <w:pPr>
      <w:numPr>
        <w:numId w:val="6"/>
      </w:numPr>
    </w:pPr>
  </w:style>
  <w:style w:type="table" w:customStyle="1" w:styleId="ECHRTable2019">
    <w:name w:val="ECHR_Table_2019"/>
    <w:basedOn w:val="TableNormal"/>
    <w:uiPriority w:val="99"/>
    <w:rsid w:val="00AF4DEC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95959" w:themeColor="accent3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  <w:insideH w:val="single" w:sz="4" w:space="0" w:color="595959" w:themeColor="accent3"/>
        <w:insideV w:val="single" w:sz="4" w:space="0" w:color="595959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DDDDD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95959" w:themeColor="accent3"/>
          <w:left w:val="single" w:sz="4" w:space="0" w:color="595959" w:themeColor="accent3"/>
          <w:bottom w:val="single" w:sz="8" w:space="0" w:color="595959" w:themeColor="accent3"/>
          <w:right w:val="single" w:sz="4" w:space="0" w:color="595959" w:themeColor="accent3"/>
          <w:insideH w:val="nil"/>
          <w:insideV w:val="single" w:sz="4" w:space="0" w:color="595959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EFEFEF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EFEFEF" w:themeFill="text2" w:themeFillTint="33"/>
      </w:tcPr>
    </w:tblStylePr>
    <w:tblStylePr w:type="band2Horz"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single" w:sz="4" w:space="0" w:color="595959" w:themeColor="accent3"/>
          <w:insideV w:val="single" w:sz="4" w:space="0" w:color="595959" w:themeColor="accent3"/>
          <w:tl2br w:val="nil"/>
          <w:tr2bl w:val="nil"/>
        </w:tcBorders>
        <w:shd w:val="clear" w:color="auto" w:fill="EFEFEF" w:themeFill="text2" w:themeFillTint="33"/>
      </w:tcPr>
    </w:tblStylePr>
  </w:style>
  <w:style w:type="paragraph" w:customStyle="1" w:styleId="Footer">
    <w:name w:val="_Footer"/>
    <w:aliases w:val="Footer_"/>
    <w:basedOn w:val="Footer0"/>
    <w:uiPriority w:val="57"/>
    <w:semiHidden/>
    <w:rsid w:val="007D3701"/>
    <w:rPr>
      <w:sz w:val="8"/>
    </w:r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AF4DEC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AF4DEC"/>
    <w:pPr>
      <w:keepNext/>
      <w:keepLines/>
      <w:numPr>
        <w:ilvl w:val="1"/>
        <w:numId w:val="20"/>
      </w:numPr>
      <w:tabs>
        <w:tab w:val="left" w:pos="454"/>
        <w:tab w:val="left" w:pos="539"/>
        <w:tab w:val="left" w:pos="624"/>
        <w:tab w:val="left" w:pos="709"/>
        <w:tab w:val="left" w:pos="794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AF4DEC"/>
    <w:pPr>
      <w:keepNext/>
      <w:keepLines/>
      <w:numPr>
        <w:ilvl w:val="2"/>
        <w:numId w:val="20"/>
      </w:numPr>
      <w:spacing w:before="100" w:beforeAutospacing="1" w:after="240" w:line="240" w:lineRule="auto"/>
      <w:jc w:val="both"/>
    </w:pPr>
    <w:rPr>
      <w:color w:val="auto"/>
      <w:sz w:val="24"/>
    </w:rPr>
  </w:style>
  <w:style w:type="paragraph" w:customStyle="1" w:styleId="JuH1">
    <w:name w:val="Ju_H_1."/>
    <w:aliases w:val="_Head_4"/>
    <w:basedOn w:val="Heading4"/>
    <w:next w:val="JuPara"/>
    <w:uiPriority w:val="17"/>
    <w:rsid w:val="00AF4DEC"/>
    <w:pPr>
      <w:keepNext/>
      <w:keepLines/>
      <w:numPr>
        <w:ilvl w:val="3"/>
        <w:numId w:val="20"/>
      </w:numPr>
      <w:spacing w:before="100" w:beforeAutospacing="1" w:after="120"/>
      <w:jc w:val="both"/>
    </w:pPr>
    <w:rPr>
      <w:b w:val="0"/>
      <w:color w:val="auto"/>
      <w:sz w:val="24"/>
    </w:rPr>
  </w:style>
  <w:style w:type="paragraph" w:styleId="Header">
    <w:name w:val="header"/>
    <w:basedOn w:val="Normal"/>
    <w:link w:val="HeaderChar"/>
    <w:uiPriority w:val="98"/>
    <w:semiHidden/>
    <w:rsid w:val="00AF4D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8"/>
    <w:semiHidden/>
    <w:rsid w:val="00AF4DEC"/>
    <w:rPr>
      <w:sz w:val="24"/>
      <w:szCs w:val="24"/>
      <w:lang w:val="bg-BG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AF4DEC"/>
    <w:rPr>
      <w:rFonts w:asciiTheme="majorHAnsi" w:eastAsiaTheme="majorEastAsia" w:hAnsiTheme="majorHAnsi" w:cstheme="majorBidi"/>
      <w:b/>
      <w:bCs/>
      <w:color w:val="333333"/>
      <w:sz w:val="28"/>
      <w:szCs w:val="28"/>
      <w:lang w:val="bg-BG"/>
    </w:rPr>
  </w:style>
  <w:style w:type="paragraph" w:customStyle="1" w:styleId="JuHa0">
    <w:name w:val="Ju_H_a"/>
    <w:aliases w:val="_Head_5"/>
    <w:basedOn w:val="Heading5"/>
    <w:next w:val="JuPara"/>
    <w:uiPriority w:val="17"/>
    <w:rsid w:val="00AF4DEC"/>
    <w:pPr>
      <w:keepNext/>
      <w:keepLines/>
      <w:numPr>
        <w:ilvl w:val="4"/>
        <w:numId w:val="20"/>
      </w:numPr>
      <w:spacing w:before="100" w:beforeAutospacing="1" w:after="120"/>
      <w:jc w:val="both"/>
    </w:pPr>
    <w:rPr>
      <w:color w:val="auto"/>
      <w:sz w:val="20"/>
    </w:rPr>
  </w:style>
  <w:style w:type="paragraph" w:customStyle="1" w:styleId="JuHi">
    <w:name w:val="Ju_H_i"/>
    <w:aliases w:val="_Head_6"/>
    <w:basedOn w:val="Heading6"/>
    <w:next w:val="JuPara"/>
    <w:uiPriority w:val="17"/>
    <w:rsid w:val="00AF4DEC"/>
    <w:pPr>
      <w:keepNext/>
      <w:keepLines/>
      <w:numPr>
        <w:ilvl w:val="5"/>
        <w:numId w:val="20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AF4DEC"/>
    <w:rPr>
      <w:rFonts w:asciiTheme="majorHAnsi" w:eastAsiaTheme="majorEastAsia" w:hAnsiTheme="majorHAnsi" w:cstheme="majorBidi"/>
      <w:b/>
      <w:bCs/>
      <w:color w:val="4D4D4D"/>
      <w:sz w:val="26"/>
      <w:szCs w:val="26"/>
      <w:lang w:val="bg-BG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AF4DEC"/>
    <w:pPr>
      <w:keepNext/>
      <w:keepLines/>
      <w:numPr>
        <w:ilvl w:val="6"/>
        <w:numId w:val="20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paragraph" w:customStyle="1" w:styleId="JuH">
    <w:name w:val="Ju_H_–"/>
    <w:aliases w:val="_Head_8"/>
    <w:basedOn w:val="Heading8"/>
    <w:next w:val="JuPara"/>
    <w:uiPriority w:val="17"/>
    <w:rsid w:val="00AF4DEC"/>
    <w:pPr>
      <w:keepNext/>
      <w:keepLines/>
      <w:numPr>
        <w:ilvl w:val="7"/>
        <w:numId w:val="20"/>
      </w:numPr>
      <w:spacing w:before="100" w:beforeAutospacing="1" w:after="120"/>
      <w:jc w:val="both"/>
    </w:pPr>
    <w:rPr>
      <w:i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AF4DEC"/>
    <w:rPr>
      <w:rFonts w:asciiTheme="majorHAnsi" w:eastAsiaTheme="majorEastAsia" w:hAnsiTheme="majorHAnsi" w:cstheme="majorBidi"/>
      <w:b/>
      <w:bCs/>
      <w:color w:val="5F5F5F"/>
      <w:lang w:val="bg-BG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AF4DEC"/>
    <w:pPr>
      <w:keepNext/>
      <w:keepLines/>
      <w:spacing w:before="240" w:after="240"/>
      <w:ind w:firstLine="284"/>
    </w:pPr>
  </w:style>
  <w:style w:type="paragraph" w:customStyle="1" w:styleId="JuJudges">
    <w:name w:val="Ju_Judges"/>
    <w:aliases w:val="_Judges"/>
    <w:basedOn w:val="Normal"/>
    <w:uiPriority w:val="32"/>
    <w:qFormat/>
    <w:rsid w:val="00AF4DEC"/>
    <w:pPr>
      <w:tabs>
        <w:tab w:val="left" w:pos="567"/>
        <w:tab w:val="left" w:pos="1134"/>
      </w:tabs>
    </w:pPr>
  </w:style>
  <w:style w:type="character" w:customStyle="1" w:styleId="Heading4Char">
    <w:name w:val="Heading 4 Char"/>
    <w:basedOn w:val="DefaultParagraphFont"/>
    <w:link w:val="Heading4"/>
    <w:uiPriority w:val="98"/>
    <w:semiHidden/>
    <w:rsid w:val="00AF4DEC"/>
    <w:rPr>
      <w:rFonts w:asciiTheme="majorHAnsi" w:eastAsiaTheme="majorEastAsia" w:hAnsiTheme="majorHAnsi" w:cstheme="majorBidi"/>
      <w:b/>
      <w:bCs/>
      <w:i/>
      <w:iCs/>
      <w:color w:val="777777"/>
      <w:lang w:val="bg-BG"/>
    </w:rPr>
  </w:style>
  <w:style w:type="paragraph" w:customStyle="1" w:styleId="JuInitialled">
    <w:name w:val="Ju_Initialled"/>
    <w:aliases w:val="_Right"/>
    <w:basedOn w:val="Normal"/>
    <w:uiPriority w:val="30"/>
    <w:qFormat/>
    <w:rsid w:val="00AF4DEC"/>
    <w:pPr>
      <w:tabs>
        <w:tab w:val="center" w:pos="6407"/>
      </w:tabs>
      <w:spacing w:before="720"/>
      <w:jc w:val="right"/>
    </w:pPr>
  </w:style>
  <w:style w:type="character" w:customStyle="1" w:styleId="Heading5Char">
    <w:name w:val="Heading 5 Char"/>
    <w:basedOn w:val="DefaultParagraphFont"/>
    <w:link w:val="Heading5"/>
    <w:uiPriority w:val="98"/>
    <w:semiHidden/>
    <w:rsid w:val="00AF4DEC"/>
    <w:rPr>
      <w:rFonts w:asciiTheme="majorHAnsi" w:eastAsiaTheme="majorEastAsia" w:hAnsiTheme="majorHAnsi" w:cstheme="majorBidi"/>
      <w:b/>
      <w:bCs/>
      <w:color w:val="808080"/>
      <w:lang w:val="bg-BG"/>
    </w:rPr>
  </w:style>
  <w:style w:type="character" w:customStyle="1" w:styleId="JuITMark">
    <w:name w:val="Ju_ITMark"/>
    <w:aliases w:val="_ITMark"/>
    <w:basedOn w:val="DefaultParagraphFont"/>
    <w:uiPriority w:val="54"/>
    <w:qFormat/>
    <w:rsid w:val="00AF4DEC"/>
    <w:rPr>
      <w:vanish w:val="0"/>
      <w:color w:val="auto"/>
      <w:sz w:val="14"/>
      <w:bdr w:val="none" w:sz="0" w:space="0" w:color="auto"/>
      <w:shd w:val="clear" w:color="auto" w:fill="FFFFFF" w:themeFill="background1" w:themeFillTint="33"/>
    </w:rPr>
  </w:style>
  <w:style w:type="character" w:customStyle="1" w:styleId="JUNAMES">
    <w:name w:val="JU_NAMES"/>
    <w:aliases w:val="_Ju_Names"/>
    <w:uiPriority w:val="33"/>
    <w:qFormat/>
    <w:rsid w:val="00AF4DEC"/>
    <w:rPr>
      <w:caps w:val="0"/>
      <w:smallCaps/>
    </w:rPr>
  </w:style>
  <w:style w:type="character" w:styleId="SubtleEmphasis">
    <w:name w:val="Subtle Emphasis"/>
    <w:uiPriority w:val="98"/>
    <w:semiHidden/>
    <w:qFormat/>
    <w:rsid w:val="00AF4DEC"/>
    <w:rPr>
      <w:i/>
      <w:iCs/>
    </w:rPr>
  </w:style>
  <w:style w:type="table" w:customStyle="1" w:styleId="ECHRTable">
    <w:name w:val="ECHR_Table"/>
    <w:basedOn w:val="TableNormal"/>
    <w:rsid w:val="00AF4DEC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38383" w:themeColor="text2" w:themeShade="BF"/>
        <w:left w:val="single" w:sz="4" w:space="0" w:color="838383" w:themeColor="text2" w:themeShade="BF"/>
        <w:bottom w:val="single" w:sz="4" w:space="0" w:color="838383" w:themeColor="text2" w:themeShade="BF"/>
        <w:right w:val="single" w:sz="4" w:space="0" w:color="838383" w:themeColor="text2" w:themeShade="BF"/>
        <w:insideH w:val="single" w:sz="4" w:space="0" w:color="838383" w:themeColor="text2" w:themeShade="BF"/>
        <w:insideV w:val="single" w:sz="4" w:space="0" w:color="838383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24242" w:themeColor="accent3" w:themeShade="BF"/>
        <w:sz w:val="22"/>
      </w:r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AF4DEC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95959" w:themeColor="accent3"/>
      </w:rPr>
    </w:tblStylePr>
  </w:style>
  <w:style w:type="character" w:styleId="Emphasis">
    <w:name w:val="Emphasis"/>
    <w:uiPriority w:val="98"/>
    <w:semiHidden/>
    <w:qFormat/>
    <w:rsid w:val="00AF4DE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0">
    <w:name w:val="footer"/>
    <w:basedOn w:val="Normal"/>
    <w:link w:val="FooterChar"/>
    <w:uiPriority w:val="98"/>
    <w:semiHidden/>
    <w:rsid w:val="00AF4DEC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0"/>
    <w:uiPriority w:val="98"/>
    <w:semiHidden/>
    <w:rsid w:val="00AF4DEC"/>
    <w:rPr>
      <w:sz w:val="24"/>
      <w:szCs w:val="24"/>
      <w:lang w:val="bg-BG"/>
    </w:rPr>
  </w:style>
  <w:style w:type="character" w:styleId="FootnoteReference">
    <w:name w:val="footnote reference"/>
    <w:basedOn w:val="DefaultParagraphFont"/>
    <w:uiPriority w:val="98"/>
    <w:semiHidden/>
    <w:rsid w:val="00AF4DEC"/>
    <w:rPr>
      <w:vertAlign w:val="superscript"/>
    </w:rPr>
  </w:style>
  <w:style w:type="paragraph" w:styleId="FootnoteText">
    <w:name w:val="footnote text"/>
    <w:basedOn w:val="NormalJustified"/>
    <w:link w:val="FootnoteTextChar"/>
    <w:uiPriority w:val="98"/>
    <w:semiHidden/>
    <w:rsid w:val="00AF4D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AF4DEC"/>
    <w:rPr>
      <w:sz w:val="20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AF4DEC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bg-BG" w:bidi="en-US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AF4DEC"/>
    <w:rPr>
      <w:rFonts w:asciiTheme="majorHAnsi" w:eastAsiaTheme="majorEastAsia" w:hAnsiTheme="majorHAnsi" w:cstheme="majorBidi"/>
      <w:i/>
      <w:iCs/>
      <w:lang w:val="bg-BG" w:bidi="en-US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AF4DEC"/>
    <w:rPr>
      <w:rFonts w:asciiTheme="majorHAnsi" w:eastAsiaTheme="majorEastAsia" w:hAnsiTheme="majorHAnsi" w:cstheme="majorBidi"/>
      <w:sz w:val="20"/>
      <w:szCs w:val="20"/>
      <w:lang w:val="bg-BG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AF4DEC"/>
    <w:rPr>
      <w:rFonts w:asciiTheme="majorHAnsi" w:eastAsiaTheme="majorEastAsia" w:hAnsiTheme="majorHAnsi" w:cstheme="majorBidi"/>
      <w:i/>
      <w:iCs/>
      <w:spacing w:val="5"/>
      <w:sz w:val="20"/>
      <w:szCs w:val="20"/>
      <w:lang w:val="bg-BG" w:bidi="en-US"/>
    </w:rPr>
  </w:style>
  <w:style w:type="character" w:styleId="Hyperlink">
    <w:name w:val="Hyperlink"/>
    <w:basedOn w:val="DefaultParagraphFont"/>
    <w:uiPriority w:val="98"/>
    <w:semiHidden/>
    <w:rsid w:val="00AF4DEC"/>
    <w:rPr>
      <w:color w:val="0072BC" w:themeColor="hyperlink"/>
      <w:u w:val="single"/>
    </w:rPr>
  </w:style>
  <w:style w:type="character" w:styleId="IntenseEmphasis">
    <w:name w:val="Intense Emphasis"/>
    <w:uiPriority w:val="98"/>
    <w:semiHidden/>
    <w:qFormat/>
    <w:rsid w:val="00AF4DEC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AF4DEC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AF4DEC"/>
    <w:rPr>
      <w:b/>
      <w:bCs/>
      <w:i/>
      <w:iCs/>
      <w:sz w:val="24"/>
      <w:szCs w:val="24"/>
      <w:lang w:val="bg-BG" w:bidi="en-US"/>
    </w:rPr>
  </w:style>
  <w:style w:type="character" w:styleId="IntenseReference">
    <w:name w:val="Intense Reference"/>
    <w:uiPriority w:val="98"/>
    <w:semiHidden/>
    <w:qFormat/>
    <w:rsid w:val="00AF4DEC"/>
    <w:rPr>
      <w:smallCaps/>
      <w:spacing w:val="5"/>
      <w:u w:val="single"/>
    </w:rPr>
  </w:style>
  <w:style w:type="paragraph" w:styleId="ListParagraph">
    <w:name w:val="List Paragraph"/>
    <w:basedOn w:val="Normal"/>
    <w:uiPriority w:val="98"/>
    <w:semiHidden/>
    <w:qFormat/>
    <w:rsid w:val="00AF4DEC"/>
    <w:pPr>
      <w:ind w:left="720"/>
      <w:contextualSpacing/>
    </w:pPr>
  </w:style>
  <w:style w:type="table" w:customStyle="1" w:styleId="LtrTableAddress">
    <w:name w:val="Ltr_Table_Address"/>
    <w:aliases w:val="ECHR_Ltr_Table_Address"/>
    <w:basedOn w:val="TableNormal"/>
    <w:uiPriority w:val="99"/>
    <w:rsid w:val="00AF4DEC"/>
    <w:rPr>
      <w:sz w:val="24"/>
      <w:szCs w:val="24"/>
    </w:rPr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8"/>
    <w:semiHidden/>
    <w:qFormat/>
    <w:rsid w:val="00AF4DEC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AF4DEC"/>
    <w:rPr>
      <w:i/>
      <w:iCs/>
      <w:sz w:val="24"/>
      <w:szCs w:val="24"/>
      <w:lang w:val="bg-BG" w:bidi="en-US"/>
    </w:rPr>
  </w:style>
  <w:style w:type="character" w:styleId="SubtleReference">
    <w:name w:val="Subtle Reference"/>
    <w:uiPriority w:val="98"/>
    <w:semiHidden/>
    <w:qFormat/>
    <w:rsid w:val="00AF4DEC"/>
    <w:rPr>
      <w:smallCaps/>
    </w:rPr>
  </w:style>
  <w:style w:type="table" w:styleId="TableGrid">
    <w:name w:val="Table Grid"/>
    <w:basedOn w:val="TableNormal"/>
    <w:uiPriority w:val="59"/>
    <w:semiHidden/>
    <w:rsid w:val="00AF4DEC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8"/>
    <w:semiHidden/>
    <w:rsid w:val="00AF4DEC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AF4DEC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AF4DEC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AF4DEC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AF4DEC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8"/>
    <w:semiHidden/>
    <w:qFormat/>
    <w:rsid w:val="00AF4DEC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24242" w:themeColor="accent3" w:themeShade="BF"/>
      <w:sz w:val="28"/>
    </w:rPr>
  </w:style>
  <w:style w:type="table" w:customStyle="1" w:styleId="UGTable">
    <w:name w:val="UG_Table"/>
    <w:aliases w:val="ECHR_UG_Table"/>
    <w:basedOn w:val="TableNormal"/>
    <w:uiPriority w:val="99"/>
    <w:rsid w:val="00AF4DEC"/>
    <w:rPr>
      <w:rFonts w:eastAsiaTheme="minorEastAsia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AF4DEC"/>
    <w:rPr>
      <w:rFonts w:eastAsiaTheme="minorEastAsia"/>
      <w:sz w:val="24"/>
      <w:szCs w:val="24"/>
      <w:lang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aliases w:val="ECHR_PCF_Table_Style"/>
    <w:basedOn w:val="TableNormal"/>
    <w:uiPriority w:val="99"/>
    <w:rsid w:val="00AF4DEC"/>
    <w:rPr>
      <w:color w:val="000000" w:themeColor="text1"/>
      <w:sz w:val="18"/>
      <w:szCs w:val="24"/>
    </w:rPr>
    <w:tblPr>
      <w:tblBorders>
        <w:top w:val="single" w:sz="8" w:space="0" w:color="9B9B9B" w:themeColor="accent3" w:themeTint="99"/>
        <w:left w:val="single" w:sz="8" w:space="0" w:color="9B9B9B" w:themeColor="accent3" w:themeTint="99"/>
        <w:bottom w:val="single" w:sz="8" w:space="0" w:color="9B9B9B" w:themeColor="accent3" w:themeTint="99"/>
        <w:right w:val="single" w:sz="8" w:space="0" w:color="9B9B9B" w:themeColor="accent3" w:themeTint="99"/>
        <w:insideH w:val="single" w:sz="8" w:space="0" w:color="9B9B9B" w:themeColor="accent3" w:themeTint="99"/>
        <w:insideV w:val="single" w:sz="8" w:space="0" w:color="9B9B9B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AF4DEC"/>
    <w:rPr>
      <w:color w:val="000000" w:themeColor="text1"/>
      <w:sz w:val="24"/>
      <w:szCs w:val="24"/>
    </w:rPr>
    <w:tblPr>
      <w:tblInd w:w="-680" w:type="dxa"/>
      <w:tblBorders>
        <w:insideH w:val="single" w:sz="4" w:space="0" w:color="B0B0B0" w:themeColor="text2"/>
        <w:insideV w:val="single" w:sz="4" w:space="0" w:color="B0B0B0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AF4DEC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838383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basedOn w:val="TableNormal"/>
    <w:uiPriority w:val="99"/>
    <w:rsid w:val="00AF4DEC"/>
    <w:rPr>
      <w:sz w:val="24"/>
      <w:szCs w:val="24"/>
    </w:rPr>
    <w:tblPr>
      <w:jc w:val="center"/>
      <w:tblBorders>
        <w:left w:val="single" w:sz="4" w:space="0" w:color="838383" w:themeColor="text2" w:themeShade="BF"/>
        <w:bottom w:val="single" w:sz="4" w:space="0" w:color="838383" w:themeColor="text2" w:themeShade="BF"/>
        <w:right w:val="single" w:sz="4" w:space="0" w:color="838383" w:themeColor="text2" w:themeShade="BF"/>
        <w:insideH w:val="single" w:sz="4" w:space="0" w:color="838383" w:themeColor="text2" w:themeShade="BF"/>
        <w:insideV w:val="single" w:sz="4" w:space="0" w:color="838383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24242" w:themeColor="accent3" w:themeShade="BF"/>
        <w:sz w:val="24"/>
      </w:r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nil"/>
          <w:right w:val="single" w:sz="4" w:space="0" w:color="838383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8"/>
    <w:semiHidden/>
    <w:rsid w:val="00AF4DEC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24242" w:themeColor="accent3" w:themeShade="BF"/>
      <w:sz w:val="28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AF4DEC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AF4DEC"/>
    <w:rPr>
      <w:rFonts w:asciiTheme="majorHAnsi" w:eastAsiaTheme="majorEastAsia" w:hAnsiTheme="majorHAnsi" w:cstheme="majorBidi"/>
      <w:i/>
      <w:iCs/>
      <w:spacing w:val="13"/>
      <w:sz w:val="24"/>
      <w:szCs w:val="24"/>
      <w:lang w:val="bg-BG" w:bidi="en-US"/>
    </w:rPr>
  </w:style>
  <w:style w:type="numbering" w:styleId="111111">
    <w:name w:val="Outline List 2"/>
    <w:basedOn w:val="NoList"/>
    <w:uiPriority w:val="99"/>
    <w:semiHidden/>
    <w:unhideWhenUsed/>
    <w:rsid w:val="00AF4DEC"/>
    <w:pPr>
      <w:numPr>
        <w:numId w:val="1"/>
      </w:numPr>
    </w:pPr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AF4DEC"/>
    <w:pPr>
      <w:ind w:firstLine="284"/>
    </w:pPr>
  </w:style>
  <w:style w:type="numbering" w:styleId="1ai">
    <w:name w:val="Outline List 1"/>
    <w:basedOn w:val="NoList"/>
    <w:uiPriority w:val="99"/>
    <w:semiHidden/>
    <w:unhideWhenUsed/>
    <w:rsid w:val="00AF4DEC"/>
    <w:pPr>
      <w:numPr>
        <w:numId w:val="2"/>
      </w:numPr>
    </w:pPr>
  </w:style>
  <w:style w:type="table" w:customStyle="1" w:styleId="ECHRTableSimpleBox">
    <w:name w:val="ECHR_Table_Simple_Box"/>
    <w:basedOn w:val="TableNormal"/>
    <w:uiPriority w:val="99"/>
    <w:rsid w:val="00AF4DEC"/>
    <w:rPr>
      <w:sz w:val="24"/>
      <w:szCs w:val="24"/>
    </w:rPr>
    <w:tblPr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AF4DEC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24242" w:themeColor="accent3" w:themeShade="BF"/>
        <w:sz w:val="24"/>
      </w:r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</w:tcBorders>
      </w:tcPr>
    </w:tblStylePr>
  </w:style>
  <w:style w:type="numbering" w:styleId="ArticleSection">
    <w:name w:val="Outline List 3"/>
    <w:basedOn w:val="NoList"/>
    <w:uiPriority w:val="99"/>
    <w:semiHidden/>
    <w:unhideWhenUsed/>
    <w:rsid w:val="00AF4DEC"/>
    <w:pPr>
      <w:numPr>
        <w:numId w:val="3"/>
      </w:numPr>
    </w:pPr>
  </w:style>
  <w:style w:type="table" w:customStyle="1" w:styleId="ECHRTableForInternalUse">
    <w:name w:val="ECHR_Table_For_Internal_Use"/>
    <w:basedOn w:val="TableNormal"/>
    <w:uiPriority w:val="99"/>
    <w:rsid w:val="00AF4DEC"/>
    <w:rPr>
      <w:color w:val="585858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AF4DEC"/>
    <w:rPr>
      <w:sz w:val="24"/>
      <w:szCs w:val="24"/>
    </w:rPr>
    <w:tblPr>
      <w:tblBorders>
        <w:top w:val="single" w:sz="4" w:space="0" w:color="838383" w:themeColor="text2" w:themeShade="BF"/>
        <w:left w:val="single" w:sz="4" w:space="0" w:color="838383" w:themeColor="text2" w:themeShade="BF"/>
        <w:bottom w:val="single" w:sz="4" w:space="0" w:color="838383" w:themeColor="text2" w:themeShade="BF"/>
        <w:right w:val="single" w:sz="4" w:space="0" w:color="838383" w:themeColor="text2" w:themeShade="BF"/>
        <w:insideH w:val="single" w:sz="4" w:space="0" w:color="838383" w:themeColor="text2" w:themeShade="BF"/>
        <w:insideV w:val="single" w:sz="4" w:space="0" w:color="838383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24242" w:themeColor="accent3" w:themeShade="BF"/>
      </w:rPr>
      <w:tblPr/>
      <w:trPr>
        <w:tblHeader/>
      </w:trPr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</w:tcBorders>
        <w:shd w:val="clear" w:color="auto" w:fill="DFDFDF" w:themeFill="background2" w:themeFillShade="E6"/>
      </w:tcPr>
    </w:tblStylePr>
  </w:style>
  <w:style w:type="paragraph" w:styleId="Bibliography">
    <w:name w:val="Bibliography"/>
    <w:basedOn w:val="Normal"/>
    <w:next w:val="Normal"/>
    <w:uiPriority w:val="98"/>
    <w:semiHidden/>
    <w:rsid w:val="00AF4DEC"/>
  </w:style>
  <w:style w:type="paragraph" w:styleId="BlockText">
    <w:name w:val="Block Text"/>
    <w:basedOn w:val="Normal"/>
    <w:uiPriority w:val="98"/>
    <w:semiHidden/>
    <w:rsid w:val="00AF4DEC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table" w:customStyle="1" w:styleId="ECHRHeaderTable">
    <w:name w:val="ECHR_Header_Table"/>
    <w:basedOn w:val="TableNormal"/>
    <w:uiPriority w:val="99"/>
    <w:rsid w:val="00AF4DEC"/>
    <w:rPr>
      <w:sz w:val="24"/>
      <w:szCs w:val="24"/>
    </w:rPr>
    <w:tblPr>
      <w:tblInd w:w="-1474" w:type="dxa"/>
      <w:tblBorders>
        <w:bottom w:val="single" w:sz="6" w:space="0" w:color="838383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styleId="BodyText">
    <w:name w:val="Body Text"/>
    <w:basedOn w:val="Normal"/>
    <w:link w:val="BodyTextChar"/>
    <w:uiPriority w:val="98"/>
    <w:semiHidden/>
    <w:rsid w:val="00AF4D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AF4DEC"/>
    <w:rPr>
      <w:sz w:val="24"/>
      <w:szCs w:val="24"/>
      <w:lang w:val="bg-BG"/>
    </w:rPr>
  </w:style>
  <w:style w:type="table" w:customStyle="1" w:styleId="ECHRTableOddBanded">
    <w:name w:val="ECHR_Table_Odd_Banded"/>
    <w:basedOn w:val="TableNormal"/>
    <w:uiPriority w:val="99"/>
    <w:rsid w:val="00AF4DEC"/>
    <w:tblPr>
      <w:tblStyleRowBandSize w:val="1"/>
      <w:tblStyleColBandSize w:val="1"/>
      <w:tblBorders>
        <w:top w:val="single" w:sz="4" w:space="0" w:color="838383" w:themeColor="text2" w:themeShade="BF"/>
        <w:left w:val="single" w:sz="4" w:space="0" w:color="838383" w:themeColor="text2" w:themeShade="BF"/>
        <w:bottom w:val="single" w:sz="4" w:space="0" w:color="838383" w:themeColor="text2" w:themeShade="BF"/>
        <w:right w:val="single" w:sz="4" w:space="0" w:color="838383" w:themeColor="text2" w:themeShade="BF"/>
        <w:insideH w:val="single" w:sz="4" w:space="0" w:color="838383" w:themeColor="text2" w:themeShade="BF"/>
        <w:insideV w:val="single" w:sz="4" w:space="0" w:color="838383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24242" w:themeColor="accent3" w:themeShade="BF"/>
        <w:sz w:val="22"/>
      </w:r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nil"/>
          <w:insideV w:val="single" w:sz="4" w:space="0" w:color="838383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styleId="BodyText2">
    <w:name w:val="Body Text 2"/>
    <w:basedOn w:val="Normal"/>
    <w:link w:val="BodyText2Char"/>
    <w:uiPriority w:val="98"/>
    <w:semiHidden/>
    <w:rsid w:val="00AF4DEC"/>
    <w:pPr>
      <w:spacing w:after="120" w:line="480" w:lineRule="auto"/>
    </w:pPr>
  </w:style>
  <w:style w:type="table" w:customStyle="1" w:styleId="ECHRHeaderTableReduced">
    <w:name w:val="ECHR_Header_Table_Reduced"/>
    <w:basedOn w:val="TableNormal"/>
    <w:uiPriority w:val="99"/>
    <w:rsid w:val="00AF4DEC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838383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838383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Case">
    <w:name w:val="Ju_Case"/>
    <w:aliases w:val="_Case_Name"/>
    <w:basedOn w:val="NormalJustified"/>
    <w:next w:val="JuPara"/>
    <w:uiPriority w:val="32"/>
    <w:rsid w:val="00AF4DEC"/>
    <w:pPr>
      <w:ind w:firstLine="284"/>
    </w:pPr>
    <w:rPr>
      <w:b/>
    </w:rPr>
  </w:style>
  <w:style w:type="character" w:styleId="PageNumber">
    <w:name w:val="page number"/>
    <w:uiPriority w:val="98"/>
    <w:semiHidden/>
    <w:rsid w:val="00AF4DEC"/>
    <w:rPr>
      <w:sz w:val="18"/>
    </w:rPr>
  </w:style>
  <w:style w:type="paragraph" w:styleId="ListBullet">
    <w:name w:val="List Bullet"/>
    <w:basedOn w:val="Normal"/>
    <w:uiPriority w:val="98"/>
    <w:semiHidden/>
    <w:rsid w:val="00AF4DEC"/>
    <w:pPr>
      <w:numPr>
        <w:numId w:val="8"/>
      </w:numPr>
    </w:pPr>
  </w:style>
  <w:style w:type="paragraph" w:styleId="ListBullet3">
    <w:name w:val="List Bullet 3"/>
    <w:basedOn w:val="Normal"/>
    <w:uiPriority w:val="98"/>
    <w:semiHidden/>
    <w:rsid w:val="00AF4DEC"/>
    <w:pPr>
      <w:numPr>
        <w:numId w:val="10"/>
      </w:numPr>
      <w:contextualSpacing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AF4DEC"/>
    <w:rPr>
      <w:sz w:val="24"/>
      <w:szCs w:val="24"/>
      <w:lang w:val="bg-BG"/>
    </w:rPr>
  </w:style>
  <w:style w:type="paragraph" w:styleId="BodyText3">
    <w:name w:val="Body Text 3"/>
    <w:basedOn w:val="Normal"/>
    <w:link w:val="BodyText3Char"/>
    <w:uiPriority w:val="98"/>
    <w:semiHidden/>
    <w:rsid w:val="00AF4D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AF4DEC"/>
    <w:rPr>
      <w:sz w:val="16"/>
      <w:szCs w:val="16"/>
      <w:lang w:val="bg-BG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AF4DE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AF4DEC"/>
    <w:rPr>
      <w:sz w:val="24"/>
      <w:szCs w:val="24"/>
      <w:lang w:val="bg-BG"/>
    </w:rPr>
  </w:style>
  <w:style w:type="paragraph" w:styleId="BodyTextIndent">
    <w:name w:val="Body Text Indent"/>
    <w:basedOn w:val="Normal"/>
    <w:link w:val="BodyTextIndentChar"/>
    <w:uiPriority w:val="98"/>
    <w:semiHidden/>
    <w:rsid w:val="00AF4DE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AF4DEC"/>
    <w:rPr>
      <w:sz w:val="24"/>
      <w:szCs w:val="24"/>
      <w:lang w:val="bg-BG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AF4DE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AF4DEC"/>
    <w:rPr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uiPriority w:val="98"/>
    <w:semiHidden/>
    <w:rsid w:val="00AF4DE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AF4DEC"/>
    <w:rPr>
      <w:sz w:val="24"/>
      <w:szCs w:val="24"/>
      <w:lang w:val="bg-BG"/>
    </w:rPr>
  </w:style>
  <w:style w:type="paragraph" w:styleId="BodyTextIndent3">
    <w:name w:val="Body Text Indent 3"/>
    <w:basedOn w:val="Normal"/>
    <w:link w:val="BodyTextIndent3Char"/>
    <w:uiPriority w:val="98"/>
    <w:semiHidden/>
    <w:rsid w:val="00AF4D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AF4DEC"/>
    <w:rPr>
      <w:sz w:val="16"/>
      <w:szCs w:val="16"/>
      <w:lang w:val="bg-BG"/>
    </w:rPr>
  </w:style>
  <w:style w:type="paragraph" w:styleId="Caption">
    <w:name w:val="caption"/>
    <w:basedOn w:val="Normal"/>
    <w:next w:val="Normal"/>
    <w:uiPriority w:val="98"/>
    <w:semiHidden/>
    <w:qFormat/>
    <w:rsid w:val="00AF4DEC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AF4DE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AF4DEC"/>
    <w:rPr>
      <w:sz w:val="24"/>
      <w:szCs w:val="24"/>
      <w:lang w:val="bg-BG"/>
    </w:rPr>
  </w:style>
  <w:style w:type="table" w:styleId="ColorfulGrid">
    <w:name w:val="Colorful Grid"/>
    <w:basedOn w:val="TableNormal"/>
    <w:uiPriority w:val="73"/>
    <w:semiHidden/>
    <w:rsid w:val="00AF4DE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AF4DE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AF4DE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AF4DE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3" w:themeFillTint="33"/>
    </w:tcPr>
    <w:tblStylePr w:type="firstRow">
      <w:rPr>
        <w:b/>
        <w:bCs/>
      </w:rPr>
      <w:tblPr/>
      <w:tcPr>
        <w:shd w:val="clear" w:color="auto" w:fill="BCBC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2424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24242" w:themeFill="accent3" w:themeFillShade="BF"/>
      </w:tcPr>
    </w:tblStylePr>
    <w:tblStylePr w:type="band1Vert">
      <w:tblPr/>
      <w:tcPr>
        <w:shd w:val="clear" w:color="auto" w:fill="ACACAC" w:themeFill="accent3" w:themeFillTint="7F"/>
      </w:tcPr>
    </w:tblStylePr>
    <w:tblStylePr w:type="band1Horz">
      <w:tblPr/>
      <w:tcPr>
        <w:shd w:val="clear" w:color="auto" w:fill="ACAC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AF4DE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AF4DE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AF4DE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AF4DE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AF4DE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AF4DE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AF4DE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EE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AF4DE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4747" w:themeFill="accent3" w:themeFillShade="CC"/>
      </w:tcPr>
    </w:tblStylePr>
    <w:tblStylePr w:type="lastRow">
      <w:rPr>
        <w:b/>
        <w:bCs/>
        <w:color w:val="47474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AF4DE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AF4DE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AF4DE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AF4DE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AF4DE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AF4DE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353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3535" w:themeColor="accent3" w:themeShade="99"/>
          <w:insideV w:val="nil"/>
        </w:tcBorders>
        <w:shd w:val="clear" w:color="auto" w:fill="35353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535" w:themeFill="accent3" w:themeFillShade="99"/>
      </w:tcPr>
    </w:tblStylePr>
    <w:tblStylePr w:type="band1Vert">
      <w:tblPr/>
      <w:tcPr>
        <w:shd w:val="clear" w:color="auto" w:fill="BCBCBC" w:themeFill="accent3" w:themeFillTint="66"/>
      </w:tcPr>
    </w:tblStylePr>
    <w:tblStylePr w:type="band1Horz">
      <w:tblPr/>
      <w:tcPr>
        <w:shd w:val="clear" w:color="auto" w:fill="ACAC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AF4DE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95959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59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AF4DE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AF4DE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8"/>
    <w:semiHidden/>
    <w:rsid w:val="00AF4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AF4D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AF4DEC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AF4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AF4DEC"/>
    <w:rPr>
      <w:b/>
      <w:bCs/>
      <w:sz w:val="20"/>
      <w:szCs w:val="20"/>
      <w:lang w:val="bg-BG"/>
    </w:rPr>
  </w:style>
  <w:style w:type="table" w:styleId="DarkList">
    <w:name w:val="Dark List"/>
    <w:basedOn w:val="TableNormal"/>
    <w:uiPriority w:val="70"/>
    <w:semiHidden/>
    <w:rsid w:val="00AF4DEC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AF4DEC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AF4DEC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AF4DEC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5959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2C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424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424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AF4DEC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AF4DEC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AF4DEC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AF4DEC"/>
  </w:style>
  <w:style w:type="character" w:customStyle="1" w:styleId="DateChar">
    <w:name w:val="Date Char"/>
    <w:basedOn w:val="DefaultParagraphFont"/>
    <w:link w:val="Date"/>
    <w:uiPriority w:val="98"/>
    <w:semiHidden/>
    <w:rsid w:val="00AF4DEC"/>
    <w:rPr>
      <w:sz w:val="24"/>
      <w:szCs w:val="24"/>
      <w:lang w:val="bg-BG"/>
    </w:rPr>
  </w:style>
  <w:style w:type="paragraph" w:styleId="DocumentMap">
    <w:name w:val="Document Map"/>
    <w:basedOn w:val="Normal"/>
    <w:link w:val="DocumentMapChar"/>
    <w:uiPriority w:val="98"/>
    <w:semiHidden/>
    <w:rsid w:val="00AF4DE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AF4DEC"/>
    <w:rPr>
      <w:rFonts w:ascii="Tahoma" w:hAnsi="Tahoma" w:cs="Tahoma"/>
      <w:sz w:val="16"/>
      <w:szCs w:val="16"/>
      <w:lang w:val="bg-BG"/>
    </w:rPr>
  </w:style>
  <w:style w:type="paragraph" w:styleId="E-mailSignature">
    <w:name w:val="E-mail Signature"/>
    <w:basedOn w:val="Normal"/>
    <w:link w:val="E-mailSignatureChar"/>
    <w:uiPriority w:val="98"/>
    <w:semiHidden/>
    <w:rsid w:val="00AF4DEC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AF4DEC"/>
    <w:rPr>
      <w:sz w:val="24"/>
      <w:szCs w:val="24"/>
      <w:lang w:val="bg-BG"/>
    </w:rPr>
  </w:style>
  <w:style w:type="character" w:styleId="EndnoteReference">
    <w:name w:val="endnote reference"/>
    <w:basedOn w:val="DefaultParagraphFont"/>
    <w:uiPriority w:val="98"/>
    <w:semiHidden/>
    <w:rsid w:val="00AF4DEC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AF4D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AF4DEC"/>
    <w:rPr>
      <w:sz w:val="20"/>
      <w:szCs w:val="20"/>
      <w:lang w:val="bg-BG"/>
    </w:rPr>
  </w:style>
  <w:style w:type="paragraph" w:styleId="EnvelopeAddress">
    <w:name w:val="envelope address"/>
    <w:basedOn w:val="Normal"/>
    <w:uiPriority w:val="98"/>
    <w:semiHidden/>
    <w:rsid w:val="00AF4DEC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AF4DE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AF4DEC"/>
    <w:rPr>
      <w:color w:val="7030A0" w:themeColor="followedHyperlink"/>
      <w:u w:val="single"/>
    </w:rPr>
  </w:style>
  <w:style w:type="character" w:styleId="HTMLAcronym">
    <w:name w:val="HTML Acronym"/>
    <w:basedOn w:val="DefaultParagraphFont"/>
    <w:uiPriority w:val="98"/>
    <w:semiHidden/>
    <w:rsid w:val="00AF4DEC"/>
  </w:style>
  <w:style w:type="paragraph" w:styleId="HTMLAddress">
    <w:name w:val="HTML Address"/>
    <w:basedOn w:val="Normal"/>
    <w:link w:val="HTMLAddressChar"/>
    <w:uiPriority w:val="98"/>
    <w:semiHidden/>
    <w:rsid w:val="00AF4DE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AF4DEC"/>
    <w:rPr>
      <w:i/>
      <w:iCs/>
      <w:sz w:val="24"/>
      <w:szCs w:val="24"/>
      <w:lang w:val="bg-BG"/>
    </w:rPr>
  </w:style>
  <w:style w:type="character" w:styleId="HTMLCite">
    <w:name w:val="HTML Cite"/>
    <w:basedOn w:val="DefaultParagraphFont"/>
    <w:uiPriority w:val="98"/>
    <w:semiHidden/>
    <w:rsid w:val="00AF4DEC"/>
    <w:rPr>
      <w:i/>
      <w:iCs/>
    </w:rPr>
  </w:style>
  <w:style w:type="character" w:styleId="HTMLCode">
    <w:name w:val="HTML Code"/>
    <w:basedOn w:val="DefaultParagraphFont"/>
    <w:uiPriority w:val="98"/>
    <w:semiHidden/>
    <w:rsid w:val="00AF4DE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AF4DEC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AF4DE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AF4DE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AF4DEC"/>
    <w:rPr>
      <w:rFonts w:ascii="Consolas" w:hAnsi="Consolas" w:cs="Consolas"/>
      <w:sz w:val="20"/>
      <w:szCs w:val="20"/>
      <w:lang w:val="bg-BG"/>
    </w:rPr>
  </w:style>
  <w:style w:type="character" w:styleId="HTMLSample">
    <w:name w:val="HTML Sample"/>
    <w:basedOn w:val="DefaultParagraphFont"/>
    <w:uiPriority w:val="98"/>
    <w:semiHidden/>
    <w:rsid w:val="00AF4DE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AF4DE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AF4DEC"/>
    <w:rPr>
      <w:i/>
      <w:iCs/>
    </w:rPr>
  </w:style>
  <w:style w:type="paragraph" w:styleId="Index1">
    <w:name w:val="index 1"/>
    <w:basedOn w:val="Normal"/>
    <w:next w:val="Normal"/>
    <w:autoRedefine/>
    <w:uiPriority w:val="98"/>
    <w:semiHidden/>
    <w:rsid w:val="00AF4DEC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AF4DEC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AF4DEC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AF4DEC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AF4DEC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AF4DEC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AF4DEC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AF4DEC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AF4DEC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AF4DEC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  <w:insideH w:val="single" w:sz="8" w:space="0" w:color="595959" w:themeColor="accent3"/>
        <w:insideV w:val="single" w:sz="8" w:space="0" w:color="5959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18" w:space="0" w:color="595959" w:themeColor="accent3"/>
          <w:right w:val="single" w:sz="8" w:space="0" w:color="595959" w:themeColor="accent3"/>
          <w:insideH w:val="nil"/>
          <w:insideV w:val="single" w:sz="8" w:space="0" w:color="5959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H w:val="nil"/>
          <w:insideV w:val="single" w:sz="8" w:space="0" w:color="5959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  <w:tblStylePr w:type="band1Vert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  <w:shd w:val="clear" w:color="auto" w:fill="D5D5D5" w:themeFill="accent3" w:themeFillTint="3F"/>
      </w:tcPr>
    </w:tblStylePr>
    <w:tblStylePr w:type="band1Horz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V w:val="single" w:sz="8" w:space="0" w:color="595959" w:themeColor="accent3"/>
        </w:tcBorders>
        <w:shd w:val="clear" w:color="auto" w:fill="D5D5D5" w:themeFill="accent3" w:themeFillTint="3F"/>
      </w:tcPr>
    </w:tblStylePr>
    <w:tblStylePr w:type="band2Horz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V w:val="single" w:sz="8" w:space="0" w:color="5959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  <w:tblStylePr w:type="band1Horz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AF4DEC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AF4DEC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AF4DEC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AF4DEC"/>
    <w:rPr>
      <w:color w:val="424242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bottom w:val="single" w:sz="8" w:space="0" w:color="5959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3"/>
          <w:left w:val="nil"/>
          <w:bottom w:val="single" w:sz="8" w:space="0" w:color="5959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3"/>
          <w:left w:val="nil"/>
          <w:bottom w:val="single" w:sz="8" w:space="0" w:color="5959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AF4DEC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AF4DEC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AF4DEC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AF4DEC"/>
  </w:style>
  <w:style w:type="paragraph" w:styleId="List">
    <w:name w:val="List"/>
    <w:basedOn w:val="Normal"/>
    <w:uiPriority w:val="98"/>
    <w:semiHidden/>
    <w:rsid w:val="00AF4DEC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AF4DEC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AF4DEC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AF4DEC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AF4DEC"/>
    <w:pPr>
      <w:ind w:left="1415" w:hanging="283"/>
      <w:contextualSpacing/>
    </w:pPr>
  </w:style>
  <w:style w:type="paragraph" w:styleId="ListBullet2">
    <w:name w:val="List Bullet 2"/>
    <w:basedOn w:val="Normal"/>
    <w:uiPriority w:val="98"/>
    <w:semiHidden/>
    <w:rsid w:val="00AF4DEC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8"/>
    <w:semiHidden/>
    <w:rsid w:val="00AF4DEC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8"/>
    <w:semiHidden/>
    <w:rsid w:val="00AF4DEC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8"/>
    <w:semiHidden/>
    <w:rsid w:val="00AF4DE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AF4DE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AF4DE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AF4DE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AF4DE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AF4DEC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8"/>
    <w:semiHidden/>
    <w:rsid w:val="00AF4DEC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8"/>
    <w:semiHidden/>
    <w:rsid w:val="00AF4DEC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8"/>
    <w:semiHidden/>
    <w:rsid w:val="00AF4DEC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8"/>
    <w:semiHidden/>
    <w:rsid w:val="00AF4DEC"/>
    <w:pPr>
      <w:numPr>
        <w:numId w:val="17"/>
      </w:numPr>
      <w:contextualSpacing/>
    </w:pPr>
  </w:style>
  <w:style w:type="paragraph" w:styleId="MacroText">
    <w:name w:val="macro"/>
    <w:link w:val="MacroTextChar"/>
    <w:uiPriority w:val="98"/>
    <w:semiHidden/>
    <w:rsid w:val="00AF4D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AF4DEC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828282" w:themeColor="accent3" w:themeTint="BF"/>
        <w:left w:val="single" w:sz="8" w:space="0" w:color="828282" w:themeColor="accent3" w:themeTint="BF"/>
        <w:bottom w:val="single" w:sz="8" w:space="0" w:color="828282" w:themeColor="accent3" w:themeTint="BF"/>
        <w:right w:val="single" w:sz="8" w:space="0" w:color="828282" w:themeColor="accent3" w:themeTint="BF"/>
        <w:insideH w:val="single" w:sz="8" w:space="0" w:color="828282" w:themeColor="accent3" w:themeTint="BF"/>
        <w:insideV w:val="single" w:sz="8" w:space="0" w:color="828282" w:themeColor="accent3" w:themeTint="BF"/>
      </w:tblBorders>
    </w:tblPr>
    <w:tcPr>
      <w:shd w:val="clear" w:color="auto" w:fill="D5D5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82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AC" w:themeFill="accent3" w:themeFillTint="7F"/>
      </w:tcPr>
    </w:tblStylePr>
    <w:tblStylePr w:type="band1Horz">
      <w:tblPr/>
      <w:tcPr>
        <w:shd w:val="clear" w:color="auto" w:fill="ACAC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AF4DE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AF4DE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AF4DE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AF4DE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  <w:insideH w:val="single" w:sz="8" w:space="0" w:color="595959" w:themeColor="accent3"/>
        <w:insideV w:val="single" w:sz="8" w:space="0" w:color="595959" w:themeColor="accent3"/>
      </w:tblBorders>
    </w:tblPr>
    <w:tcPr>
      <w:shd w:val="clear" w:color="auto" w:fill="D5D5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3" w:themeFillTint="33"/>
      </w:tcPr>
    </w:tblStylePr>
    <w:tblStylePr w:type="band1Vert">
      <w:tblPr/>
      <w:tcPr>
        <w:shd w:val="clear" w:color="auto" w:fill="ACACAC" w:themeFill="accent3" w:themeFillTint="7F"/>
      </w:tcPr>
    </w:tblStylePr>
    <w:tblStylePr w:type="band1Horz">
      <w:tblPr/>
      <w:tcPr>
        <w:tcBorders>
          <w:insideH w:val="single" w:sz="6" w:space="0" w:color="595959" w:themeColor="accent3"/>
          <w:insideV w:val="single" w:sz="6" w:space="0" w:color="595959" w:themeColor="accent3"/>
        </w:tcBorders>
        <w:shd w:val="clear" w:color="auto" w:fill="ACAC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AF4DE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AF4DE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AF4DE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59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59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C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C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AF4DE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AF4DE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AF4DE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AF4DE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bottom w:val="single" w:sz="8" w:space="0" w:color="5959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5959" w:themeColor="accent3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595959" w:themeColor="accent3"/>
          <w:bottom w:val="single" w:sz="8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5959" w:themeColor="accent3"/>
          <w:bottom w:val="single" w:sz="8" w:space="0" w:color="595959" w:themeColor="accent3"/>
        </w:tcBorders>
      </w:tcPr>
    </w:tblStylePr>
    <w:tblStylePr w:type="band1Vert">
      <w:tblPr/>
      <w:tcPr>
        <w:shd w:val="clear" w:color="auto" w:fill="D5D5D5" w:themeFill="accent3" w:themeFillTint="3F"/>
      </w:tcPr>
    </w:tblStylePr>
    <w:tblStylePr w:type="band1Horz">
      <w:tblPr/>
      <w:tcPr>
        <w:shd w:val="clear" w:color="auto" w:fill="D5D5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AF4DE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AF4DE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AF4DE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AF4DE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AF4DE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AF4DE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AF4DE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59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959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59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59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AF4DE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AF4DE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AF4DE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828282" w:themeColor="accent3" w:themeTint="BF"/>
        <w:left w:val="single" w:sz="8" w:space="0" w:color="828282" w:themeColor="accent3" w:themeTint="BF"/>
        <w:bottom w:val="single" w:sz="8" w:space="0" w:color="828282" w:themeColor="accent3" w:themeTint="BF"/>
        <w:right w:val="single" w:sz="8" w:space="0" w:color="828282" w:themeColor="accent3" w:themeTint="BF"/>
        <w:insideH w:val="single" w:sz="8" w:space="0" w:color="8282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282" w:themeColor="accent3" w:themeTint="BF"/>
          <w:left w:val="single" w:sz="8" w:space="0" w:color="828282" w:themeColor="accent3" w:themeTint="BF"/>
          <w:bottom w:val="single" w:sz="8" w:space="0" w:color="828282" w:themeColor="accent3" w:themeTint="BF"/>
          <w:right w:val="single" w:sz="8" w:space="0" w:color="828282" w:themeColor="accent3" w:themeTint="BF"/>
          <w:insideH w:val="nil"/>
          <w:insideV w:val="nil"/>
        </w:tcBorders>
        <w:shd w:val="clear" w:color="auto" w:fill="5959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282" w:themeColor="accent3" w:themeTint="BF"/>
          <w:left w:val="single" w:sz="8" w:space="0" w:color="828282" w:themeColor="accent3" w:themeTint="BF"/>
          <w:bottom w:val="single" w:sz="8" w:space="0" w:color="828282" w:themeColor="accent3" w:themeTint="BF"/>
          <w:right w:val="single" w:sz="8" w:space="0" w:color="8282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59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AF4DE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AF4D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AF4DEC"/>
    <w:rPr>
      <w:rFonts w:asciiTheme="majorHAnsi" w:eastAsiaTheme="majorEastAsia" w:hAnsiTheme="majorHAnsi" w:cstheme="majorBidi"/>
      <w:sz w:val="24"/>
      <w:szCs w:val="24"/>
      <w:shd w:val="pct20" w:color="auto" w:fill="auto"/>
      <w:lang w:val="bg-BG"/>
    </w:rPr>
  </w:style>
  <w:style w:type="paragraph" w:styleId="NormalWeb">
    <w:name w:val="Normal (Web)"/>
    <w:basedOn w:val="Normal"/>
    <w:uiPriority w:val="98"/>
    <w:semiHidden/>
    <w:rsid w:val="00AF4DEC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AF4DE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8"/>
    <w:semiHidden/>
    <w:rsid w:val="00AF4DEC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AF4DEC"/>
    <w:rPr>
      <w:sz w:val="24"/>
      <w:szCs w:val="24"/>
      <w:lang w:val="bg-BG"/>
    </w:rPr>
  </w:style>
  <w:style w:type="character" w:styleId="PlaceholderText">
    <w:name w:val="Placeholder Text"/>
    <w:basedOn w:val="DefaultParagraphFont"/>
    <w:uiPriority w:val="98"/>
    <w:semiHidden/>
    <w:rsid w:val="00AF4DEC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AF4DE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AF4DEC"/>
    <w:rPr>
      <w:rFonts w:ascii="Consolas" w:hAnsi="Consolas" w:cs="Consolas"/>
      <w:sz w:val="21"/>
      <w:szCs w:val="21"/>
      <w:lang w:val="bg-BG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AF4DEC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AF4DEC"/>
    <w:rPr>
      <w:sz w:val="24"/>
      <w:szCs w:val="24"/>
      <w:lang w:val="bg-BG"/>
    </w:rPr>
  </w:style>
  <w:style w:type="paragraph" w:styleId="Signature">
    <w:name w:val="Signature"/>
    <w:basedOn w:val="Normal"/>
    <w:link w:val="SignatureChar"/>
    <w:uiPriority w:val="98"/>
    <w:semiHidden/>
    <w:rsid w:val="00AF4DE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AF4DEC"/>
    <w:rPr>
      <w:sz w:val="24"/>
      <w:szCs w:val="24"/>
      <w:lang w:val="bg-BG"/>
    </w:rPr>
  </w:style>
  <w:style w:type="table" w:styleId="Table3Deffects1">
    <w:name w:val="Table 3D effects 1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F4DEC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F4DEC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F4DEC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F4DEC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F4DEC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F4DEC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AF4DEC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AF4DEC"/>
  </w:style>
  <w:style w:type="table" w:styleId="TableProfessional">
    <w:name w:val="Table Professional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F4DEC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8"/>
    <w:semiHidden/>
    <w:rsid w:val="00AF4DEC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AF4DEC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AF4DE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AF4DEC"/>
    <w:pPr>
      <w:spacing w:after="100"/>
      <w:ind w:left="1920"/>
    </w:pPr>
  </w:style>
  <w:style w:type="paragraph" w:customStyle="1" w:styleId="ECHRFooter">
    <w:name w:val="ECHR_Footer"/>
    <w:aliases w:val="Footer_ECHR"/>
    <w:basedOn w:val="Footer0"/>
    <w:uiPriority w:val="57"/>
    <w:semiHidden/>
    <w:rsid w:val="0064393B"/>
    <w:rPr>
      <w:sz w:val="8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semiHidden/>
    <w:rsid w:val="00AF4DEC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AF4DEC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AF4DEC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ECHRHeaderLandscape">
    <w:name w:val="ECHR_Header_Landscape"/>
    <w:aliases w:val="_Header_Landscape"/>
    <w:basedOn w:val="JuHeader"/>
    <w:uiPriority w:val="29"/>
    <w:semiHidden/>
    <w:rsid w:val="00AF4DEC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AF4DEC"/>
    <w:pPr>
      <w:numPr>
        <w:numId w:val="18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semiHidden/>
    <w:rsid w:val="00AF4DEC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AF4DEC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AF4DEC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AF4DEC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AF4DEC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AF4DEC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AF4DEC"/>
    <w:rPr>
      <w:rFonts w:ascii="Arial" w:hAnsi="Arial"/>
      <w:i/>
      <w:color w:val="002856"/>
      <w:sz w:val="32"/>
      <w:szCs w:val="24"/>
      <w:lang w:val="bg-BG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semiHidden/>
    <w:rsid w:val="00AF4DEC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24242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AF4DEC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semiHidden/>
    <w:qFormat/>
    <w:rsid w:val="00AF4DEC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semiHidden/>
    <w:rsid w:val="00AF4DEC"/>
    <w:pPr>
      <w:keepNext/>
      <w:keepLines/>
      <w:numPr>
        <w:ilvl w:val="8"/>
        <w:numId w:val="20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AF4DEC"/>
    <w:pPr>
      <w:pBdr>
        <w:bottom w:val="single" w:sz="12" w:space="1" w:color="838383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Justified"/>
    <w:uiPriority w:val="23"/>
    <w:semiHidden/>
    <w:qFormat/>
    <w:rsid w:val="00AF4DEC"/>
    <w:pPr>
      <w:numPr>
        <w:numId w:val="19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AF4DEC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AF4DEC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Justified"/>
    <w:uiPriority w:val="8"/>
    <w:semiHidden/>
    <w:qFormat/>
    <w:rsid w:val="00AF4DEC"/>
    <w:pPr>
      <w:ind w:left="567" w:hanging="567"/>
    </w:pPr>
  </w:style>
  <w:style w:type="paragraph" w:customStyle="1" w:styleId="ECHRParaIndent">
    <w:name w:val="ECHR_Para_Indent"/>
    <w:aliases w:val="_Indent"/>
    <w:basedOn w:val="NormalJustified"/>
    <w:uiPriority w:val="7"/>
    <w:semiHidden/>
    <w:qFormat/>
    <w:rsid w:val="00AF4DEC"/>
    <w:pPr>
      <w:spacing w:before="120" w:after="120"/>
      <w:ind w:left="284"/>
    </w:p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AF4DEC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AF4DEC"/>
    <w:pPr>
      <w:numPr>
        <w:numId w:val="0"/>
      </w:numPr>
      <w:ind w:left="284"/>
    </w:pPr>
  </w:style>
  <w:style w:type="table" w:customStyle="1" w:styleId="ECHRTable2">
    <w:name w:val="ECHR_Table_2"/>
    <w:basedOn w:val="TableNormal"/>
    <w:uiPriority w:val="99"/>
    <w:rsid w:val="00AF4DEC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AF4DEC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95959" w:themeColor="accent3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  <w:insideH w:val="single" w:sz="4" w:space="0" w:color="595959" w:themeColor="accent3"/>
        <w:insideV w:val="single" w:sz="4" w:space="0" w:color="595959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single" w:sz="4" w:space="0" w:color="595959" w:themeColor="accent3"/>
          <w:insideV w:val="single" w:sz="4" w:space="0" w:color="F8F8F8" w:themeColor="background2"/>
          <w:tl2br w:val="nil"/>
          <w:tr2bl w:val="nil"/>
        </w:tcBorders>
        <w:shd w:val="clear" w:color="auto" w:fill="595959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95959" w:themeColor="accent3"/>
          <w:left w:val="single" w:sz="4" w:space="0" w:color="595959" w:themeColor="accent3"/>
          <w:bottom w:val="single" w:sz="8" w:space="0" w:color="595959" w:themeColor="accent3"/>
          <w:right w:val="single" w:sz="4" w:space="0" w:color="595959" w:themeColor="accent3"/>
          <w:insideH w:val="nil"/>
          <w:insideV w:val="single" w:sz="4" w:space="0" w:color="595959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DFDFDF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DFDFDF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DFDFDF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AF4DEC"/>
    <w:pPr>
      <w:keepNext/>
      <w:keepLines/>
      <w:spacing w:before="240"/>
      <w:contextualSpacing/>
    </w:pPr>
    <w:rPr>
      <w:rFonts w:asciiTheme="majorHAnsi" w:hAnsiTheme="majorHAnsi"/>
      <w:b/>
      <w:color w:val="2C2C2C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AF4DEC"/>
    <w:pPr>
      <w:keepNext/>
      <w:keepLines/>
      <w:spacing w:before="240"/>
      <w:contextualSpacing/>
    </w:pPr>
    <w:rPr>
      <w:rFonts w:asciiTheme="majorHAnsi" w:hAnsiTheme="majorHAnsi"/>
      <w:b/>
      <w:color w:val="424242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AF4DEC"/>
    <w:pPr>
      <w:keepNext/>
      <w:keepLines/>
      <w:spacing w:before="240"/>
      <w:contextualSpacing/>
    </w:pPr>
    <w:rPr>
      <w:rFonts w:asciiTheme="majorHAnsi" w:hAnsiTheme="majorHAnsi"/>
      <w:b/>
      <w:color w:val="424242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AF4DEC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C2C2C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AF4DEC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24242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AF4DEC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24242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AF4DEC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AF4DEC"/>
    <w:pPr>
      <w:outlineLvl w:val="0"/>
    </w:pPr>
  </w:style>
  <w:style w:type="paragraph" w:customStyle="1" w:styleId="ECHRPlaceholder">
    <w:name w:val="ECHR_Placeholder"/>
    <w:aliases w:val="_Placeholder"/>
    <w:basedOn w:val="JuSigned"/>
    <w:uiPriority w:val="31"/>
    <w:rsid w:val="00AF4DEC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semiHidden/>
    <w:rsid w:val="00AF4DEC"/>
    <w:rPr>
      <w:sz w:val="4"/>
    </w:rPr>
  </w:style>
  <w:style w:type="table" w:customStyle="1" w:styleId="ECHRTableGrey">
    <w:name w:val="ECHR_Table_Grey"/>
    <w:basedOn w:val="TableNormal"/>
    <w:uiPriority w:val="99"/>
    <w:rsid w:val="00AF4DEC"/>
    <w:pPr>
      <w:tabs>
        <w:tab w:val="left" w:pos="397"/>
      </w:tabs>
    </w:pPr>
    <w:tblPr>
      <w:jc w:val="center"/>
      <w:tblBorders>
        <w:top w:val="single" w:sz="4" w:space="0" w:color="585858" w:themeColor="text2" w:themeShade="80"/>
        <w:left w:val="single" w:sz="4" w:space="0" w:color="585858" w:themeColor="text2" w:themeShade="80"/>
        <w:bottom w:val="single" w:sz="4" w:space="0" w:color="585858" w:themeColor="text2" w:themeShade="80"/>
        <w:right w:val="single" w:sz="4" w:space="0" w:color="585858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4DEC"/>
    <w:rPr>
      <w:color w:val="605E5C"/>
      <w:shd w:val="clear" w:color="auto" w:fill="E1DFDD"/>
    </w:rPr>
  </w:style>
  <w:style w:type="character" w:customStyle="1" w:styleId="JuParaChar">
    <w:name w:val="Ju_Para Char"/>
    <w:aliases w:val="_Para Char"/>
    <w:link w:val="JuPara"/>
    <w:uiPriority w:val="4"/>
    <w:rsid w:val="00BC3E1E"/>
    <w:rPr>
      <w:sz w:val="24"/>
      <w:szCs w:val="24"/>
      <w:lang w:val="bg-BG"/>
    </w:rPr>
  </w:style>
  <w:style w:type="table" w:styleId="GridTable1Light">
    <w:name w:val="Grid Table 1 Light"/>
    <w:basedOn w:val="TableNormal"/>
    <w:uiPriority w:val="46"/>
    <w:semiHidden/>
    <w:rsid w:val="006D374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6D374C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6D374C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6D374C"/>
    <w:tblPr>
      <w:tblStyleRowBandSize w:val="1"/>
      <w:tblStyleColBandSize w:val="1"/>
      <w:tblBorders>
        <w:top w:val="single" w:sz="4" w:space="0" w:color="BCBCBC" w:themeColor="accent3" w:themeTint="66"/>
        <w:left w:val="single" w:sz="4" w:space="0" w:color="BCBCBC" w:themeColor="accent3" w:themeTint="66"/>
        <w:bottom w:val="single" w:sz="4" w:space="0" w:color="BCBCBC" w:themeColor="accent3" w:themeTint="66"/>
        <w:right w:val="single" w:sz="4" w:space="0" w:color="BCBCBC" w:themeColor="accent3" w:themeTint="66"/>
        <w:insideH w:val="single" w:sz="4" w:space="0" w:color="BCBCBC" w:themeColor="accent3" w:themeTint="66"/>
        <w:insideV w:val="single" w:sz="4" w:space="0" w:color="BCBC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B9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6D374C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6D374C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6D374C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6D374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6D374C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6D374C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6D374C"/>
    <w:tblPr>
      <w:tblStyleRowBandSize w:val="1"/>
      <w:tblStyleColBandSize w:val="1"/>
      <w:tblBorders>
        <w:top w:val="single" w:sz="2" w:space="0" w:color="9B9B9B" w:themeColor="accent3" w:themeTint="99"/>
        <w:bottom w:val="single" w:sz="2" w:space="0" w:color="9B9B9B" w:themeColor="accent3" w:themeTint="99"/>
        <w:insideH w:val="single" w:sz="2" w:space="0" w:color="9B9B9B" w:themeColor="accent3" w:themeTint="99"/>
        <w:insideV w:val="single" w:sz="2" w:space="0" w:color="9B9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9B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9B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6D374C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6D374C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6D374C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6D374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6D374C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6D374C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6D374C"/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  <w:tblStylePr w:type="neCell">
      <w:tblPr/>
      <w:tcPr>
        <w:tcBorders>
          <w:bottom w:val="single" w:sz="4" w:space="0" w:color="9B9B9B" w:themeColor="accent3" w:themeTint="99"/>
        </w:tcBorders>
      </w:tcPr>
    </w:tblStylePr>
    <w:tblStylePr w:type="nwCell">
      <w:tblPr/>
      <w:tcPr>
        <w:tcBorders>
          <w:bottom w:val="single" w:sz="4" w:space="0" w:color="9B9B9B" w:themeColor="accent3" w:themeTint="99"/>
        </w:tcBorders>
      </w:tcPr>
    </w:tblStylePr>
    <w:tblStylePr w:type="seCell">
      <w:tblPr/>
      <w:tcPr>
        <w:tcBorders>
          <w:top w:val="single" w:sz="4" w:space="0" w:color="9B9B9B" w:themeColor="accent3" w:themeTint="99"/>
        </w:tcBorders>
      </w:tcPr>
    </w:tblStylePr>
    <w:tblStylePr w:type="swCell">
      <w:tblPr/>
      <w:tcPr>
        <w:tcBorders>
          <w:top w:val="single" w:sz="4" w:space="0" w:color="9B9B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6D374C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6D374C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6D374C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6D374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6D374C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6D374C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6D374C"/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</w:tcBorders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6D374C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6D374C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6D374C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6D374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6D374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6D374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6D374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59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5959" w:themeFill="accent3"/>
      </w:tcPr>
    </w:tblStylePr>
    <w:tblStylePr w:type="band1Vert">
      <w:tblPr/>
      <w:tcPr>
        <w:shd w:val="clear" w:color="auto" w:fill="BCBCBC" w:themeFill="accent3" w:themeFillTint="66"/>
      </w:tcPr>
    </w:tblStylePr>
    <w:tblStylePr w:type="band1Horz">
      <w:tblPr/>
      <w:tcPr>
        <w:shd w:val="clear" w:color="auto" w:fill="BCBC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6D374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6D374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6D374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6D374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6D374C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6D374C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6D374C"/>
    <w:rPr>
      <w:color w:val="424242" w:themeColor="accent3" w:themeShade="BF"/>
    </w:rPr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B9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6D374C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6D374C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6D374C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6D374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6D374C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6D374C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6D374C"/>
    <w:rPr>
      <w:color w:val="424242" w:themeColor="accent3" w:themeShade="BF"/>
    </w:rPr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  <w:tblStylePr w:type="neCell">
      <w:tblPr/>
      <w:tcPr>
        <w:tcBorders>
          <w:bottom w:val="single" w:sz="4" w:space="0" w:color="9B9B9B" w:themeColor="accent3" w:themeTint="99"/>
        </w:tcBorders>
      </w:tcPr>
    </w:tblStylePr>
    <w:tblStylePr w:type="nwCell">
      <w:tblPr/>
      <w:tcPr>
        <w:tcBorders>
          <w:bottom w:val="single" w:sz="4" w:space="0" w:color="9B9B9B" w:themeColor="accent3" w:themeTint="99"/>
        </w:tcBorders>
      </w:tcPr>
    </w:tblStylePr>
    <w:tblStylePr w:type="seCell">
      <w:tblPr/>
      <w:tcPr>
        <w:tcBorders>
          <w:top w:val="single" w:sz="4" w:space="0" w:color="9B9B9B" w:themeColor="accent3" w:themeTint="99"/>
        </w:tcBorders>
      </w:tcPr>
    </w:tblStylePr>
    <w:tblStylePr w:type="swCell">
      <w:tblPr/>
      <w:tcPr>
        <w:tcBorders>
          <w:top w:val="single" w:sz="4" w:space="0" w:color="9B9B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6D374C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6D374C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6D374C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6D374C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46"/>
    <w:semiHidden/>
    <w:rsid w:val="006D37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6D37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6D37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6D37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9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6D37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6D37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6D37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6D374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6D374C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6D374C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6D374C"/>
    <w:tblPr>
      <w:tblStyleRowBandSize w:val="1"/>
      <w:tblStyleColBandSize w:val="1"/>
      <w:tblBorders>
        <w:top w:val="single" w:sz="4" w:space="0" w:color="9B9B9B" w:themeColor="accent3" w:themeTint="99"/>
        <w:bottom w:val="single" w:sz="4" w:space="0" w:color="9B9B9B" w:themeColor="accent3" w:themeTint="99"/>
        <w:insideH w:val="single" w:sz="4" w:space="0" w:color="9B9B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6D374C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6D374C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6D374C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6D374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6D374C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6D374C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6D374C"/>
    <w:tblPr>
      <w:tblStyleRowBandSize w:val="1"/>
      <w:tblStyleColBandSize w:val="1"/>
      <w:tblBorders>
        <w:top w:val="single" w:sz="4" w:space="0" w:color="595959" w:themeColor="accent3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5959" w:themeColor="accent3"/>
          <w:right w:val="single" w:sz="4" w:space="0" w:color="595959" w:themeColor="accent3"/>
        </w:tcBorders>
      </w:tcPr>
    </w:tblStylePr>
    <w:tblStylePr w:type="band1Horz">
      <w:tblPr/>
      <w:tcPr>
        <w:tcBorders>
          <w:top w:val="single" w:sz="4" w:space="0" w:color="595959" w:themeColor="accent3"/>
          <w:bottom w:val="single" w:sz="4" w:space="0" w:color="5959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5959" w:themeColor="accent3"/>
          <w:left w:val="nil"/>
        </w:tcBorders>
      </w:tcPr>
    </w:tblStylePr>
    <w:tblStylePr w:type="swCell">
      <w:tblPr/>
      <w:tcPr>
        <w:tcBorders>
          <w:top w:val="double" w:sz="4" w:space="0" w:color="5959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6D374C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6D374C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6D374C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6D374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6D374C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6D374C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6D374C"/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</w:tcBorders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6D374C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6D374C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6D374C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6D374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6D374C"/>
    <w:rPr>
      <w:color w:val="FFFFFF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6D374C"/>
    <w:rPr>
      <w:color w:val="FFFFFF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6D374C"/>
    <w:rPr>
      <w:color w:val="FFFFFF" w:themeColor="background1"/>
    </w:rPr>
    <w:tblPr>
      <w:tblStyleRowBandSize w:val="1"/>
      <w:tblStyleColBandSize w:val="1"/>
      <w:tblBorders>
        <w:top w:val="single" w:sz="24" w:space="0" w:color="595959" w:themeColor="accent3"/>
        <w:left w:val="single" w:sz="24" w:space="0" w:color="595959" w:themeColor="accent3"/>
        <w:bottom w:val="single" w:sz="24" w:space="0" w:color="595959" w:themeColor="accent3"/>
        <w:right w:val="single" w:sz="24" w:space="0" w:color="595959" w:themeColor="accent3"/>
      </w:tblBorders>
    </w:tblPr>
    <w:tcPr>
      <w:shd w:val="clear" w:color="auto" w:fill="5959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6D374C"/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6D374C"/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6D374C"/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6D374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6D374C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6D374C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6D374C"/>
    <w:rPr>
      <w:color w:val="424242" w:themeColor="accent3" w:themeShade="BF"/>
    </w:rPr>
    <w:tblPr>
      <w:tblStyleRowBandSize w:val="1"/>
      <w:tblStyleColBandSize w:val="1"/>
      <w:tblBorders>
        <w:top w:val="single" w:sz="4" w:space="0" w:color="595959" w:themeColor="accent3"/>
        <w:bottom w:val="single" w:sz="4" w:space="0" w:color="5959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959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6D374C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6D374C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6D374C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6D374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6D374C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6D374C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6D374C"/>
    <w:rPr>
      <w:color w:val="42424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59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59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59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59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6D374C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6D374C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6D374C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6D374C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semiHidden/>
    <w:rsid w:val="006D374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6D374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6D374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6D374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6D374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DefaultParagraphFont"/>
    <w:uiPriority w:val="99"/>
    <w:semiHidden/>
    <w:unhideWhenUsed/>
    <w:rsid w:val="006D374C"/>
    <w:rPr>
      <w:u w:val="dotted"/>
    </w:rPr>
  </w:style>
  <w:style w:type="character" w:customStyle="1" w:styleId="SmartLink">
    <w:name w:val="Smart Link"/>
    <w:basedOn w:val="DefaultParagraphFont"/>
    <w:uiPriority w:val="99"/>
    <w:semiHidden/>
    <w:unhideWhenUsed/>
    <w:rsid w:val="006D374C"/>
    <w:rPr>
      <w:color w:val="0000FF"/>
      <w:u w:val="single"/>
      <w:shd w:val="clear" w:color="auto" w:fill="F3F2F1"/>
    </w:rPr>
  </w:style>
  <w:style w:type="table" w:styleId="TableGridLight">
    <w:name w:val="Grid Table Light"/>
    <w:basedOn w:val="TableNormal"/>
    <w:uiPriority w:val="40"/>
    <w:semiHidden/>
    <w:rsid w:val="006D374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_New">
      <a:dk1>
        <a:sysClr val="windowText" lastClr="000000"/>
      </a:dk1>
      <a:lt1>
        <a:srgbClr val="FFFFFF"/>
      </a:lt1>
      <a:dk2>
        <a:srgbClr val="B0B0B0"/>
      </a:dk2>
      <a:lt2>
        <a:srgbClr val="F8F8F8"/>
      </a:lt2>
      <a:accent1>
        <a:srgbClr val="0072BC"/>
      </a:accent1>
      <a:accent2>
        <a:srgbClr val="C00000"/>
      </a:accent2>
      <a:accent3>
        <a:srgbClr val="595959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BBDB-3B56-4DE2-95D1-9EAA0D7F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2392</Words>
  <Characters>13636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ECHR</vt:lpstr>
      <vt:lpstr>ECHR</vt:lpstr>
    </vt:vector>
  </TitlesOfParts>
  <Company/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JUD</dc:subject>
  <dc:creator/>
  <cp:lastModifiedBy/>
  <cp:revision>1</cp:revision>
  <dcterms:created xsi:type="dcterms:W3CDTF">2025-09-17T14:28:00Z</dcterms:created>
  <dcterms:modified xsi:type="dcterms:W3CDTF">2025-09-17T14:28:00Z</dcterms:modified>
  <cp:category>ECHR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SEID">
    <vt:lpwstr>1507486</vt:lpwstr>
  </property>
  <property fmtid="{D5CDD505-2E9C-101B-9397-08002B2CF9AE}" pid="3" name="cstLanguage">
    <vt:i4>2057</vt:i4>
  </property>
  <property fmtid="{D5CDD505-2E9C-101B-9397-08002B2CF9AE}" pid="4" name="RegisteredNo">
    <vt:lpwstr>4173/20</vt:lpwstr>
  </property>
</Properties>
</file>