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02524" w14:textId="77777777" w:rsidR="007A4070" w:rsidRPr="00537C79" w:rsidRDefault="007A4070" w:rsidP="00377F8E">
      <w:bookmarkStart w:id="0" w:name="_GoBack"/>
      <w:bookmarkEnd w:id="0"/>
    </w:p>
    <w:p w14:paraId="5EDDC977" w14:textId="77777777" w:rsidR="007A4070" w:rsidRPr="00B81079" w:rsidRDefault="002C0148" w:rsidP="00377F8E">
      <w:pPr>
        <w:pStyle w:val="DecHTitle"/>
        <w:keepNext w:val="0"/>
        <w:keepLines w:val="0"/>
      </w:pPr>
      <w:r w:rsidRPr="00B81079">
        <w:t>ТРЕТО ОТДЕЛЕНИЕ</w:t>
      </w:r>
    </w:p>
    <w:p w14:paraId="7D86CFF0" w14:textId="77777777" w:rsidR="007A4070" w:rsidRPr="00B81079" w:rsidRDefault="002C0148" w:rsidP="00377F8E">
      <w:pPr>
        <w:pStyle w:val="JuTitle"/>
        <w:keepNext w:val="0"/>
        <w:keepLines w:val="0"/>
      </w:pPr>
      <w:r w:rsidRPr="00B81079">
        <w:t>ДЕЛО ЙОНЧЕВА СРЕЩУ БЪЛГАРИЯ</w:t>
      </w:r>
    </w:p>
    <w:p w14:paraId="37E4381A" w14:textId="77777777" w:rsidR="007A4070" w:rsidRPr="00B81079" w:rsidRDefault="002C0148" w:rsidP="00377F8E">
      <w:pPr>
        <w:pStyle w:val="ECHRCoverTitle4"/>
        <w:keepNext w:val="0"/>
        <w:keepLines w:val="0"/>
      </w:pPr>
      <w:r w:rsidRPr="00B81079">
        <w:t>(Жалба № 39127/19)</w:t>
      </w:r>
    </w:p>
    <w:p w14:paraId="4949187C" w14:textId="77777777" w:rsidR="007A4070" w:rsidRPr="00B81079" w:rsidRDefault="007A4070" w:rsidP="00377F8E">
      <w:pPr>
        <w:pStyle w:val="DecHCase"/>
        <w:keepNext w:val="0"/>
        <w:keepLines w:val="0"/>
      </w:pPr>
    </w:p>
    <w:p w14:paraId="143D1B20" w14:textId="77777777" w:rsidR="007A4070" w:rsidRPr="00B81079" w:rsidRDefault="007A4070" w:rsidP="00377F8E">
      <w:pPr>
        <w:pStyle w:val="DecHCase"/>
        <w:keepNext w:val="0"/>
        <w:keepLines w:val="0"/>
      </w:pPr>
    </w:p>
    <w:p w14:paraId="07465872" w14:textId="77777777" w:rsidR="007A4070" w:rsidRPr="00B81079" w:rsidRDefault="007A4070" w:rsidP="00377F8E">
      <w:pPr>
        <w:pStyle w:val="DecHCase"/>
        <w:keepNext w:val="0"/>
        <w:keepLines w:val="0"/>
      </w:pPr>
    </w:p>
    <w:p w14:paraId="30BBBB45" w14:textId="77777777" w:rsidR="007A4070" w:rsidRPr="00B81079" w:rsidRDefault="002C0148" w:rsidP="00377F8E">
      <w:pPr>
        <w:pStyle w:val="DecHCase"/>
        <w:keepNext w:val="0"/>
        <w:keepLines w:val="0"/>
      </w:pPr>
      <w:r w:rsidRPr="00B81079">
        <w:t>РЕШЕНИЕ</w:t>
      </w:r>
    </w:p>
    <w:p w14:paraId="2D0C2633" w14:textId="7A145201" w:rsidR="00A10B43" w:rsidRPr="00B81079" w:rsidRDefault="002C0148" w:rsidP="00377F8E">
      <w:pPr>
        <w:pBdr>
          <w:top w:val="single" w:sz="4" w:space="1" w:color="auto"/>
          <w:left w:val="single" w:sz="4" w:space="4" w:color="auto"/>
          <w:bottom w:val="single" w:sz="4" w:space="1" w:color="auto"/>
          <w:right w:val="single" w:sz="4" w:space="4" w:color="auto"/>
        </w:pBdr>
        <w:jc w:val="both"/>
      </w:pPr>
      <w:r w:rsidRPr="00B81079">
        <w:t>Член 6 § 2 • Презумпция за невин</w:t>
      </w:r>
      <w:r w:rsidR="00A15D75" w:rsidRPr="00B81079">
        <w:t>ов</w:t>
      </w:r>
      <w:r w:rsidRPr="00B81079">
        <w:t xml:space="preserve">ност • Публикуване от прокуратурата на </w:t>
      </w:r>
      <w:proofErr w:type="spellStart"/>
      <w:r w:rsidRPr="00B81079">
        <w:t>прессъобщение</w:t>
      </w:r>
      <w:proofErr w:type="spellEnd"/>
      <w:r w:rsidRPr="00B81079">
        <w:t xml:space="preserve"> </w:t>
      </w:r>
      <w:r w:rsidR="00A15D75" w:rsidRPr="00B81079">
        <w:t xml:space="preserve">относно </w:t>
      </w:r>
      <w:proofErr w:type="spellStart"/>
      <w:r w:rsidRPr="00B81079">
        <w:t>жалбоподателката</w:t>
      </w:r>
      <w:proofErr w:type="spellEnd"/>
      <w:r w:rsidRPr="00B81079">
        <w:t>,</w:t>
      </w:r>
      <w:r w:rsidR="00A15D75" w:rsidRPr="00B81079">
        <w:t xml:space="preserve"> по това време обект на</w:t>
      </w:r>
      <w:r w:rsidRPr="00B81079">
        <w:t xml:space="preserve"> разследван</w:t>
      </w:r>
      <w:r w:rsidR="00A15D75" w:rsidRPr="00B81079">
        <w:t>е</w:t>
      </w:r>
      <w:r w:rsidRPr="00B81079">
        <w:t xml:space="preserve">, </w:t>
      </w:r>
      <w:r w:rsidR="00A15D75" w:rsidRPr="00B81079">
        <w:t xml:space="preserve">което </w:t>
      </w:r>
      <w:r w:rsidRPr="00B81079">
        <w:t xml:space="preserve">изразява идеята, че тя съзнателно е участвала в широкомащабна операция за пране на пари • Широко разпространение от медиите и </w:t>
      </w:r>
      <w:r w:rsidR="008369B3">
        <w:t xml:space="preserve">печатната </w:t>
      </w:r>
      <w:r w:rsidRPr="00B81079">
        <w:t xml:space="preserve">преса, изострящо вредните последици от </w:t>
      </w:r>
      <w:r w:rsidR="00A15D75" w:rsidRPr="00B81079">
        <w:t>нарушаването на</w:t>
      </w:r>
      <w:r w:rsidRPr="00B81079">
        <w:t xml:space="preserve"> правото й да бъде считана за невин</w:t>
      </w:r>
      <w:r w:rsidR="00A15D75" w:rsidRPr="00B81079">
        <w:t>ов</w:t>
      </w:r>
      <w:r w:rsidRPr="00B81079">
        <w:t xml:space="preserve">на, поради </w:t>
      </w:r>
      <w:r w:rsidR="00A15D75" w:rsidRPr="00B81079">
        <w:t xml:space="preserve">репутацията </w:t>
      </w:r>
      <w:r w:rsidRPr="00B81079">
        <w:t>й като журналист и политик</w:t>
      </w:r>
    </w:p>
    <w:p w14:paraId="46224E17" w14:textId="77777777" w:rsidR="00A10B43" w:rsidRPr="00B81079" w:rsidRDefault="002C0148" w:rsidP="00377F8E">
      <w:pPr>
        <w:pBdr>
          <w:top w:val="single" w:sz="4" w:space="1" w:color="auto"/>
          <w:left w:val="single" w:sz="4" w:space="4" w:color="auto"/>
          <w:bottom w:val="single" w:sz="4" w:space="1" w:color="auto"/>
          <w:right w:val="single" w:sz="4" w:space="4" w:color="auto"/>
        </w:pBdr>
        <w:jc w:val="both"/>
      </w:pPr>
      <w:r w:rsidRPr="00B81079">
        <w:t>Чл. 13 (Чл. 6 § 2) • Липса на ефективно средство за защита</w:t>
      </w:r>
    </w:p>
    <w:p w14:paraId="2D1AA0D9" w14:textId="77777777" w:rsidR="00A10B43" w:rsidRPr="00B81079" w:rsidRDefault="00A10B43" w:rsidP="00377F8E">
      <w:pPr>
        <w:pBdr>
          <w:top w:val="single" w:sz="4" w:space="1" w:color="auto"/>
          <w:left w:val="single" w:sz="4" w:space="4" w:color="auto"/>
          <w:bottom w:val="single" w:sz="4" w:space="1" w:color="auto"/>
          <w:right w:val="single" w:sz="4" w:space="4" w:color="auto"/>
        </w:pBdr>
        <w:jc w:val="center"/>
        <w:rPr>
          <w:sz w:val="20"/>
          <w:szCs w:val="20"/>
        </w:rPr>
      </w:pPr>
    </w:p>
    <w:p w14:paraId="71996C29" w14:textId="55706A6D" w:rsidR="00A10B43" w:rsidRPr="00B81079" w:rsidRDefault="00293DC9" w:rsidP="00377F8E">
      <w:pPr>
        <w:pBdr>
          <w:top w:val="single" w:sz="4" w:space="1" w:color="auto"/>
          <w:left w:val="single" w:sz="4" w:space="4" w:color="auto"/>
          <w:bottom w:val="single" w:sz="4" w:space="1" w:color="auto"/>
          <w:right w:val="single" w:sz="4" w:space="4" w:color="auto"/>
        </w:pBdr>
        <w:jc w:val="center"/>
        <w:rPr>
          <w:sz w:val="20"/>
          <w:szCs w:val="20"/>
        </w:rPr>
      </w:pPr>
      <w:r w:rsidRPr="00B81079">
        <w:rPr>
          <w:sz w:val="20"/>
        </w:rPr>
        <w:t>Подготвен от Секретариата</w:t>
      </w:r>
      <w:r w:rsidR="002C0148" w:rsidRPr="00B81079">
        <w:rPr>
          <w:sz w:val="20"/>
        </w:rPr>
        <w:t>. Не обвързва Съда.</w:t>
      </w:r>
    </w:p>
    <w:p w14:paraId="25D75E1A" w14:textId="77777777" w:rsidR="00A10B43" w:rsidRPr="00B81079" w:rsidRDefault="00A10B43" w:rsidP="00377F8E">
      <w:pPr>
        <w:pStyle w:val="DecHCase"/>
        <w:keepNext w:val="0"/>
        <w:keepLines w:val="0"/>
      </w:pPr>
    </w:p>
    <w:p w14:paraId="5241D300" w14:textId="77777777" w:rsidR="007A4070" w:rsidRPr="00B81079" w:rsidRDefault="002C0148" w:rsidP="00377F8E">
      <w:pPr>
        <w:pStyle w:val="DecHCase"/>
        <w:keepNext w:val="0"/>
        <w:keepLines w:val="0"/>
      </w:pPr>
      <w:r w:rsidRPr="00B81079">
        <w:t>СТРАСБУРГ</w:t>
      </w:r>
    </w:p>
    <w:p w14:paraId="424892BF" w14:textId="77777777" w:rsidR="00FD340A" w:rsidRPr="00B81079" w:rsidRDefault="002C0148" w:rsidP="00377F8E">
      <w:pPr>
        <w:pStyle w:val="DecHCase"/>
        <w:keepNext w:val="0"/>
        <w:keepLines w:val="0"/>
      </w:pPr>
      <w:r w:rsidRPr="00B81079">
        <w:t>07 януари 2025 г.</w:t>
      </w:r>
    </w:p>
    <w:p w14:paraId="75328ADE" w14:textId="77777777" w:rsidR="007A4070" w:rsidRPr="00B81079" w:rsidRDefault="007A4070" w:rsidP="00377F8E">
      <w:pPr>
        <w:pStyle w:val="DecHCase"/>
        <w:keepNext w:val="0"/>
        <w:keepLines w:val="0"/>
      </w:pPr>
    </w:p>
    <w:p w14:paraId="2F064C8D" w14:textId="77777777" w:rsidR="00516B59" w:rsidRPr="00B81079" w:rsidRDefault="002C0148" w:rsidP="00377F8E">
      <w:pPr>
        <w:rPr>
          <w:rFonts w:ascii="Times New Roman" w:hAnsi="Times New Roman" w:cs="Times New Roman"/>
          <w:i/>
          <w:sz w:val="22"/>
        </w:rPr>
      </w:pPr>
      <w:r w:rsidRPr="00B81079">
        <w:rPr>
          <w:i/>
          <w:sz w:val="22"/>
        </w:rPr>
        <w:t>Това решение ще стане окончателно при условията на чл. 44 § 2 от Конвенцията. Може да бъде предмет на редакционни промени.</w:t>
      </w:r>
    </w:p>
    <w:p w14:paraId="1FB39843" w14:textId="77777777" w:rsidR="00516B59" w:rsidRPr="00B81079" w:rsidRDefault="00516B59" w:rsidP="00377F8E">
      <w:pPr>
        <w:ind w:left="720"/>
        <w:rPr>
          <w:rFonts w:ascii="Times New Roman" w:hAnsi="Times New Roman" w:cs="Times New Roman"/>
          <w:sz w:val="22"/>
        </w:rPr>
        <w:sectPr w:rsidR="00516B59" w:rsidRPr="00B81079" w:rsidSect="00902601">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47E5106A" w14:textId="77777777" w:rsidR="004344E6" w:rsidRPr="00B81079" w:rsidRDefault="002C0148" w:rsidP="00377F8E">
      <w:pPr>
        <w:pStyle w:val="JuCase"/>
      </w:pPr>
      <w:r w:rsidRPr="00B81079">
        <w:lastRenderedPageBreak/>
        <w:t>По делото Йончева срещу България,</w:t>
      </w:r>
    </w:p>
    <w:p w14:paraId="39B396B0" w14:textId="777B3636" w:rsidR="004344E6" w:rsidRPr="00B81079" w:rsidRDefault="002C0148" w:rsidP="00377F8E">
      <w:pPr>
        <w:pStyle w:val="JuPara"/>
      </w:pPr>
      <w:r w:rsidRPr="00B81079">
        <w:t>Европейският съд по правата на човека (</w:t>
      </w:r>
      <w:r w:rsidR="00293DC9" w:rsidRPr="00B81079">
        <w:t>Т</w:t>
      </w:r>
      <w:r w:rsidRPr="00B81079">
        <w:t xml:space="preserve">рето отделение), заседаващ </w:t>
      </w:r>
      <w:r w:rsidRPr="00B81079">
        <w:rPr>
          <w:color w:val="000000"/>
        </w:rPr>
        <w:t>в</w:t>
      </w:r>
      <w:r w:rsidRPr="00B81079">
        <w:t xml:space="preserve"> състав:</w:t>
      </w:r>
    </w:p>
    <w:p w14:paraId="39A8B228" w14:textId="30EACB3A" w:rsidR="004344E6" w:rsidRPr="00B81079" w:rsidRDefault="002C0148" w:rsidP="00CE5FB4">
      <w:pPr>
        <w:pStyle w:val="JuJudges"/>
      </w:pPr>
      <w:r w:rsidRPr="00B81079">
        <w:tab/>
      </w:r>
      <w:proofErr w:type="spellStart"/>
      <w:r w:rsidRPr="00B81079">
        <w:t>Йоанис</w:t>
      </w:r>
      <w:proofErr w:type="spellEnd"/>
      <w:r w:rsidRPr="00B81079">
        <w:t xml:space="preserve"> </w:t>
      </w:r>
      <w:proofErr w:type="spellStart"/>
      <w:r w:rsidR="00CE5FB4" w:rsidRPr="00B81079">
        <w:t>Ктистакис</w:t>
      </w:r>
      <w:proofErr w:type="spellEnd"/>
      <w:r w:rsidRPr="00B81079">
        <w:rPr>
          <w:i/>
        </w:rPr>
        <w:t>, председател</w:t>
      </w:r>
      <w:r w:rsidRPr="00B81079">
        <w:t>,</w:t>
      </w:r>
      <w:r w:rsidRPr="00B81079">
        <w:br/>
      </w:r>
      <w:r w:rsidRPr="00B81079">
        <w:tab/>
        <w:t xml:space="preserve">Пер Пастор </w:t>
      </w:r>
      <w:proofErr w:type="spellStart"/>
      <w:r w:rsidRPr="00B81079">
        <w:t>Виланова</w:t>
      </w:r>
      <w:proofErr w:type="spellEnd"/>
      <w:r w:rsidRPr="00B81079">
        <w:t>,</w:t>
      </w:r>
      <w:r w:rsidRPr="00B81079">
        <w:br/>
      </w:r>
      <w:r w:rsidRPr="00B81079">
        <w:tab/>
      </w:r>
      <w:proofErr w:type="spellStart"/>
      <w:r w:rsidR="00293DC9" w:rsidRPr="00B81079">
        <w:t>Й</w:t>
      </w:r>
      <w:r w:rsidRPr="00B81079">
        <w:t>олиен</w:t>
      </w:r>
      <w:proofErr w:type="spellEnd"/>
      <w:r w:rsidRPr="00B81079">
        <w:t xml:space="preserve"> </w:t>
      </w:r>
      <w:proofErr w:type="spellStart"/>
      <w:r w:rsidRPr="00B81079">
        <w:t>Шукинг</w:t>
      </w:r>
      <w:proofErr w:type="spellEnd"/>
      <w:r w:rsidRPr="00B81079">
        <w:t>,</w:t>
      </w:r>
      <w:r w:rsidRPr="00B81079">
        <w:br/>
      </w:r>
      <w:r w:rsidRPr="00B81079">
        <w:tab/>
        <w:t>Дариан Павли,</w:t>
      </w:r>
      <w:r w:rsidRPr="00B81079">
        <w:br/>
      </w:r>
      <w:r w:rsidRPr="00B81079">
        <w:tab/>
        <w:t xml:space="preserve">Андреас </w:t>
      </w:r>
      <w:proofErr w:type="spellStart"/>
      <w:r w:rsidRPr="00B81079">
        <w:t>Зюнд</w:t>
      </w:r>
      <w:proofErr w:type="spellEnd"/>
      <w:r w:rsidRPr="00B81079">
        <w:t>,</w:t>
      </w:r>
      <w:r w:rsidRPr="00B81079">
        <w:br/>
      </w:r>
      <w:r w:rsidRPr="00B81079">
        <w:tab/>
      </w:r>
      <w:proofErr w:type="spellStart"/>
      <w:r w:rsidRPr="00B81079">
        <w:t>Одни</w:t>
      </w:r>
      <w:proofErr w:type="spellEnd"/>
      <w:r w:rsidRPr="00B81079">
        <w:t xml:space="preserve"> </w:t>
      </w:r>
      <w:proofErr w:type="spellStart"/>
      <w:r w:rsidRPr="00B81079">
        <w:t>Мьол</w:t>
      </w:r>
      <w:proofErr w:type="spellEnd"/>
      <w:r w:rsidRPr="00B81079">
        <w:t xml:space="preserve"> </w:t>
      </w:r>
      <w:proofErr w:type="spellStart"/>
      <w:r w:rsidRPr="00B81079">
        <w:t>Арнардотир</w:t>
      </w:r>
      <w:proofErr w:type="spellEnd"/>
      <w:r w:rsidRPr="00B81079">
        <w:t>,</w:t>
      </w:r>
      <w:r w:rsidRPr="00B81079">
        <w:br/>
      </w:r>
      <w:r w:rsidRPr="00B81079">
        <w:tab/>
        <w:t>Диана Ковачева</w:t>
      </w:r>
      <w:r w:rsidRPr="00B81079">
        <w:rPr>
          <w:i/>
        </w:rPr>
        <w:t>, съдии</w:t>
      </w:r>
      <w:r w:rsidRPr="00B81079">
        <w:t>,</w:t>
      </w:r>
      <w:r w:rsidRPr="00B81079">
        <w:br/>
        <w:t xml:space="preserve">и Милан </w:t>
      </w:r>
      <w:proofErr w:type="spellStart"/>
      <w:r w:rsidRPr="00B81079">
        <w:t>Бла</w:t>
      </w:r>
      <w:r w:rsidR="00293DC9" w:rsidRPr="00B81079">
        <w:t>ш</w:t>
      </w:r>
      <w:r w:rsidRPr="00B81079">
        <w:t>ко</w:t>
      </w:r>
      <w:proofErr w:type="spellEnd"/>
      <w:r w:rsidRPr="00B81079">
        <w:t xml:space="preserve">, </w:t>
      </w:r>
      <w:r w:rsidRPr="00B81079">
        <w:rPr>
          <w:i/>
        </w:rPr>
        <w:t>секретар на отделението</w:t>
      </w:r>
      <w:r w:rsidRPr="00B81079">
        <w:t>,</w:t>
      </w:r>
    </w:p>
    <w:p w14:paraId="17C788AB" w14:textId="77777777" w:rsidR="00293DC9" w:rsidRPr="00B81079" w:rsidRDefault="00293DC9" w:rsidP="00377F8E">
      <w:pPr>
        <w:pStyle w:val="JuPara"/>
      </w:pPr>
      <w:r w:rsidRPr="00B81079">
        <w:t>Като взе пред</w:t>
      </w:r>
      <w:r w:rsidR="00A15D75" w:rsidRPr="00B81079">
        <w:t>в</w:t>
      </w:r>
      <w:r w:rsidRPr="00B81079">
        <w:t>ид:</w:t>
      </w:r>
    </w:p>
    <w:p w14:paraId="5CD2BD52" w14:textId="366B409C" w:rsidR="00FD340A" w:rsidRPr="00B81079" w:rsidRDefault="002C0148" w:rsidP="00377F8E">
      <w:pPr>
        <w:pStyle w:val="JuPara"/>
      </w:pPr>
      <w:r w:rsidRPr="00B81079">
        <w:t>жалбата (№ 39127/19) срещу Република България</w:t>
      </w:r>
      <w:r w:rsidR="00293DC9" w:rsidRPr="00B81079">
        <w:t>, подадена</w:t>
      </w:r>
      <w:r w:rsidRPr="00B81079">
        <w:t xml:space="preserve"> </w:t>
      </w:r>
      <w:r w:rsidR="00293DC9" w:rsidRPr="00B81079">
        <w:t xml:space="preserve">в Съда на основание чл. 34 от Конвенцията за защита на правата на човека и основните свободи („Конвенцията“) от </w:t>
      </w:r>
      <w:r w:rsidR="00A15D75" w:rsidRPr="00B81079">
        <w:t xml:space="preserve">български гражданин, </w:t>
      </w:r>
      <w:r w:rsidRPr="00B81079">
        <w:t>г-жа Елена Николова Йончева („</w:t>
      </w:r>
      <w:proofErr w:type="spellStart"/>
      <w:r w:rsidRPr="00B81079">
        <w:t>жалбоподател</w:t>
      </w:r>
      <w:r w:rsidR="00A15D75" w:rsidRPr="00B81079">
        <w:t>ката</w:t>
      </w:r>
      <w:proofErr w:type="spellEnd"/>
      <w:r w:rsidRPr="00B81079">
        <w:t>“)</w:t>
      </w:r>
      <w:r w:rsidR="00A15D75" w:rsidRPr="00B81079">
        <w:t>, на 10 юли 2019 г.</w:t>
      </w:r>
      <w:r w:rsidRPr="00B81079">
        <w:t>,</w:t>
      </w:r>
    </w:p>
    <w:p w14:paraId="1BB5CB48" w14:textId="45948870" w:rsidR="00FD340A" w:rsidRPr="00B81079" w:rsidRDefault="002C0148" w:rsidP="00377F8E">
      <w:pPr>
        <w:pStyle w:val="JuPara"/>
      </w:pPr>
      <w:r w:rsidRPr="00B81079">
        <w:t xml:space="preserve">решението да </w:t>
      </w:r>
      <w:r w:rsidR="00A15D75" w:rsidRPr="00B81079">
        <w:t>уведоми</w:t>
      </w:r>
      <w:r w:rsidRPr="00B81079">
        <w:t xml:space="preserve"> </w:t>
      </w:r>
      <w:r w:rsidR="00333633">
        <w:t>б</w:t>
      </w:r>
      <w:r w:rsidR="00333633" w:rsidRPr="00B81079">
        <w:t xml:space="preserve">ългарското </w:t>
      </w:r>
      <w:r w:rsidRPr="00B81079">
        <w:t>правителство („Правителството“)</w:t>
      </w:r>
      <w:r w:rsidR="00A15D75" w:rsidRPr="00B81079">
        <w:t xml:space="preserve"> относно</w:t>
      </w:r>
      <w:r w:rsidRPr="00B81079">
        <w:t xml:space="preserve"> оплакванията по чл. 6 § 2, чл. 13 и чл. 18 от Конвенцията </w:t>
      </w:r>
      <w:r w:rsidR="00333633">
        <w:t>във връзка с</w:t>
      </w:r>
      <w:r w:rsidR="00333633" w:rsidRPr="00B81079">
        <w:t xml:space="preserve"> </w:t>
      </w:r>
      <w:r w:rsidRPr="00B81079">
        <w:t xml:space="preserve">публикуването на 23 януари 2019 г. на прессъобщение от Специализираната прокуратура и да обяви жалбата за недопустима по отношение на всички останали оплаквания, повдигнати от </w:t>
      </w:r>
      <w:proofErr w:type="spellStart"/>
      <w:r w:rsidRPr="00B81079">
        <w:t>жалбоподател</w:t>
      </w:r>
      <w:r w:rsidR="00A15D75" w:rsidRPr="00B81079">
        <w:t>ката</w:t>
      </w:r>
      <w:proofErr w:type="spellEnd"/>
      <w:r w:rsidRPr="00B81079">
        <w:t xml:space="preserve"> по чл. 8, 10, 13 и 18 от Конвенцията,</w:t>
      </w:r>
    </w:p>
    <w:p w14:paraId="2844507D" w14:textId="30046753" w:rsidR="00FD340A" w:rsidRPr="00B81079" w:rsidRDefault="002C0148" w:rsidP="00377F8E">
      <w:pPr>
        <w:pStyle w:val="JuPara"/>
        <w:rPr>
          <w:rStyle w:val="JuParaChar"/>
        </w:rPr>
      </w:pPr>
      <w:r w:rsidRPr="00B81079">
        <w:rPr>
          <w:rStyle w:val="JuParaChar"/>
        </w:rPr>
        <w:t>становищата на страните,</w:t>
      </w:r>
    </w:p>
    <w:p w14:paraId="5FD0A240" w14:textId="7F48567F" w:rsidR="004344E6" w:rsidRPr="00B81079" w:rsidRDefault="00A15D75" w:rsidP="00377F8E">
      <w:pPr>
        <w:pStyle w:val="JuPara"/>
      </w:pPr>
      <w:r w:rsidRPr="00B81079">
        <w:t>с</w:t>
      </w:r>
      <w:r w:rsidR="002C0148" w:rsidRPr="00B81079">
        <w:t>лед закрито заседание</w:t>
      </w:r>
      <w:r w:rsidRPr="00B81079">
        <w:t>, проведено</w:t>
      </w:r>
      <w:r w:rsidR="002C0148" w:rsidRPr="00B81079">
        <w:t xml:space="preserve"> на 03 декември 2024 г.,</w:t>
      </w:r>
    </w:p>
    <w:p w14:paraId="61ED5F18" w14:textId="152B3C4D" w:rsidR="00876F03" w:rsidRPr="00B81079" w:rsidRDefault="00A15D75" w:rsidP="00377F8E">
      <w:pPr>
        <w:pStyle w:val="JuPara"/>
      </w:pPr>
      <w:r w:rsidRPr="00B81079">
        <w:t>п</w:t>
      </w:r>
      <w:r w:rsidR="002C0148" w:rsidRPr="00B81079">
        <w:t>остановява следното решение, прието на същата дата:</w:t>
      </w:r>
    </w:p>
    <w:p w14:paraId="6A66007F" w14:textId="77777777" w:rsidR="00FD340A" w:rsidRPr="00B81079" w:rsidRDefault="002C0148" w:rsidP="00377F8E">
      <w:pPr>
        <w:pStyle w:val="JuHHead"/>
      </w:pPr>
      <w:r w:rsidRPr="00B81079">
        <w:t>ВЪВЕДЕНИЕ</w:t>
      </w:r>
    </w:p>
    <w:bookmarkStart w:id="1" w:name="para1new"/>
    <w:bookmarkStart w:id="2" w:name="para1"/>
    <w:p w14:paraId="662DEDBD" w14:textId="294F3A2C"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1</w:t>
      </w:r>
      <w:r w:rsidRPr="00B81079">
        <w:fldChar w:fldCharType="end"/>
      </w:r>
      <w:bookmarkEnd w:id="1"/>
      <w:bookmarkEnd w:id="2"/>
      <w:r w:rsidRPr="00B81079">
        <w:t>.  </w:t>
      </w:r>
      <w:proofErr w:type="spellStart"/>
      <w:r w:rsidRPr="00B81079">
        <w:t>Жалбоподателката</w:t>
      </w:r>
      <w:proofErr w:type="spellEnd"/>
      <w:r w:rsidRPr="00B81079">
        <w:t xml:space="preserve"> се оплаква по членове 6 § 2 и 13 от Конвенцията </w:t>
      </w:r>
      <w:r w:rsidR="00A15D75" w:rsidRPr="00B81079">
        <w:t xml:space="preserve">относно </w:t>
      </w:r>
      <w:r w:rsidRPr="00B81079">
        <w:t xml:space="preserve">публикуването на </w:t>
      </w:r>
      <w:r w:rsidR="001F5423" w:rsidRPr="00B81079">
        <w:t xml:space="preserve">прессъобщение на </w:t>
      </w:r>
      <w:r w:rsidRPr="00B81079">
        <w:t xml:space="preserve">23 януари 2019 г. </w:t>
      </w:r>
      <w:r w:rsidR="001F5423" w:rsidRPr="00B81079">
        <w:t>от българската прокуратура</w:t>
      </w:r>
      <w:r w:rsidRPr="00B81079">
        <w:t>,</w:t>
      </w:r>
      <w:r w:rsidR="00DA795C">
        <w:t xml:space="preserve"> за</w:t>
      </w:r>
      <w:r w:rsidRPr="00B81079">
        <w:t xml:space="preserve"> което </w:t>
      </w:r>
      <w:r w:rsidR="001F5423" w:rsidRPr="00B81079">
        <w:t>тя твърди, че нарушава</w:t>
      </w:r>
      <w:r w:rsidRPr="00B81079">
        <w:t xml:space="preserve"> правото ѝ на презумпция за невин</w:t>
      </w:r>
      <w:r w:rsidR="001F5423" w:rsidRPr="00B81079">
        <w:t>ов</w:t>
      </w:r>
      <w:r w:rsidRPr="00B81079">
        <w:t xml:space="preserve">ност. </w:t>
      </w:r>
      <w:r w:rsidR="001F5423" w:rsidRPr="00B81079">
        <w:t>Т</w:t>
      </w:r>
      <w:r w:rsidRPr="00B81079">
        <w:t>я твърди</w:t>
      </w:r>
      <w:r w:rsidR="001F5423" w:rsidRPr="00B81079">
        <w:t xml:space="preserve"> още</w:t>
      </w:r>
      <w:r w:rsidRPr="00B81079">
        <w:t>, че е жертва на нарушение на член 18 от Конвенцията.</w:t>
      </w:r>
    </w:p>
    <w:p w14:paraId="0B065131" w14:textId="77777777" w:rsidR="00FD340A" w:rsidRPr="00B81079" w:rsidRDefault="002C0148" w:rsidP="00377F8E">
      <w:pPr>
        <w:pStyle w:val="JuHHead"/>
      </w:pPr>
      <w:r w:rsidRPr="00B81079">
        <w:t>ФАКТИТЕ</w:t>
      </w:r>
    </w:p>
    <w:bookmarkStart w:id="3" w:name="para2"/>
    <w:p w14:paraId="0C657D00" w14:textId="378170EB"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2</w:t>
      </w:r>
      <w:r w:rsidRPr="00B81079">
        <w:fldChar w:fldCharType="end"/>
      </w:r>
      <w:bookmarkEnd w:id="3"/>
      <w:r w:rsidRPr="00B81079">
        <w:t>.  </w:t>
      </w:r>
      <w:proofErr w:type="spellStart"/>
      <w:r w:rsidRPr="00B81079">
        <w:t>Жалбоподател</w:t>
      </w:r>
      <w:r w:rsidR="001F5423" w:rsidRPr="00B81079">
        <w:t>ката</w:t>
      </w:r>
      <w:proofErr w:type="spellEnd"/>
      <w:r w:rsidRPr="00B81079">
        <w:t xml:space="preserve"> е роден</w:t>
      </w:r>
      <w:r w:rsidR="001F5423" w:rsidRPr="00B81079">
        <w:t>а</w:t>
      </w:r>
      <w:r w:rsidRPr="00B81079">
        <w:t xml:space="preserve"> през 1964 г. и живее в София. Тя </w:t>
      </w:r>
      <w:r w:rsidRPr="00B81079">
        <w:rPr>
          <w:vertAlign w:val="superscript"/>
        </w:rPr>
        <w:t xml:space="preserve"> </w:t>
      </w:r>
      <w:r w:rsidR="001F5423" w:rsidRPr="00B81079">
        <w:t xml:space="preserve">е </w:t>
      </w:r>
      <w:r w:rsidRPr="00B81079">
        <w:t>представляван</w:t>
      </w:r>
      <w:r w:rsidR="001F5423" w:rsidRPr="00B81079">
        <w:t>а</w:t>
      </w:r>
      <w:r w:rsidRPr="00B81079">
        <w:t xml:space="preserve"> от г-</w:t>
      </w:r>
      <w:r w:rsidR="001F5423" w:rsidRPr="00B81079">
        <w:t>н</w:t>
      </w:r>
      <w:r w:rsidRPr="00B81079">
        <w:t xml:space="preserve"> М. Екимджиев, </w:t>
      </w:r>
      <w:r w:rsidR="001F5423" w:rsidRPr="00B81079">
        <w:t xml:space="preserve">г-жа </w:t>
      </w:r>
      <w:r w:rsidRPr="00B81079">
        <w:t xml:space="preserve">К. Бончева и </w:t>
      </w:r>
      <w:r w:rsidR="001F5423" w:rsidRPr="00B81079">
        <w:t xml:space="preserve">г-жа </w:t>
      </w:r>
      <w:r w:rsidRPr="00B81079">
        <w:t>М. Докова-Костадинова, адвокати</w:t>
      </w:r>
      <w:r w:rsidR="001F5423" w:rsidRPr="00B81079">
        <w:t>, практикуващи</w:t>
      </w:r>
      <w:r w:rsidRPr="00B81079">
        <w:t xml:space="preserve"> в Пловдив.</w:t>
      </w:r>
    </w:p>
    <w:bookmarkStart w:id="4" w:name="para3"/>
    <w:p w14:paraId="2C792552" w14:textId="52AFA2CC"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3</w:t>
      </w:r>
      <w:r w:rsidRPr="00B81079">
        <w:fldChar w:fldCharType="end"/>
      </w:r>
      <w:bookmarkEnd w:id="4"/>
      <w:r w:rsidRPr="00B81079">
        <w:t xml:space="preserve">.  Правителството </w:t>
      </w:r>
      <w:r w:rsidR="001F5423" w:rsidRPr="00B81079">
        <w:t>с</w:t>
      </w:r>
      <w:r w:rsidRPr="00B81079">
        <w:t>е представлява от правителствени</w:t>
      </w:r>
      <w:r w:rsidR="001F5423" w:rsidRPr="00B81079">
        <w:t>те</w:t>
      </w:r>
      <w:r w:rsidRPr="00B81079">
        <w:t xml:space="preserve"> агенти г-жа М. Илчева и </w:t>
      </w:r>
      <w:r w:rsidR="001F5423" w:rsidRPr="00B81079">
        <w:t xml:space="preserve">г-жа </w:t>
      </w:r>
      <w:r w:rsidRPr="00B81079">
        <w:t>И. Недялкова от Министерството на правосъдието.</w:t>
      </w:r>
    </w:p>
    <w:bookmarkStart w:id="5" w:name="para4"/>
    <w:p w14:paraId="3E9976BB" w14:textId="41A26CD5" w:rsidR="00FD340A" w:rsidRPr="00B81079" w:rsidRDefault="002C0148" w:rsidP="00377F8E">
      <w:pPr>
        <w:pStyle w:val="JuPara"/>
        <w:keepNext/>
      </w:pPr>
      <w:r w:rsidRPr="00B81079">
        <w:fldChar w:fldCharType="begin"/>
      </w:r>
      <w:r w:rsidRPr="00B81079">
        <w:instrText xml:space="preserve"> SEQ level0 \*arabic \* MERGEFORMAT </w:instrText>
      </w:r>
      <w:r w:rsidRPr="00B81079">
        <w:fldChar w:fldCharType="separate"/>
      </w:r>
      <w:r w:rsidR="00377F8E" w:rsidRPr="00B81079">
        <w:t>4</w:t>
      </w:r>
      <w:r w:rsidRPr="00B81079">
        <w:fldChar w:fldCharType="end"/>
      </w:r>
      <w:bookmarkEnd w:id="5"/>
      <w:r w:rsidRPr="00B81079">
        <w:t>.  </w:t>
      </w:r>
      <w:proofErr w:type="spellStart"/>
      <w:r w:rsidRPr="00B81079">
        <w:t>Жалбоподателката</w:t>
      </w:r>
      <w:proofErr w:type="spellEnd"/>
      <w:r w:rsidRPr="00B81079">
        <w:t xml:space="preserve"> е известна журналистка в България. Избрана е за депутат от листата на Социалистическата партия през 2017 г., </w:t>
      </w:r>
      <w:r w:rsidR="001F5423" w:rsidRPr="00B81079">
        <w:t xml:space="preserve">като </w:t>
      </w:r>
      <w:r w:rsidRPr="00B81079">
        <w:t xml:space="preserve">е </w:t>
      </w:r>
      <w:r w:rsidR="00484688">
        <w:t>народен представител</w:t>
      </w:r>
      <w:r w:rsidRPr="00B81079">
        <w:t xml:space="preserve"> до 2019 г. През 2019 г. е избрана за член на </w:t>
      </w:r>
      <w:r w:rsidRPr="00B81079">
        <w:lastRenderedPageBreak/>
        <w:t>Европейския парламент от листата на същата партия.</w:t>
      </w:r>
      <w:r w:rsidRPr="00B81079">
        <w:rPr>
          <w:b/>
        </w:rPr>
        <w:t xml:space="preserve"> </w:t>
      </w:r>
      <w:r w:rsidRPr="00B81079">
        <w:t xml:space="preserve">През </w:t>
      </w:r>
      <w:r w:rsidR="001F5423" w:rsidRPr="00B81079">
        <w:t xml:space="preserve">юни </w:t>
      </w:r>
      <w:r w:rsidRPr="00B81079">
        <w:t xml:space="preserve">2024 г. е избрана отново за </w:t>
      </w:r>
      <w:r w:rsidR="00B61130">
        <w:t>депутат в ЕП</w:t>
      </w:r>
      <w:r w:rsidRPr="00B81079">
        <w:t xml:space="preserve"> от листата на политическа партия „Движение за права и свободи“.</w:t>
      </w:r>
    </w:p>
    <w:bookmarkStart w:id="6" w:name="para5"/>
    <w:p w14:paraId="206CC9C3" w14:textId="275DA18F"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5</w:t>
      </w:r>
      <w:r w:rsidRPr="00B81079">
        <w:fldChar w:fldCharType="end"/>
      </w:r>
      <w:bookmarkEnd w:id="6"/>
      <w:r w:rsidRPr="00B81079">
        <w:t xml:space="preserve">.  По време на мандата си в </w:t>
      </w:r>
      <w:r w:rsidR="003A6F6E" w:rsidRPr="00B81079">
        <w:t>Народното събрание</w:t>
      </w:r>
      <w:r w:rsidRPr="00B81079">
        <w:t xml:space="preserve">, </w:t>
      </w:r>
      <w:proofErr w:type="spellStart"/>
      <w:r w:rsidRPr="00B81079">
        <w:t>жалбоподателката</w:t>
      </w:r>
      <w:proofErr w:type="spellEnd"/>
      <w:r w:rsidRPr="00B81079">
        <w:t xml:space="preserve"> </w:t>
      </w:r>
      <w:r w:rsidR="001F5423" w:rsidRPr="00B81079">
        <w:t>прави</w:t>
      </w:r>
      <w:r w:rsidRPr="00B81079">
        <w:t xml:space="preserve"> </w:t>
      </w:r>
      <w:r w:rsidR="001F5423" w:rsidRPr="00B81079">
        <w:t xml:space="preserve">няколко </w:t>
      </w:r>
      <w:r w:rsidRPr="00B81079">
        <w:t xml:space="preserve">разкрития за корупционни практики и </w:t>
      </w:r>
      <w:proofErr w:type="spellStart"/>
      <w:r w:rsidRPr="00B81079">
        <w:t>непотизъм</w:t>
      </w:r>
      <w:proofErr w:type="spellEnd"/>
      <w:r w:rsidRPr="00B81079">
        <w:t xml:space="preserve">, </w:t>
      </w:r>
      <w:r w:rsidR="001F5423" w:rsidRPr="00B81079">
        <w:t xml:space="preserve">за </w:t>
      </w:r>
      <w:r w:rsidRPr="00B81079">
        <w:t xml:space="preserve">които </w:t>
      </w:r>
      <w:r w:rsidR="001F5423" w:rsidRPr="00B81079">
        <w:t xml:space="preserve">се твърди, че </w:t>
      </w:r>
      <w:r w:rsidRPr="00B81079">
        <w:t xml:space="preserve">включват влиятелни членове на </w:t>
      </w:r>
      <w:r w:rsidR="001F5423" w:rsidRPr="00B81079">
        <w:t xml:space="preserve">управляващата </w:t>
      </w:r>
      <w:r w:rsidRPr="00B81079">
        <w:t>партия (ГЕРБ). По-конкретно, през 2017 г.</w:t>
      </w:r>
      <w:r w:rsidR="00B61130">
        <w:rPr>
          <w:lang w:val="en-US"/>
        </w:rPr>
        <w:t xml:space="preserve"> </w:t>
      </w:r>
      <w:r w:rsidR="00B61130">
        <w:t>тя</w:t>
      </w:r>
      <w:r w:rsidRPr="00B81079">
        <w:t xml:space="preserve"> разкри</w:t>
      </w:r>
      <w:r w:rsidR="001F5423" w:rsidRPr="00B81079">
        <w:t>ва</w:t>
      </w:r>
      <w:r w:rsidRPr="00B81079">
        <w:t xml:space="preserve"> нередности във финансирането и изграждането на българо-турската граница на ограда от бодлива тел за предотвратяване на незаконно преминаване и заедно с други опозиционни депутати докладва тези нередности на прокуратурата. През 2018 г. разкри</w:t>
      </w:r>
      <w:r w:rsidR="001F5423" w:rsidRPr="00B81079">
        <w:t>ва</w:t>
      </w:r>
      <w:r w:rsidRPr="00B81079">
        <w:t xml:space="preserve"> и сигнализира на прокуратурата </w:t>
      </w:r>
      <w:r w:rsidR="00282FA7">
        <w:t xml:space="preserve">относно </w:t>
      </w:r>
      <w:r w:rsidRPr="00B81079">
        <w:t xml:space="preserve">нередности при възлагането на обществени поръчки в полза на юридически лица на </w:t>
      </w:r>
      <w:r w:rsidR="004330BE">
        <w:t>близки</w:t>
      </w:r>
      <w:r w:rsidR="004330BE" w:rsidRPr="00B81079">
        <w:t xml:space="preserve"> </w:t>
      </w:r>
      <w:r w:rsidR="00B80E93" w:rsidRPr="00B81079">
        <w:t>на</w:t>
      </w:r>
      <w:r w:rsidRPr="00B81079">
        <w:t xml:space="preserve">  Д.Д., депутат от ГЕРБ.</w:t>
      </w:r>
    </w:p>
    <w:bookmarkStart w:id="7" w:name="para6"/>
    <w:p w14:paraId="088511EA" w14:textId="31954D12"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6</w:t>
      </w:r>
      <w:r w:rsidRPr="00B81079">
        <w:fldChar w:fldCharType="end"/>
      </w:r>
      <w:bookmarkEnd w:id="7"/>
      <w:r w:rsidRPr="00B81079">
        <w:t>.  На</w:t>
      </w:r>
      <w:r w:rsidR="00B80E93" w:rsidRPr="00B81079">
        <w:t xml:space="preserve"> </w:t>
      </w:r>
      <w:r w:rsidRPr="00B81079">
        <w:t>31 август 2018 г., трима членове на ГЕРБ, сред които депутати</w:t>
      </w:r>
      <w:r w:rsidR="004330BE">
        <w:t>те</w:t>
      </w:r>
      <w:r w:rsidRPr="00B81079">
        <w:t xml:space="preserve"> Д.Д. и Т.Б., подават жалба срещу </w:t>
      </w:r>
      <w:proofErr w:type="spellStart"/>
      <w:r w:rsidRPr="00B81079">
        <w:t>жалбоподателката</w:t>
      </w:r>
      <w:proofErr w:type="spellEnd"/>
      <w:r w:rsidRPr="00B81079">
        <w:t xml:space="preserve"> до Специализираната прокуратура</w:t>
      </w:r>
      <w:r w:rsidR="004330BE">
        <w:t>, занимаваща се с</w:t>
      </w:r>
      <w:r w:rsidRPr="00B81079">
        <w:t xml:space="preserve"> борба с организираната престъпност („Специализираната прокуратура“). В същия ден прокуратурата </w:t>
      </w:r>
      <w:r w:rsidR="004330BE">
        <w:t>образува</w:t>
      </w:r>
      <w:r w:rsidR="004330BE" w:rsidRPr="00B81079">
        <w:t xml:space="preserve"> </w:t>
      </w:r>
      <w:r w:rsidRPr="00B81079">
        <w:t xml:space="preserve">наказателно </w:t>
      </w:r>
      <w:r w:rsidR="003A6F6E" w:rsidRPr="00B81079">
        <w:t xml:space="preserve">производство </w:t>
      </w:r>
      <w:r w:rsidRPr="00B81079">
        <w:t>за пране на пари.</w:t>
      </w:r>
    </w:p>
    <w:bookmarkStart w:id="8" w:name="para7"/>
    <w:p w14:paraId="740CE9D7" w14:textId="70D3917F"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7</w:t>
      </w:r>
      <w:r w:rsidRPr="00B81079">
        <w:fldChar w:fldCharType="end"/>
      </w:r>
      <w:bookmarkEnd w:id="8"/>
      <w:r w:rsidRPr="00B81079">
        <w:t xml:space="preserve">.  На 8 ноември 2018 г., главният прокурор </w:t>
      </w:r>
      <w:r w:rsidR="00B80E93" w:rsidRPr="00B81079">
        <w:t>иска</w:t>
      </w:r>
      <w:r w:rsidRPr="00B81079">
        <w:t xml:space="preserve"> от Народното събрание да гласува за снемане на депутатския имунитет на </w:t>
      </w:r>
      <w:proofErr w:type="spellStart"/>
      <w:r w:rsidRPr="00B81079">
        <w:t>жалбоподателката</w:t>
      </w:r>
      <w:proofErr w:type="spellEnd"/>
      <w:r w:rsidRPr="00B81079">
        <w:t xml:space="preserve">, </w:t>
      </w:r>
      <w:r w:rsidR="00B80E93" w:rsidRPr="00B81079">
        <w:t>като</w:t>
      </w:r>
      <w:r w:rsidRPr="00B81079">
        <w:t xml:space="preserve"> самата </w:t>
      </w:r>
      <w:proofErr w:type="spellStart"/>
      <w:r w:rsidRPr="00B81079">
        <w:t>жалбоподателка</w:t>
      </w:r>
      <w:proofErr w:type="spellEnd"/>
      <w:r w:rsidRPr="00B81079">
        <w:t xml:space="preserve"> веднага заяв</w:t>
      </w:r>
      <w:r w:rsidR="00B80E93" w:rsidRPr="00B81079">
        <w:t>ява</w:t>
      </w:r>
      <w:r w:rsidRPr="00B81079">
        <w:t>, че не възразява срещу образуването на наказателно производство срещу нея.</w:t>
      </w:r>
    </w:p>
    <w:bookmarkStart w:id="9" w:name="para8"/>
    <w:p w14:paraId="2E73C0E9" w14:textId="4A4BA260"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8</w:t>
      </w:r>
      <w:r w:rsidRPr="00B81079">
        <w:fldChar w:fldCharType="end"/>
      </w:r>
      <w:bookmarkEnd w:id="9"/>
      <w:r w:rsidRPr="00B81079">
        <w:t xml:space="preserve">.  С </w:t>
      </w:r>
      <w:r w:rsidR="00351A6D" w:rsidRPr="00B81079">
        <w:t xml:space="preserve">постановление </w:t>
      </w:r>
      <w:r w:rsidRPr="00B81079">
        <w:t xml:space="preserve">от 11 януари 2019 г., връчено на </w:t>
      </w:r>
      <w:proofErr w:type="spellStart"/>
      <w:r w:rsidR="00B80E93" w:rsidRPr="00B81079">
        <w:t>жалбоподателката</w:t>
      </w:r>
      <w:proofErr w:type="spellEnd"/>
      <w:r w:rsidRPr="00B81079">
        <w:t xml:space="preserve"> на 22</w:t>
      </w:r>
      <w:r w:rsidR="00B80E93" w:rsidRPr="00B81079">
        <w:t xml:space="preserve"> </w:t>
      </w:r>
      <w:r w:rsidRPr="00B81079">
        <w:t xml:space="preserve">януари 2019 г., </w:t>
      </w:r>
      <w:r w:rsidR="00F77DAC">
        <w:t>й</w:t>
      </w:r>
      <w:r w:rsidRPr="00B81079">
        <w:t xml:space="preserve"> е </w:t>
      </w:r>
      <w:r w:rsidR="00B80E93" w:rsidRPr="00B81079">
        <w:t xml:space="preserve">повдигнато обвинение </w:t>
      </w:r>
      <w:r w:rsidR="00F77DAC">
        <w:t>за</w:t>
      </w:r>
      <w:r w:rsidR="00F77DAC" w:rsidRPr="00B81079">
        <w:t xml:space="preserve"> </w:t>
      </w:r>
      <w:r w:rsidRPr="00B81079">
        <w:t xml:space="preserve">пране на пари. </w:t>
      </w:r>
      <w:r w:rsidR="00B80E93" w:rsidRPr="00B81079">
        <w:t>Тя е о</w:t>
      </w:r>
      <w:r w:rsidRPr="00B81079">
        <w:t>бвин</w:t>
      </w:r>
      <w:r w:rsidR="00B80E93" w:rsidRPr="00B81079">
        <w:t>ена</w:t>
      </w:r>
      <w:r w:rsidRPr="00B81079">
        <w:t>, че между 2012 г. и 2014 г., в качеството си на управител на продуцентска компания съзнателно е получила и изразход</w:t>
      </w:r>
      <w:r w:rsidR="00B80E93" w:rsidRPr="00B81079">
        <w:t>ила</w:t>
      </w:r>
      <w:r w:rsidRPr="00B81079">
        <w:t xml:space="preserve"> средства, незаконно присвоени от лица, </w:t>
      </w:r>
      <w:r w:rsidR="00847BA0">
        <w:t>управлявали</w:t>
      </w:r>
      <w:r w:rsidR="00847BA0" w:rsidRPr="00B81079">
        <w:t xml:space="preserve"> </w:t>
      </w:r>
      <w:r w:rsidRPr="00B81079">
        <w:t>по време на събитията банка, която междувременно фалира.</w:t>
      </w:r>
    </w:p>
    <w:bookmarkStart w:id="10" w:name="para9"/>
    <w:p w14:paraId="29BC8263" w14:textId="6268AC0C"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9</w:t>
      </w:r>
      <w:r w:rsidRPr="00B81079">
        <w:fldChar w:fldCharType="end"/>
      </w:r>
      <w:bookmarkEnd w:id="10"/>
      <w:r w:rsidRPr="00B81079">
        <w:t xml:space="preserve">.  На 23 януари 2019 г. </w:t>
      </w:r>
      <w:r w:rsidR="00B80E93" w:rsidRPr="00B81079">
        <w:t>С</w:t>
      </w:r>
      <w:r w:rsidRPr="00B81079">
        <w:t xml:space="preserve">пециализираната прокуратура публикува прессъобщение, което </w:t>
      </w:r>
      <w:r w:rsidR="00B80E93" w:rsidRPr="00B81079">
        <w:t>съдържа</w:t>
      </w:r>
      <w:r w:rsidRPr="00B81079">
        <w:t xml:space="preserve"> следните пасажи:</w:t>
      </w:r>
    </w:p>
    <w:p w14:paraId="3FE2DE57" w14:textId="77777777" w:rsidR="00FD340A" w:rsidRPr="00B81079" w:rsidRDefault="002C0148" w:rsidP="00377F8E">
      <w:pPr>
        <w:pStyle w:val="JuQuot"/>
      </w:pPr>
      <w:r w:rsidRPr="00B81079">
        <w:t>„На 8 ноември 2018 г., в рамките на разследване, започнало на 31 август 2018 г. след сигнал, изпратен до специализираната прокуратура от депутатите, въз основа на доказателства, събрани от прокурора, главният прокурор С. Ц. е поискал от Народното събрание разрешение да образува срещу депутатката Елена Йончева наказателно производство за изпиране на средства, незаконно отклонени от банка КТБ АД.</w:t>
      </w:r>
    </w:p>
    <w:p w14:paraId="7D78894B" w14:textId="649D330E" w:rsidR="00FD340A" w:rsidRPr="00B81079" w:rsidRDefault="00B80E93" w:rsidP="00377F8E">
      <w:pPr>
        <w:pStyle w:val="JuQuot"/>
      </w:pPr>
      <w:r w:rsidRPr="00B81079">
        <w:t>Елена Йончева даде съгласието си за провеждане на наказателното производство срещу нея</w:t>
      </w:r>
      <w:r w:rsidR="00193088" w:rsidRPr="00B81079">
        <w:t>.</w:t>
      </w:r>
      <w:r w:rsidRPr="00B81079">
        <w:t xml:space="preserve"> Специализираната прокуратура проведе процесуално следствени действия и събра доказателства, обосноваващи ангажиране на наказателната й отговорност за престъпление по</w:t>
      </w:r>
      <w:r w:rsidR="002C0148" w:rsidRPr="00B81079">
        <w:t xml:space="preserve"> 253, алинея 5 (...) от Наказателния кодекс.</w:t>
      </w:r>
    </w:p>
    <w:p w14:paraId="1437EC59" w14:textId="7DBC9319" w:rsidR="00FD340A" w:rsidRPr="00B81079" w:rsidRDefault="00193088" w:rsidP="00377F8E">
      <w:pPr>
        <w:pStyle w:val="JuQuot"/>
      </w:pPr>
      <w:r w:rsidRPr="00B81079">
        <w:t>В хода на разследването на Специализираната прокуратура е установено, че едноличен собственик на капитала на „Авторска телевизия“ ЕООД е Елена Йончева</w:t>
      </w:r>
      <w:r w:rsidR="002C0148" w:rsidRPr="00B81079">
        <w:t>. (...)</w:t>
      </w:r>
    </w:p>
    <w:p w14:paraId="4072CD9A" w14:textId="52A11E0E" w:rsidR="00FD340A" w:rsidRPr="00B81079" w:rsidRDefault="00193088" w:rsidP="00377F8E">
      <w:pPr>
        <w:pStyle w:val="JuQuot"/>
      </w:pPr>
      <w:r w:rsidRPr="00B81079">
        <w:lastRenderedPageBreak/>
        <w:t>На 17.04.2012</w:t>
      </w:r>
      <w:r w:rsidR="00710780">
        <w:t xml:space="preserve"> </w:t>
      </w:r>
      <w:r w:rsidRPr="00B81079">
        <w:t>г., на основание чл. 113, от Търговския закон, едноличният собственик на капитала на „Авторска телевизия“ ЕООД Елена Йончева е взела решение представляваното от нея търговско дружество да учреди съвместно с офшорна компания „</w:t>
      </w:r>
      <w:proofErr w:type="spellStart"/>
      <w:r w:rsidRPr="00B81079">
        <w:t>Далий</w:t>
      </w:r>
      <w:proofErr w:type="spellEnd"/>
      <w:r w:rsidRPr="00B81079">
        <w:t xml:space="preserve"> Трейдинг Лимитид </w:t>
      </w:r>
      <w:r w:rsidR="002C0148" w:rsidRPr="00B81079">
        <w:t xml:space="preserve">(...), </w:t>
      </w:r>
      <w:r w:rsidRPr="00B81079">
        <w:t xml:space="preserve">юридическо лице с правно организационна форма – </w:t>
      </w:r>
      <w:r w:rsidR="00C51023" w:rsidRPr="00B81079">
        <w:t>О</w:t>
      </w:r>
      <w:r w:rsidR="00C51023">
        <w:t>О</w:t>
      </w:r>
      <w:r w:rsidR="00C51023" w:rsidRPr="00B81079">
        <w:t xml:space="preserve">Д </w:t>
      </w:r>
      <w:r w:rsidRPr="00B81079">
        <w:t>и фирмено наименование „Офроуд“ ООД, съгласно действащото българско законодателство</w:t>
      </w:r>
      <w:r w:rsidR="002C0148" w:rsidRPr="00B81079">
        <w:t>.</w:t>
      </w:r>
    </w:p>
    <w:p w14:paraId="0F465A6D" w14:textId="0A0AEF7B" w:rsidR="00FD340A" w:rsidRPr="00B81079" w:rsidRDefault="002C0148" w:rsidP="00377F8E">
      <w:pPr>
        <w:pStyle w:val="JuQuot"/>
      </w:pPr>
      <w:r w:rsidRPr="00B81079">
        <w:t xml:space="preserve">На 20 април 2012 г., (...) </w:t>
      </w:r>
      <w:r w:rsidR="00C51023">
        <w:t>представителите на „</w:t>
      </w:r>
      <w:proofErr w:type="spellStart"/>
      <w:r w:rsidR="00C51023">
        <w:t>Далий</w:t>
      </w:r>
      <w:proofErr w:type="spellEnd"/>
      <w:r w:rsidR="00C51023">
        <w:t xml:space="preserve"> Трейдинг Лимитид“ вземат решение да създадат заедно с „Авторска телевизия“ ЕООД </w:t>
      </w:r>
      <w:r w:rsidR="00193088" w:rsidRPr="00B81079">
        <w:t xml:space="preserve">юридическо лице с правно организационна форма – </w:t>
      </w:r>
      <w:r w:rsidR="00C51023" w:rsidRPr="00B81079">
        <w:t>О</w:t>
      </w:r>
      <w:r w:rsidR="00C51023">
        <w:t>О</w:t>
      </w:r>
      <w:r w:rsidR="00C51023" w:rsidRPr="00B81079">
        <w:t xml:space="preserve">Д </w:t>
      </w:r>
      <w:r w:rsidR="00193088" w:rsidRPr="00B81079">
        <w:t>и фирмено наименование „Офроуд“ ООД, съгласно действащото българско законодателство</w:t>
      </w:r>
      <w:r w:rsidRPr="00B81079">
        <w:t>.</w:t>
      </w:r>
    </w:p>
    <w:p w14:paraId="1907B408" w14:textId="12EA249D" w:rsidR="00FD340A" w:rsidRPr="00B81079" w:rsidRDefault="00193088" w:rsidP="00377F8E">
      <w:pPr>
        <w:pStyle w:val="JuQuot"/>
      </w:pPr>
      <w:r w:rsidRPr="00B81079">
        <w:t>В решенията на управителните органи на двете търговски дружества е посочен размерът на капитала на новосформираното – 10 000 лева и начинът на разпределение на дружествените дялове – по равно - по 5 000 лева всяко от дружествата</w:t>
      </w:r>
      <w:r w:rsidR="002C0148" w:rsidRPr="00B81079">
        <w:t>. „</w:t>
      </w:r>
      <w:proofErr w:type="spellStart"/>
      <w:r w:rsidRPr="00B81079">
        <w:t>Далий</w:t>
      </w:r>
      <w:proofErr w:type="spellEnd"/>
      <w:r w:rsidRPr="00B81079">
        <w:t xml:space="preserve"> Трейдинг Лимитид“ се е задължило срещу записаните 50 дружествени дяла от капитала на „Офроуд“ ООД да извърши парична вноска в размер 5 000 лева. Поело е задължение да направи и парична вноска в размер на 310 000 /триста и десет хиляди/ лева, които да бъдат отнесени във фонд „Резервен“. </w:t>
      </w:r>
      <w:r w:rsidR="002C0148" w:rsidRPr="00B81079">
        <w:t xml:space="preserve"> и (...) </w:t>
      </w:r>
      <w:r w:rsidRPr="00B81079">
        <w:t>се е задължило след учредяване на „Офроуд“ ООД в Търговския регистър на РБългария да направи и допълнителна парична вноска в „Офроуд“ ООД в размер на 250 000 евро или тяхната левова равностойност в срок от 1 година</w:t>
      </w:r>
      <w:r w:rsidR="002C0148" w:rsidRPr="00B81079">
        <w:t>.</w:t>
      </w:r>
    </w:p>
    <w:p w14:paraId="579265BB" w14:textId="5D1D590B" w:rsidR="00FD340A" w:rsidRPr="00B81079" w:rsidRDefault="00CC06C7" w:rsidP="00377F8E">
      <w:pPr>
        <w:pStyle w:val="JuQuot"/>
      </w:pPr>
      <w:r>
        <w:t xml:space="preserve">На </w:t>
      </w:r>
      <w:r w:rsidR="002C0148" w:rsidRPr="00B81079">
        <w:t>23 април 2012 г., (...) [</w:t>
      </w:r>
      <w:r w:rsidR="00193088" w:rsidRPr="00B81079">
        <w:t>е приет</w:t>
      </w:r>
      <w:r>
        <w:rPr>
          <w:lang w:val="en-US"/>
        </w:rPr>
        <w:t>]</w:t>
      </w:r>
      <w:r w:rsidR="00193088" w:rsidRPr="00B81079">
        <w:t xml:space="preserve"> дружествен договор </w:t>
      </w:r>
      <w:r w:rsidR="002C0148" w:rsidRPr="00B81079">
        <w:t>(...) и съдружниците (...)</w:t>
      </w:r>
      <w:r w:rsidR="00193088" w:rsidRPr="00B81079">
        <w:t xml:space="preserve">избират за управител на новоучреденото дружество </w:t>
      </w:r>
      <w:r>
        <w:rPr>
          <w:lang w:val="en-US"/>
        </w:rPr>
        <w:t>“</w:t>
      </w:r>
      <w:proofErr w:type="spellStart"/>
      <w:r w:rsidR="00193088" w:rsidRPr="00B81079">
        <w:t>Офроуд</w:t>
      </w:r>
      <w:proofErr w:type="spellEnd"/>
      <w:r w:rsidR="00193088" w:rsidRPr="00B81079">
        <w:t>“ ООД Елена Йончева</w:t>
      </w:r>
      <w:r w:rsidR="002C0148" w:rsidRPr="00B81079">
        <w:t xml:space="preserve">. </w:t>
      </w:r>
      <w:r w:rsidR="00193088" w:rsidRPr="00B81079">
        <w:t>В това си качество, тя е сключила с „КТБ“ АД Рамков договор за платежни услуги за ЮЛ и ЕТ. Определена е като единствено лице, което има право да се разпорежда със сумите по сметките на „Офроуд“ ООД</w:t>
      </w:r>
      <w:r w:rsidR="002C0148" w:rsidRPr="00B81079">
        <w:t>.</w:t>
      </w:r>
    </w:p>
    <w:p w14:paraId="26559412" w14:textId="28FE0071" w:rsidR="00FD340A" w:rsidRPr="00B81079" w:rsidRDefault="002C0148" w:rsidP="00377F8E">
      <w:pPr>
        <w:pStyle w:val="JuQuot"/>
      </w:pPr>
      <w:r w:rsidRPr="00B81079">
        <w:t>На 13 и 22 юни 2012 г.</w:t>
      </w:r>
      <w:r w:rsidR="00193088" w:rsidRPr="00B81079">
        <w:t xml:space="preserve"> от сметката на офшорно дружество „</w:t>
      </w:r>
      <w:proofErr w:type="spellStart"/>
      <w:r w:rsidR="00193088" w:rsidRPr="00B81079">
        <w:t>Далий</w:t>
      </w:r>
      <w:proofErr w:type="spellEnd"/>
      <w:r w:rsidR="00193088" w:rsidRPr="00B81079">
        <w:t xml:space="preserve"> трейдинг </w:t>
      </w:r>
      <w:proofErr w:type="spellStart"/>
      <w:r w:rsidR="00193088" w:rsidRPr="00B81079">
        <w:t>лимитид</w:t>
      </w:r>
      <w:proofErr w:type="spellEnd"/>
      <w:r w:rsidR="00193088" w:rsidRPr="00B81079">
        <w:t>“ по две сметки на търговското дружество „Офроуд“ са получени парични средства в общ размер 333 000,00 евро</w:t>
      </w:r>
      <w:r w:rsidRPr="00B81079">
        <w:t xml:space="preserve"> (...).</w:t>
      </w:r>
    </w:p>
    <w:p w14:paraId="3C1E47E9" w14:textId="5F077F40" w:rsidR="00FD340A" w:rsidRPr="00B81079" w:rsidRDefault="002C0148" w:rsidP="00377F8E">
      <w:pPr>
        <w:pStyle w:val="JuQuot"/>
      </w:pPr>
      <w:r w:rsidRPr="00B81079">
        <w:t xml:space="preserve">Специализираната прокуратура е събрала доказателства за произхода на преведените средства (...). </w:t>
      </w:r>
      <w:r w:rsidR="00193088" w:rsidRPr="00B81079">
        <w:t>Установено е, че това са средства, собственост на „КТБ“ АД, които са присвоени от три длъжностни лица от „КТБ“АД, на които предстои повдигане на обвинение</w:t>
      </w:r>
      <w:r w:rsidR="00CC06C7">
        <w:t>,</w:t>
      </w:r>
      <w:r w:rsidR="00193088" w:rsidRPr="00B81079" w:rsidDel="00193088">
        <w:t xml:space="preserve"> </w:t>
      </w:r>
      <w:r w:rsidRPr="00B81079">
        <w:t>и прехвърлени, както е видно от извлеченията от различни банкови сметки, на пет дружества - включително „</w:t>
      </w:r>
      <w:proofErr w:type="spellStart"/>
      <w:r w:rsidR="00CC06C7" w:rsidRPr="00B81079">
        <w:t>Да</w:t>
      </w:r>
      <w:r w:rsidR="00CC06C7">
        <w:t>лий</w:t>
      </w:r>
      <w:proofErr w:type="spellEnd"/>
      <w:r w:rsidR="00CC06C7" w:rsidRPr="00B81079">
        <w:t xml:space="preserve"> </w:t>
      </w:r>
      <w:r w:rsidRPr="00B81079">
        <w:t xml:space="preserve">Трейдинг Лимитид“ – действително контролирани от </w:t>
      </w:r>
      <w:proofErr w:type="spellStart"/>
      <w:r w:rsidRPr="00B81079">
        <w:t>Цв.В</w:t>
      </w:r>
      <w:proofErr w:type="spellEnd"/>
      <w:r w:rsidRPr="00B81079">
        <w:t>., [мажоритарен акционер и председател на надзорния съвет на въпросната банка].</w:t>
      </w:r>
    </w:p>
    <w:p w14:paraId="70B99985" w14:textId="2BB5A6B4" w:rsidR="00FD340A" w:rsidRPr="00B81079" w:rsidRDefault="002C0148" w:rsidP="00377F8E">
      <w:pPr>
        <w:pStyle w:val="JuQuot"/>
      </w:pPr>
      <w:r w:rsidRPr="00B81079">
        <w:t>Между 13 юни 2012 г. и 6 ноември 2014 г.,</w:t>
      </w:r>
      <w:r w:rsidR="00351A6D" w:rsidRPr="00B81079">
        <w:t xml:space="preserve"> Е</w:t>
      </w:r>
      <w:r w:rsidR="00FA6428" w:rsidRPr="00B81079">
        <w:t>лена Йончева, която единствено е имала право да се разпорежда с банковите сметки на „</w:t>
      </w:r>
      <w:proofErr w:type="spellStart"/>
      <w:r w:rsidR="00FA6428" w:rsidRPr="00B81079">
        <w:t>Офроуд“ООД</w:t>
      </w:r>
      <w:proofErr w:type="spellEnd"/>
      <w:r w:rsidR="00CC06C7">
        <w:t>,</w:t>
      </w:r>
      <w:r w:rsidR="00FA6428" w:rsidRPr="00B81079">
        <w:t xml:space="preserve"> е изтеглила всички преведени по сметките на дружеството парични средства</w:t>
      </w:r>
      <w:r w:rsidRPr="00B81079">
        <w:t>.</w:t>
      </w:r>
    </w:p>
    <w:p w14:paraId="1B438864" w14:textId="5BD3F1B5" w:rsidR="00FD340A" w:rsidRPr="00B81079" w:rsidRDefault="002C0148" w:rsidP="00377F8E">
      <w:pPr>
        <w:pStyle w:val="JuQuot"/>
      </w:pPr>
      <w:r w:rsidRPr="00B81079">
        <w:t>Тя е извършила преводи за закупуване на аудио и видео</w:t>
      </w:r>
      <w:r w:rsidR="00FA6428" w:rsidRPr="00B81079">
        <w:t>техника</w:t>
      </w:r>
      <w:r w:rsidRPr="00B81079">
        <w:t>. Всеки месец е изтегляла сума в размер на 12 720 BGN</w:t>
      </w:r>
      <w:r w:rsidR="00FA6428" w:rsidRPr="00B81079">
        <w:t>, определена</w:t>
      </w:r>
      <w:r w:rsidRPr="00B81079">
        <w:t xml:space="preserve"> за възнаграждението </w:t>
      </w:r>
      <w:r w:rsidR="00FA6428" w:rsidRPr="00B81079">
        <w:t>й</w:t>
      </w:r>
      <w:r w:rsidRPr="00B81079">
        <w:t>.</w:t>
      </w:r>
    </w:p>
    <w:p w14:paraId="08D42E96" w14:textId="6CECA516" w:rsidR="00FD340A" w:rsidRPr="00B81079" w:rsidRDefault="00FA6428" w:rsidP="00377F8E">
      <w:pPr>
        <w:pStyle w:val="JuQuot"/>
      </w:pPr>
      <w:r w:rsidRPr="00B81079">
        <w:t>Събраните доказателства са обосновали извод, че Елена Йончева е знаела за престъпния произход на средствата и че са предмет на длъжностно присвояване</w:t>
      </w:r>
      <w:r w:rsidR="002C0148" w:rsidRPr="00B81079">
        <w:t>.</w:t>
      </w:r>
    </w:p>
    <w:p w14:paraId="4F0BE431" w14:textId="0D90FEF8" w:rsidR="00FD340A" w:rsidRPr="00B81079" w:rsidRDefault="002C0148" w:rsidP="00377F8E">
      <w:pPr>
        <w:pStyle w:val="JuQuot"/>
      </w:pPr>
      <w:r w:rsidRPr="00B81079">
        <w:t xml:space="preserve">На 22 януари 2019 г. </w:t>
      </w:r>
      <w:r w:rsidR="00FA6428" w:rsidRPr="00B81079">
        <w:t xml:space="preserve">Специализираната прокуратура привлече като обвиняема Елена Йончева </w:t>
      </w:r>
      <w:r w:rsidRPr="00B81079">
        <w:t xml:space="preserve"> (...) </w:t>
      </w:r>
      <w:r w:rsidR="00FA6428" w:rsidRPr="00B81079">
        <w:t xml:space="preserve">за </w:t>
      </w:r>
      <w:r w:rsidRPr="00B81079">
        <w:t xml:space="preserve">пране на пари в съучастие с Б.М. (...), в размер на 333 000 </w:t>
      </w:r>
      <w:r w:rsidR="00FA6428" w:rsidRPr="00B81079">
        <w:t xml:space="preserve">евро в периода </w:t>
      </w:r>
      <w:r w:rsidRPr="00B81079">
        <w:t>между 13 юни 2012 г. и 6 ноември 2014 г.</w:t>
      </w:r>
    </w:p>
    <w:p w14:paraId="163E1261" w14:textId="3DA9B5E2" w:rsidR="00FD340A" w:rsidRPr="00B81079" w:rsidRDefault="002C0148" w:rsidP="00377F8E">
      <w:pPr>
        <w:pStyle w:val="JuQuot"/>
      </w:pPr>
      <w:r w:rsidRPr="00B81079">
        <w:t xml:space="preserve">Според обвинението, </w:t>
      </w:r>
      <w:r w:rsidR="00FA6428" w:rsidRPr="00B81079">
        <w:t>в инкриминирания период от време Йончева в качеството си на</w:t>
      </w:r>
      <w:r w:rsidR="00FA6428" w:rsidRPr="00B81079" w:rsidDel="00FA6428">
        <w:t xml:space="preserve"> </w:t>
      </w:r>
      <w:r w:rsidRPr="00B81079">
        <w:t xml:space="preserve">  (...) управител на „Офроуд“ ООД, </w:t>
      </w:r>
      <w:r w:rsidR="00FA6428" w:rsidRPr="00B81079">
        <w:t xml:space="preserve">е получила по открити в „КТБ“ АД две </w:t>
      </w:r>
      <w:r w:rsidR="00FA6428" w:rsidRPr="00B81079">
        <w:lastRenderedPageBreak/>
        <w:t>банкови сметки сумата от 333 000 евро и е спомогнала да бъде преобразувано това имущество в лично, като е знаела, че то е придобито чрез престъпление – длъжностно присвояване,</w:t>
      </w:r>
      <w:r w:rsidR="00FA6428" w:rsidRPr="00B81079" w:rsidDel="00FA6428">
        <w:t xml:space="preserve"> </w:t>
      </w:r>
      <w:r w:rsidRPr="00B81079">
        <w:t xml:space="preserve">по Наказателния кодекс. </w:t>
      </w:r>
      <w:r w:rsidR="00764DA7" w:rsidRPr="00B81079">
        <w:t>Д</w:t>
      </w:r>
      <w:r w:rsidR="00FA6428" w:rsidRPr="00B81079">
        <w:t>еянието е извършено в изпълнение на решение на организирана престъпна група, като имуществото е в особено големи размери и представлява особено тежък случай</w:t>
      </w:r>
      <w:r w:rsidRPr="00B81079">
        <w:t>. (...)</w:t>
      </w:r>
    </w:p>
    <w:p w14:paraId="6653E043" w14:textId="59A9F928" w:rsidR="00FD340A" w:rsidRPr="00B81079" w:rsidRDefault="002C0148" w:rsidP="00377F8E">
      <w:pPr>
        <w:pStyle w:val="JuQuot"/>
      </w:pPr>
      <w:r w:rsidRPr="00B81079">
        <w:t>На 16 януари 2019 г., съучастникът на Елена Йончева, посредникът Б.М.</w:t>
      </w:r>
      <w:r w:rsidR="00B35366">
        <w:t>,</w:t>
      </w:r>
      <w:r w:rsidRPr="00B81079">
        <w:t xml:space="preserve"> също е </w:t>
      </w:r>
      <w:r w:rsidR="00FA6428" w:rsidRPr="00B81079">
        <w:t>привлечен като обвиняем</w:t>
      </w:r>
      <w:r w:rsidRPr="00B81079">
        <w:t>. (...)</w:t>
      </w:r>
    </w:p>
    <w:p w14:paraId="3ACF600E" w14:textId="0AA82E7B" w:rsidR="00FD340A" w:rsidRPr="00B81079" w:rsidRDefault="002C0148" w:rsidP="00377F8E">
      <w:pPr>
        <w:pStyle w:val="JuQuot"/>
      </w:pPr>
      <w:r w:rsidRPr="00B81079">
        <w:t xml:space="preserve">Относно твърденията на Елена Йончева, според които тя е работила за ТВ 7, събраните от </w:t>
      </w:r>
      <w:r w:rsidR="006418F1" w:rsidRPr="00B81079">
        <w:t>С</w:t>
      </w:r>
      <w:r w:rsidRPr="00B81079">
        <w:t>пециализираната прокуратура доказателства, въпреки че установяват, че тя е продала филмите си на тази телевизия, не ги подкрепят.</w:t>
      </w:r>
    </w:p>
    <w:p w14:paraId="40A4BA46" w14:textId="32B36DB4" w:rsidR="00FD340A" w:rsidRPr="00B81079" w:rsidRDefault="006418F1" w:rsidP="00377F8E">
      <w:pPr>
        <w:pStyle w:val="JuQuot"/>
      </w:pPr>
      <w:r w:rsidRPr="00B81079">
        <w:t>Към настоящия момент „</w:t>
      </w:r>
      <w:proofErr w:type="spellStart"/>
      <w:r w:rsidRPr="00B81079">
        <w:t>Офроуд“ООД</w:t>
      </w:r>
      <w:proofErr w:type="spellEnd"/>
      <w:r w:rsidRPr="00B81079">
        <w:t xml:space="preserve"> е без управител</w:t>
      </w:r>
      <w:r w:rsidR="00B35366">
        <w:t xml:space="preserve"> </w:t>
      </w:r>
      <w:r w:rsidRPr="00B81079">
        <w:t>/г-жа Йончева е поискала освобождаването си/, без имущество и без парични средства по банковите сметки</w:t>
      </w:r>
      <w:r w:rsidR="002C0148" w:rsidRPr="00B81079">
        <w:t>.</w:t>
      </w:r>
    </w:p>
    <w:p w14:paraId="0A8AEA52" w14:textId="28845AA0" w:rsidR="00FD340A" w:rsidRPr="00B81079" w:rsidRDefault="002C0148" w:rsidP="00377F8E">
      <w:pPr>
        <w:pStyle w:val="JuQuot"/>
      </w:pPr>
      <w:r w:rsidRPr="00B81079">
        <w:t xml:space="preserve">Предвид факта, че (...) съдружниците не са назначили нов управител в продължение на повече от три месеца, </w:t>
      </w:r>
      <w:r w:rsidR="0039432A" w:rsidRPr="00B81079">
        <w:t>в съответствие с разпоредбите на Търговския закон прокуратурата е поискала прекратяване на дружеството</w:t>
      </w:r>
      <w:r w:rsidRPr="00B81079">
        <w:t>.“</w:t>
      </w:r>
    </w:p>
    <w:bookmarkStart w:id="11" w:name="para10"/>
    <w:p w14:paraId="0E4C0BEE" w14:textId="44C1B6F9"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10</w:t>
      </w:r>
      <w:r w:rsidRPr="00B81079">
        <w:fldChar w:fldCharType="end"/>
      </w:r>
      <w:bookmarkEnd w:id="11"/>
      <w:r w:rsidRPr="00B81079">
        <w:t>.  </w:t>
      </w:r>
      <w:r w:rsidR="00764DA7" w:rsidRPr="00B81079">
        <w:t>Пресс</w:t>
      </w:r>
      <w:r w:rsidRPr="00B81079">
        <w:t xml:space="preserve">ъобщението </w:t>
      </w:r>
      <w:r w:rsidR="00764DA7" w:rsidRPr="00B81079">
        <w:t>на С</w:t>
      </w:r>
      <w:r w:rsidRPr="00B81079">
        <w:t xml:space="preserve">пециализираната прокуратура е широко разпространено от електронните и печатните медии. Политическите опоненти на </w:t>
      </w:r>
      <w:proofErr w:type="spellStart"/>
      <w:r w:rsidRPr="00B81079">
        <w:t>жалбоподателката</w:t>
      </w:r>
      <w:proofErr w:type="spellEnd"/>
      <w:r w:rsidRPr="00B81079">
        <w:t>, включително народният представител Т.Б., са потърсени от медиите и са коментирали прессъобщението и съдържащата се в него информация.</w:t>
      </w:r>
    </w:p>
    <w:bookmarkStart w:id="12" w:name="para11"/>
    <w:p w14:paraId="16726F86" w14:textId="095487A4"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11</w:t>
      </w:r>
      <w:r w:rsidRPr="00B81079">
        <w:fldChar w:fldCharType="end"/>
      </w:r>
      <w:bookmarkEnd w:id="12"/>
      <w:r w:rsidRPr="00B81079">
        <w:t>.  През юни 2020 г. няколко електронни медии публикува</w:t>
      </w:r>
      <w:r w:rsidR="00764DA7" w:rsidRPr="00B81079">
        <w:t>т</w:t>
      </w:r>
      <w:r w:rsidRPr="00B81079">
        <w:t xml:space="preserve"> запис на телефонен разговор с лице, чийто глас наподобява този на Б.Б., </w:t>
      </w:r>
      <w:r w:rsidR="00764DA7" w:rsidRPr="00B81079">
        <w:t xml:space="preserve">по това време </w:t>
      </w:r>
      <w:r w:rsidRPr="00B81079">
        <w:t xml:space="preserve">министър председател и лидер на управляващата партия ГЕРБ. Наред с други теми, свързани с актуални политически събития, записаното лице </w:t>
      </w:r>
      <w:r w:rsidR="00764DA7" w:rsidRPr="00B81079">
        <w:t xml:space="preserve">обсъжда </w:t>
      </w:r>
      <w:r w:rsidRPr="00B81079">
        <w:t xml:space="preserve">започването на наказателно производство срещу няколко политически фигури и </w:t>
      </w:r>
      <w:r w:rsidR="00764DA7" w:rsidRPr="00B81079">
        <w:t>привличането им като обвиняеми</w:t>
      </w:r>
      <w:r w:rsidRPr="00B81079">
        <w:t xml:space="preserve"> за корупция и злоупотреба с европейски средства с участието на техни близки роднини. Лицето завършва коментара си със следните думи: „</w:t>
      </w:r>
      <w:r w:rsidRPr="00B81079">
        <w:rPr>
          <w:i/>
        </w:rPr>
        <w:t>Но аз ще изгоря всичко... Да не изгори и Елена Йончева</w:t>
      </w:r>
      <w:r w:rsidR="00764DA7" w:rsidRPr="00B81079">
        <w:rPr>
          <w:i/>
        </w:rPr>
        <w:t>“</w:t>
      </w:r>
      <w:r w:rsidRPr="00B81079">
        <w:t xml:space="preserve">. По-нататък в разговора се чува следното изречение: </w:t>
      </w:r>
      <w:r w:rsidRPr="00B35366">
        <w:rPr>
          <w:i/>
        </w:rPr>
        <w:t>„изведнъж си разследваща журналистка, ама свекър ти не го разследваш“</w:t>
      </w:r>
      <w:r w:rsidRPr="00B81079">
        <w:t xml:space="preserve">.  Според заключенията на независима техническа експертиза, извършена по инициатива на </w:t>
      </w:r>
      <w:proofErr w:type="spellStart"/>
      <w:r w:rsidRPr="00B81079">
        <w:t>жалбоподателката</w:t>
      </w:r>
      <w:proofErr w:type="spellEnd"/>
      <w:r w:rsidRPr="00B81079">
        <w:t xml:space="preserve"> и представена на Съда, гласът на записа действително е на Б.Б.</w:t>
      </w:r>
    </w:p>
    <w:bookmarkStart w:id="13" w:name="para12"/>
    <w:p w14:paraId="3F2D14C9" w14:textId="1616E1E5"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12</w:t>
      </w:r>
      <w:r w:rsidRPr="00B81079">
        <w:fldChar w:fldCharType="end"/>
      </w:r>
      <w:bookmarkEnd w:id="13"/>
      <w:r w:rsidRPr="00B81079">
        <w:t xml:space="preserve">.  Записът е представен на вниманието на </w:t>
      </w:r>
      <w:r w:rsidR="00764DA7" w:rsidRPr="00B81079">
        <w:t>С</w:t>
      </w:r>
      <w:r w:rsidRPr="00B81079">
        <w:t xml:space="preserve">пециализираната прокуратура, която възлага </w:t>
      </w:r>
      <w:r w:rsidR="00764DA7" w:rsidRPr="00B81079">
        <w:t xml:space="preserve">изготвянето на </w:t>
      </w:r>
      <w:r w:rsidRPr="00B81079">
        <w:t xml:space="preserve">експертиза за установяване на съдържанието на записания разговор. С </w:t>
      </w:r>
      <w:r w:rsidR="00802BC2" w:rsidRPr="00B81079">
        <w:t xml:space="preserve">постановление </w:t>
      </w:r>
      <w:r w:rsidRPr="00B81079">
        <w:t>от 17 декември 202</w:t>
      </w:r>
      <w:r w:rsidR="00764DA7" w:rsidRPr="00B81079">
        <w:t>0</w:t>
      </w:r>
      <w:r w:rsidRPr="00B81079">
        <w:t xml:space="preserve"> г. прокурор от </w:t>
      </w:r>
      <w:r w:rsidR="002C04FF" w:rsidRPr="00B81079">
        <w:t>С</w:t>
      </w:r>
      <w:r w:rsidRPr="00B81079">
        <w:t>пециализираната прокуратура отказ</w:t>
      </w:r>
      <w:r w:rsidR="002C04FF" w:rsidRPr="00B81079">
        <w:t>ва</w:t>
      </w:r>
      <w:r w:rsidRPr="00B81079">
        <w:t xml:space="preserve"> да </w:t>
      </w:r>
      <w:r w:rsidR="00B35366">
        <w:t>образува наказателно производство</w:t>
      </w:r>
      <w:r w:rsidRPr="00B81079">
        <w:t xml:space="preserve"> по твърденията за вмешателство на Б.Б. в </w:t>
      </w:r>
      <w:r w:rsidR="002C04FF" w:rsidRPr="00B81079">
        <w:t>производството</w:t>
      </w:r>
      <w:r w:rsidRPr="00B81079">
        <w:t xml:space="preserve"> срещу </w:t>
      </w:r>
      <w:proofErr w:type="spellStart"/>
      <w:r w:rsidRPr="00B81079">
        <w:t>жалбоподателката</w:t>
      </w:r>
      <w:proofErr w:type="spellEnd"/>
      <w:r w:rsidRPr="00B81079">
        <w:t xml:space="preserve">. Прокурорът </w:t>
      </w:r>
      <w:r w:rsidR="002C04FF" w:rsidRPr="00B81079">
        <w:t>намира</w:t>
      </w:r>
      <w:r w:rsidRPr="00B81079">
        <w:t xml:space="preserve">, че дори да се приеме, че гласът на записа е на Б.Б., извършените следствени действия не позволяват да се заключи, че той е инициирал или повлиял на хода на данъчните проверки или наказателни разследвания срещу </w:t>
      </w:r>
      <w:proofErr w:type="spellStart"/>
      <w:r w:rsidRPr="00B81079">
        <w:lastRenderedPageBreak/>
        <w:t>жалбоподателката</w:t>
      </w:r>
      <w:proofErr w:type="spellEnd"/>
      <w:r w:rsidRPr="00B81079">
        <w:t xml:space="preserve"> или нейни близки. Това решение е потвърдено на 16 март 2021 г. от </w:t>
      </w:r>
      <w:proofErr w:type="spellStart"/>
      <w:r w:rsidR="00B35366">
        <w:t>горестоящия</w:t>
      </w:r>
      <w:proofErr w:type="spellEnd"/>
      <w:r w:rsidR="00B35366" w:rsidRPr="00B81079">
        <w:t xml:space="preserve"> </w:t>
      </w:r>
      <w:r w:rsidRPr="00B81079">
        <w:t>прокурор.</w:t>
      </w:r>
    </w:p>
    <w:bookmarkStart w:id="14" w:name="para13"/>
    <w:p w14:paraId="3F834A32" w14:textId="68E5DFFE"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13</w:t>
      </w:r>
      <w:r w:rsidRPr="00B81079">
        <w:fldChar w:fldCharType="end"/>
      </w:r>
      <w:bookmarkEnd w:id="14"/>
      <w:r w:rsidRPr="00B81079">
        <w:t xml:space="preserve">.  След избирането на </w:t>
      </w:r>
      <w:proofErr w:type="spellStart"/>
      <w:r w:rsidRPr="00B81079">
        <w:t>жалбоподателката</w:t>
      </w:r>
      <w:proofErr w:type="spellEnd"/>
      <w:r w:rsidRPr="00B81079">
        <w:t xml:space="preserve"> в Европейския парламент през 2019 г., </w:t>
      </w:r>
      <w:r w:rsidR="002C04FF" w:rsidRPr="00B81079">
        <w:t>П</w:t>
      </w:r>
      <w:r w:rsidRPr="00B81079">
        <w:t>рокуратура</w:t>
      </w:r>
      <w:r w:rsidR="002C04FF" w:rsidRPr="00B81079">
        <w:t>та на Р. България</w:t>
      </w:r>
      <w:r w:rsidRPr="00B81079">
        <w:t xml:space="preserve"> </w:t>
      </w:r>
      <w:r w:rsidR="002C04FF" w:rsidRPr="00B81079">
        <w:t xml:space="preserve">иска снемане </w:t>
      </w:r>
      <w:r w:rsidRPr="00B81079">
        <w:t>на имунитета ѝ като европейски депутат. На 15 февруари 2022 г. Европейският парламент отказва да уважи това искане с решение, което гласи:</w:t>
      </w:r>
    </w:p>
    <w:p w14:paraId="2AC23E93" w14:textId="01D7FBC4" w:rsidR="00FD340A" w:rsidRPr="00B81079" w:rsidRDefault="002C0148" w:rsidP="00377F8E">
      <w:pPr>
        <w:pStyle w:val="JuQuot"/>
        <w:rPr>
          <w:b/>
          <w:bCs/>
        </w:rPr>
      </w:pPr>
      <w:r w:rsidRPr="00B81079">
        <w:rPr>
          <w:b/>
        </w:rPr>
        <w:t xml:space="preserve">„Решение на Европейския парламент от 15 февруари 2022 г. относно </w:t>
      </w:r>
      <w:r w:rsidR="002C04FF" w:rsidRPr="00B81079">
        <w:rPr>
          <w:b/>
        </w:rPr>
        <w:t xml:space="preserve">искане </w:t>
      </w:r>
      <w:r w:rsidRPr="00B81079">
        <w:rPr>
          <w:b/>
        </w:rPr>
        <w:t xml:space="preserve">за </w:t>
      </w:r>
      <w:r w:rsidR="002C04FF" w:rsidRPr="00B81079">
        <w:rPr>
          <w:b/>
        </w:rPr>
        <w:t xml:space="preserve">снемане </w:t>
      </w:r>
      <w:r w:rsidRPr="00B81079">
        <w:rPr>
          <w:b/>
        </w:rPr>
        <w:t>на имунитета на Елена Йончева (2019/2155(IMM))</w:t>
      </w:r>
    </w:p>
    <w:p w14:paraId="78E76225" w14:textId="77777777" w:rsidR="00FD340A" w:rsidRPr="00B81079" w:rsidRDefault="002C0148" w:rsidP="00377F8E">
      <w:pPr>
        <w:pStyle w:val="JuQuot"/>
      </w:pPr>
      <w:r w:rsidRPr="00B81079">
        <w:t>Европейският парламент,</w:t>
      </w:r>
    </w:p>
    <w:p w14:paraId="5FAD0FFD" w14:textId="06E4D142" w:rsidR="00FD340A" w:rsidRPr="00B81079" w:rsidRDefault="002C0148" w:rsidP="00377F8E">
      <w:pPr>
        <w:pStyle w:val="JuQuot"/>
      </w:pPr>
      <w:r w:rsidRPr="00B81079">
        <w:t>–</w:t>
      </w:r>
      <w:r w:rsidRPr="00B81079">
        <w:tab/>
      </w:r>
      <w:r w:rsidR="002C04FF" w:rsidRPr="00B81079">
        <w:t xml:space="preserve">като взе предвид искането за снемане на имунитета на Елена Йончева от 18 октомври 2019 г., </w:t>
      </w:r>
      <w:r w:rsidR="00B35366">
        <w:t>изпратено</w:t>
      </w:r>
      <w:r w:rsidR="00B35366" w:rsidRPr="00B81079">
        <w:t xml:space="preserve"> </w:t>
      </w:r>
      <w:r w:rsidR="002C04FF" w:rsidRPr="00B81079">
        <w:t>от главния прокурор на Република България с цел започване на наказателно производство срещу г-жа Йончева в Република България за престъпление по Наказателния кодекс и обявено в пленарно заседание на 25 ноември 2019</w:t>
      </w:r>
      <w:r w:rsidRPr="00B81079">
        <w:t xml:space="preserve"> г.,</w:t>
      </w:r>
    </w:p>
    <w:p w14:paraId="0D4B4224" w14:textId="133C73E5" w:rsidR="00FD340A" w:rsidRPr="00B81079" w:rsidRDefault="002C0148" w:rsidP="00377F8E">
      <w:pPr>
        <w:pStyle w:val="JuQuot"/>
      </w:pPr>
      <w:r w:rsidRPr="00B81079">
        <w:t>–</w:t>
      </w:r>
      <w:r w:rsidRPr="00B81079">
        <w:tab/>
        <w:t xml:space="preserve">след като изслуша Елена Йончева съгласно член 9, параграф 6 от </w:t>
      </w:r>
      <w:r w:rsidR="002C04FF" w:rsidRPr="00B81079">
        <w:t>Правилник</w:t>
      </w:r>
      <w:r w:rsidR="00B35366">
        <w:t>а</w:t>
      </w:r>
      <w:r w:rsidR="002C04FF" w:rsidRPr="00B81079">
        <w:t xml:space="preserve"> за дейността</w:t>
      </w:r>
      <w:r w:rsidR="00B35366">
        <w:t xml:space="preserve"> си</w:t>
      </w:r>
      <w:r w:rsidRPr="00B81079">
        <w:t>,</w:t>
      </w:r>
    </w:p>
    <w:p w14:paraId="1B3521C4" w14:textId="100CF39E" w:rsidR="00FD340A" w:rsidRPr="00B81079" w:rsidRDefault="002C0148" w:rsidP="00377F8E">
      <w:pPr>
        <w:pStyle w:val="JuQuot"/>
      </w:pPr>
      <w:r w:rsidRPr="00B81079">
        <w:t>–</w:t>
      </w:r>
      <w:r w:rsidRPr="00B81079">
        <w:tab/>
      </w:r>
      <w:r w:rsidR="002C04FF" w:rsidRPr="00B81079">
        <w:t xml:space="preserve">като взе предвид членове 8 и 9 от Протокол № 7 за привилегиите и имунитетите на Европейския съюз, както и член 6, параграф 2 от Акта за избирането на членове на Европейския парламент чрез всеобщи преки избори от 20 септември </w:t>
      </w:r>
      <w:r w:rsidRPr="00B81079">
        <w:t>1976 г.,</w:t>
      </w:r>
    </w:p>
    <w:p w14:paraId="605D2901" w14:textId="5BEAAB9F" w:rsidR="00FD340A" w:rsidRPr="00B81079" w:rsidRDefault="002C0148" w:rsidP="00377F8E">
      <w:pPr>
        <w:pStyle w:val="JuQuot"/>
      </w:pPr>
      <w:r w:rsidRPr="00B81079">
        <w:t>–</w:t>
      </w:r>
      <w:r w:rsidRPr="00B81079">
        <w:tab/>
      </w:r>
      <w:r w:rsidR="002C04FF" w:rsidRPr="00B81079">
        <w:t>като взе предвид решенията на Съда на Европейския съюз от 21 октомври 2008 г., 19 март 2010 г., 6 септември 2011 г., 17 януари 2013 г., 19 декември 2019 г. и 17 септември</w:t>
      </w:r>
      <w:r w:rsidRPr="00B81079">
        <w:t xml:space="preserve"> 2020 г.,</w:t>
      </w:r>
    </w:p>
    <w:p w14:paraId="70FAEC2B" w14:textId="77777777" w:rsidR="00FD340A" w:rsidRPr="00B81079" w:rsidRDefault="002C0148" w:rsidP="00377F8E">
      <w:pPr>
        <w:pStyle w:val="JuQuot"/>
      </w:pPr>
      <w:r w:rsidRPr="00B81079">
        <w:t>–</w:t>
      </w:r>
      <w:r w:rsidRPr="00B81079">
        <w:tab/>
      </w:r>
      <w:r w:rsidR="002C04FF" w:rsidRPr="00B81079">
        <w:t xml:space="preserve">като взе </w:t>
      </w:r>
      <w:r w:rsidRPr="00B81079">
        <w:t>предвид членове 69 и 70 от Конституцията на Република България и член 138 от Правилника за организацията и дейността на Народното събрание на Република България,</w:t>
      </w:r>
    </w:p>
    <w:p w14:paraId="65432189" w14:textId="54C6C794" w:rsidR="00FD340A" w:rsidRPr="00B81079" w:rsidRDefault="002C0148" w:rsidP="00377F8E">
      <w:pPr>
        <w:pStyle w:val="JuQuot"/>
      </w:pPr>
      <w:r w:rsidRPr="00B81079">
        <w:t>–</w:t>
      </w:r>
      <w:r w:rsidRPr="00B81079">
        <w:tab/>
      </w:r>
      <w:r w:rsidR="002C04FF" w:rsidRPr="00B81079">
        <w:t>като взе предвид своята резолюция от 8 октомври 2020 г. относно принципите на правовата държава и основните права в България</w:t>
      </w:r>
      <w:r w:rsidRPr="00B81079">
        <w:t>,</w:t>
      </w:r>
    </w:p>
    <w:p w14:paraId="5B6A5E9B" w14:textId="1136E466" w:rsidR="00FD340A" w:rsidRPr="00B81079" w:rsidRDefault="002C0148" w:rsidP="00377F8E">
      <w:pPr>
        <w:pStyle w:val="JuQuot"/>
      </w:pPr>
      <w:r w:rsidRPr="00B81079">
        <w:t>–</w:t>
      </w:r>
      <w:r w:rsidRPr="00B81079">
        <w:tab/>
      </w:r>
      <w:r w:rsidR="001A0D53" w:rsidRPr="00B81079">
        <w:t xml:space="preserve">като взе </w:t>
      </w:r>
      <w:r w:rsidRPr="00B81079">
        <w:t xml:space="preserve">предвид член 5, параграф 2, член 6, параграф 1 и член 9 от </w:t>
      </w:r>
      <w:r w:rsidR="001A0D53" w:rsidRPr="00B81079">
        <w:t>Правилник</w:t>
      </w:r>
      <w:r w:rsidR="00B35366">
        <w:t>а</w:t>
      </w:r>
      <w:r w:rsidR="001A0D53" w:rsidRPr="00B81079">
        <w:t xml:space="preserve"> за дейността</w:t>
      </w:r>
      <w:r w:rsidR="00B35366">
        <w:t xml:space="preserve"> си</w:t>
      </w:r>
      <w:r w:rsidRPr="00B81079">
        <w:t>,</w:t>
      </w:r>
    </w:p>
    <w:p w14:paraId="1ABC5859" w14:textId="77777777" w:rsidR="00FD340A" w:rsidRPr="00B81079" w:rsidRDefault="002C0148" w:rsidP="00377F8E">
      <w:pPr>
        <w:pStyle w:val="JuQuot"/>
      </w:pPr>
      <w:r w:rsidRPr="00B81079">
        <w:t>–</w:t>
      </w:r>
      <w:r w:rsidRPr="00B81079">
        <w:tab/>
        <w:t>като взе предвид доклада на комисията по правни въпроси (A9-0014/2022),</w:t>
      </w:r>
    </w:p>
    <w:p w14:paraId="4696015C" w14:textId="4BDC8D06" w:rsidR="00FD340A" w:rsidRPr="00B81079" w:rsidRDefault="002C0148" w:rsidP="00377F8E">
      <w:pPr>
        <w:pStyle w:val="JuQuot"/>
      </w:pPr>
      <w:r w:rsidRPr="00B81079">
        <w:t>A.  </w:t>
      </w:r>
      <w:r w:rsidR="001A0D53" w:rsidRPr="00B81079">
        <w:t>като има предвид, от една страна, че Парламентът не може да се счита за съд, и от друга страна, че съответният член на ЕП не може да се счита в контекста на процедура за снемане на имунитет за „обвиняем</w:t>
      </w:r>
      <w:r w:rsidRPr="00B81079">
        <w:t>“;</w:t>
      </w:r>
    </w:p>
    <w:p w14:paraId="03BEF4A7" w14:textId="671AF0C6" w:rsidR="00FD340A" w:rsidRPr="00B81079" w:rsidRDefault="002C0148" w:rsidP="00377F8E">
      <w:pPr>
        <w:pStyle w:val="JuQuot"/>
      </w:pPr>
      <w:r w:rsidRPr="00B81079">
        <w:t>B.  </w:t>
      </w:r>
      <w:r w:rsidR="001A0D53" w:rsidRPr="00B81079">
        <w:t>като има предвид, че главният прокурор на Република България е поискал снемане на имунитета на Елена Йончева във връзка с разследване за престъпление по член 253, алинея 5 във връзка с член 253, алинея 1 от Наказателния кодекс (изпиране на пари</w:t>
      </w:r>
      <w:r w:rsidRPr="00B81079">
        <w:t>);</w:t>
      </w:r>
    </w:p>
    <w:p w14:paraId="4FBC500E" w14:textId="0F93D4B8" w:rsidR="00FD340A" w:rsidRPr="00B81079" w:rsidRDefault="002C0148" w:rsidP="00377F8E">
      <w:pPr>
        <w:pStyle w:val="JuQuot"/>
      </w:pPr>
      <w:r w:rsidRPr="00B81079">
        <w:t>C.  </w:t>
      </w:r>
      <w:r w:rsidR="00EB6F5E" w:rsidRPr="00B81079">
        <w:t>като има предвид, че на 31 август 2018 г. е образувано досъдебно производство по този случай, което е отразено в регистъра на следствения отдел към специализираната прокуратура на основание член 212, алинея 1 от Наказателно-процесуалния кодекс; като има предвид, че е започнато разследване и че с постановление от 11 януари 2019 г. срещу Елена Йончева е повдигнато обвинение за престъпление по член 253, алинея 5 от Наказателния кодекс</w:t>
      </w:r>
      <w:r w:rsidRPr="00B81079">
        <w:t>;</w:t>
      </w:r>
    </w:p>
    <w:p w14:paraId="06581B6E" w14:textId="355442D4" w:rsidR="00FD340A" w:rsidRPr="00B81079" w:rsidRDefault="002C0148" w:rsidP="00377F8E">
      <w:pPr>
        <w:pStyle w:val="JuQuot"/>
      </w:pPr>
      <w:r w:rsidRPr="00B81079">
        <w:lastRenderedPageBreak/>
        <w:t>D.  </w:t>
      </w:r>
      <w:r w:rsidR="00EB6F5E" w:rsidRPr="00B81079">
        <w:t>като има предвид, че деянията, за които е повдигнато обвинение, се предполага, че са извършени между 2010 г. и 2018 г. под формата на финансови операции, извършени със средства, за които се твърди, че са присвоени от корпоративна банка; като има предвид, че по това време Елена Йончева е упражнявала професията си на журналист, а след това е била депутат в българското Народно събрание</w:t>
      </w:r>
      <w:r w:rsidRPr="00B81079">
        <w:t>;</w:t>
      </w:r>
    </w:p>
    <w:p w14:paraId="7D21057A" w14:textId="7C948A64" w:rsidR="00FD340A" w:rsidRPr="00B81079" w:rsidRDefault="002C0148" w:rsidP="00377F8E">
      <w:pPr>
        <w:pStyle w:val="JuQuot"/>
      </w:pPr>
      <w:r w:rsidRPr="00B81079">
        <w:t>E.  </w:t>
      </w:r>
      <w:r w:rsidR="00EB6F5E" w:rsidRPr="00B81079">
        <w:t>като има предвид, че Елена Йончева беше избрана за член на Европейския парламент след изборите от 26 май 2019 г.; като има предвид, че на 30 септември 2019 г. с решение на наблюдаващия прокурор от специализираната прокуратура наказателното производство срещу Елена Йончева беше спряно, докато Европейският парламент не вземе решение относно снемането на имунитета ѝ</w:t>
      </w:r>
      <w:r w:rsidRPr="00B81079">
        <w:t>;</w:t>
      </w:r>
    </w:p>
    <w:p w14:paraId="76DC1433" w14:textId="698E1430" w:rsidR="00FD340A" w:rsidRPr="00B81079" w:rsidRDefault="002C0148" w:rsidP="00377F8E">
      <w:pPr>
        <w:pStyle w:val="JuQuot"/>
      </w:pPr>
      <w:r w:rsidRPr="00B81079">
        <w:t>F.  </w:t>
      </w:r>
      <w:r w:rsidR="00EB6F5E" w:rsidRPr="00B81079">
        <w:t>като има предвид, че главният прокурор на Република България предаде искането за снемане на имунитета на 18 октомври</w:t>
      </w:r>
      <w:r w:rsidR="00EB6F5E" w:rsidRPr="00B81079" w:rsidDel="00EB6F5E">
        <w:t xml:space="preserve"> </w:t>
      </w:r>
      <w:r w:rsidRPr="00B81079">
        <w:t>2019 г.;</w:t>
      </w:r>
    </w:p>
    <w:p w14:paraId="73FFE488" w14:textId="0AA96B01" w:rsidR="00FD340A" w:rsidRPr="00B81079" w:rsidRDefault="002C0148" w:rsidP="00377F8E">
      <w:pPr>
        <w:pStyle w:val="JuQuot"/>
      </w:pPr>
      <w:r w:rsidRPr="00B81079">
        <w:t>G.  </w:t>
      </w:r>
      <w:r w:rsidR="00EB6F5E" w:rsidRPr="00B81079">
        <w:t>като има предвид, че предполагаемото престъпление не се отнася до изразени мнения или гласувания от страна на Елена Йончева при изпълнението на задълженията ѝ в съответствие с член 8 от Протокол № 7 за привилегиите и имунитетите на Европейския съюз</w:t>
      </w:r>
      <w:r w:rsidRPr="00B81079">
        <w:t>;</w:t>
      </w:r>
    </w:p>
    <w:p w14:paraId="3AEF26EC" w14:textId="207AB89E" w:rsidR="00FD340A" w:rsidRPr="00B81079" w:rsidRDefault="002C0148" w:rsidP="00377F8E">
      <w:pPr>
        <w:pStyle w:val="JuQuot"/>
      </w:pPr>
      <w:r w:rsidRPr="00B81079">
        <w:t>H.  </w:t>
      </w:r>
      <w:r w:rsidR="00EB6F5E" w:rsidRPr="00B81079">
        <w:t>като има предвид, че член 9 от Протокол № 7 за привилегиите и имунитетите на Европейския съюз гласи, че членовете на Европейския парламент на територията на тяхната собствена държава се ползват от имунитетите, предоставяни на членовете на националните парламенти</w:t>
      </w:r>
      <w:r w:rsidRPr="00B81079">
        <w:t>;</w:t>
      </w:r>
    </w:p>
    <w:p w14:paraId="03B50CC5" w14:textId="1F09422B" w:rsidR="00FD340A" w:rsidRPr="00B81079" w:rsidRDefault="002C0148" w:rsidP="00377F8E">
      <w:pPr>
        <w:pStyle w:val="JuQuot"/>
      </w:pPr>
      <w:r w:rsidRPr="00B81079">
        <w:t>I.  </w:t>
      </w:r>
      <w:r w:rsidR="00EB6F5E" w:rsidRPr="00B81079">
        <w:t>като има предвид, че целта на парламентарния имунитет е да защитава Парламента и неговите членове от съдебно преследване във връзка с дейности, които са извършвани при изпълнението на парламентарните задължения и които са неделими от тези задължения</w:t>
      </w:r>
      <w:r w:rsidRPr="00B81079">
        <w:t>;</w:t>
      </w:r>
    </w:p>
    <w:p w14:paraId="53B79DA8" w14:textId="1C51E7F5" w:rsidR="00FD340A" w:rsidRPr="00B81079" w:rsidRDefault="002C0148" w:rsidP="00377F8E">
      <w:pPr>
        <w:pStyle w:val="JuQuot"/>
      </w:pPr>
      <w:r w:rsidRPr="00B81079">
        <w:t>J.  </w:t>
      </w:r>
      <w:r w:rsidR="00EB6F5E" w:rsidRPr="00B81079">
        <w:t xml:space="preserve">като има предвид, че в този случай Елена Йончева твърди, че е била жертва на </w:t>
      </w:r>
      <w:proofErr w:type="spellStart"/>
      <w:r w:rsidR="00EB6F5E" w:rsidRPr="00B81079">
        <w:t>fumus</w:t>
      </w:r>
      <w:proofErr w:type="spellEnd"/>
      <w:r w:rsidR="00EB6F5E" w:rsidRPr="00B81079">
        <w:t xml:space="preserve"> </w:t>
      </w:r>
      <w:proofErr w:type="spellStart"/>
      <w:r w:rsidR="00EB6F5E" w:rsidRPr="00B81079">
        <w:t>persecutionis</w:t>
      </w:r>
      <w:proofErr w:type="spellEnd"/>
      <w:r w:rsidR="00EB6F5E" w:rsidRPr="00B81079">
        <w:t xml:space="preserve">, т.е. конкретни елементи, които указват намерение чрез съдебното производство да се навреди на политическата ѝ дейност, включително </w:t>
      </w:r>
      <w:r w:rsidR="00B35366">
        <w:t xml:space="preserve">на </w:t>
      </w:r>
      <w:r w:rsidR="00EB6F5E" w:rsidRPr="00B81079">
        <w:t>дейността ѝ на член на Европейския парламент</w:t>
      </w:r>
      <w:r w:rsidRPr="00B81079">
        <w:t>;</w:t>
      </w:r>
    </w:p>
    <w:p w14:paraId="462829CC" w14:textId="787284C6" w:rsidR="00FD340A" w:rsidRPr="00B81079" w:rsidRDefault="002C0148" w:rsidP="00377F8E">
      <w:pPr>
        <w:pStyle w:val="JuQuot"/>
      </w:pPr>
      <w:r w:rsidRPr="00B81079">
        <w:t>K.  </w:t>
      </w:r>
      <w:r w:rsidR="00EB6F5E" w:rsidRPr="00B81079">
        <w:t>като има предвид, че от съдебната практика на Съда на ЕС следва, че Парламентът разполага с „много широко право на преценка относно насоките, които той смята да даде на решение, прието въз основа на постъпило искане за снемане (...) на имунитета, поради политическия характер на такова решение</w:t>
      </w:r>
      <w:r w:rsidRPr="00B81079">
        <w:t>“;</w:t>
      </w:r>
    </w:p>
    <w:p w14:paraId="0DD842F1" w14:textId="5C5CA96C" w:rsidR="00FD340A" w:rsidRPr="00B81079" w:rsidRDefault="002C0148" w:rsidP="00377F8E">
      <w:pPr>
        <w:pStyle w:val="JuQuot"/>
      </w:pPr>
      <w:r w:rsidRPr="00B81079">
        <w:t>L.  </w:t>
      </w:r>
      <w:r w:rsidR="004718F1" w:rsidRPr="00B81079">
        <w:t>като има предвид, че Елена Йончева е член на комисията LIBE, където редовно се изказва срещу политическите органи в своята страна; като има предвид по-конкретно, че тя беше част от парламентарната делегация, която посети България на 23 и 24 септември 2021 г. като част от наблюдението на положението с принципите на правовата държава в България</w:t>
      </w:r>
      <w:r w:rsidRPr="00B81079">
        <w:t>;</w:t>
      </w:r>
    </w:p>
    <w:p w14:paraId="3C8CC422" w14:textId="69DC7A0F" w:rsidR="00FD340A" w:rsidRPr="00B81079" w:rsidRDefault="002C0148" w:rsidP="00377F8E">
      <w:pPr>
        <w:pStyle w:val="JuQuot"/>
      </w:pPr>
      <w:r w:rsidRPr="00B81079">
        <w:t>M.  </w:t>
      </w:r>
      <w:r w:rsidR="004718F1" w:rsidRPr="00B81079">
        <w:t>като има предвид, че досъдебното производство срещу нея беше образувано едва на 31 август 2018 г., т.е. в момент, когато нейната политическа ангажираност беше добре известна, докато предполагаемото престъпление е започнало през 2010 г., както и че подобно забавяне на действията не е обосновано по убедителен начин</w:t>
      </w:r>
      <w:r w:rsidRPr="00B81079">
        <w:t>;</w:t>
      </w:r>
    </w:p>
    <w:p w14:paraId="7F4D291C" w14:textId="4A438BE2" w:rsidR="00FD340A" w:rsidRPr="00B81079" w:rsidRDefault="002C0148" w:rsidP="00377F8E">
      <w:pPr>
        <w:pStyle w:val="JuQuot"/>
      </w:pPr>
      <w:r w:rsidRPr="00B81079">
        <w:t>N.  </w:t>
      </w:r>
      <w:r w:rsidR="004718F1" w:rsidRPr="00B81079">
        <w:t>като има предвид, че съдебното производство беше започнато след сигнал от двама депутати, които са. политически опоненти на Елена Йончева</w:t>
      </w:r>
      <w:r w:rsidRPr="00B81079">
        <w:t>;</w:t>
      </w:r>
    </w:p>
    <w:p w14:paraId="4E2F126E" w14:textId="1C5A2F4D" w:rsidR="00FD340A" w:rsidRPr="00B81079" w:rsidRDefault="002C0148" w:rsidP="00377F8E">
      <w:pPr>
        <w:pStyle w:val="JuQuot"/>
      </w:pPr>
      <w:r w:rsidRPr="00B81079">
        <w:t>O.  </w:t>
      </w:r>
      <w:r w:rsidR="004718F1" w:rsidRPr="00B81079">
        <w:t xml:space="preserve">като има предвид, че като разследващ журналист, а след това и като член на националния парламент, Елена Йончева е осъдила липсата на разследване на </w:t>
      </w:r>
      <w:r w:rsidR="004718F1" w:rsidRPr="00B81079">
        <w:lastRenderedPageBreak/>
        <w:t>корупцията по високите етажи на властта в своята страна и продължава да я осъжда като член на Европейския парламент</w:t>
      </w:r>
      <w:r w:rsidRPr="00B81079">
        <w:t>;</w:t>
      </w:r>
    </w:p>
    <w:p w14:paraId="7EE2D827" w14:textId="4AD55A6A" w:rsidR="00FD340A" w:rsidRPr="00B81079" w:rsidRDefault="002C0148" w:rsidP="00377F8E">
      <w:pPr>
        <w:pStyle w:val="JuQuot"/>
      </w:pPr>
      <w:r w:rsidRPr="00B81079">
        <w:t>P.  </w:t>
      </w:r>
      <w:r w:rsidR="004718F1" w:rsidRPr="00B81079">
        <w:t>като има предвид, че през януари 2019 г. Съюзът на българските журналисти публично заяви, че наказателното преследване срещу Елена Йончева е свързано с нейните разследвания и е опит да се атакува свободата на изразяване на мнение на политически опонент</w:t>
      </w:r>
      <w:r w:rsidRPr="00B81079">
        <w:t>;</w:t>
      </w:r>
    </w:p>
    <w:p w14:paraId="5F8B5A56" w14:textId="01E4C61F" w:rsidR="00FD340A" w:rsidRPr="00B81079" w:rsidRDefault="002C0148" w:rsidP="00377F8E">
      <w:pPr>
        <w:pStyle w:val="JuQuot"/>
      </w:pPr>
      <w:r w:rsidRPr="00B81079">
        <w:t>Q.  </w:t>
      </w:r>
      <w:r w:rsidR="004718F1" w:rsidRPr="00B81079">
        <w:t xml:space="preserve">като има предвид, че на 28 септември 2021 г. Европейският съд по правата на човека </w:t>
      </w:r>
      <w:r w:rsidR="00EA6EEE">
        <w:t>допусна</w:t>
      </w:r>
      <w:r w:rsidR="004718F1" w:rsidRPr="00B81079">
        <w:t xml:space="preserve"> подадената от Елена Йончева жалба срещу България във връзка с това наказателно преследване, въз основа на член 6, параграф 2 (презумпция за невиновност), член 13 (право на ефективни правни средства за защита) и член 18 (липса на законна цел за ограничаване на правата) от Европейската конвенция за защита на правата на човека</w:t>
      </w:r>
      <w:r w:rsidRPr="00B81079">
        <w:t>;</w:t>
      </w:r>
    </w:p>
    <w:p w14:paraId="00156CFD" w14:textId="2317A1A1" w:rsidR="00FD340A" w:rsidRPr="00B81079" w:rsidRDefault="002C0148" w:rsidP="00377F8E">
      <w:pPr>
        <w:pStyle w:val="JuQuot"/>
      </w:pPr>
      <w:r w:rsidRPr="00B81079">
        <w:t>R.  </w:t>
      </w:r>
      <w:r w:rsidR="004718F1" w:rsidRPr="00AD7E70">
        <w:t>като</w:t>
      </w:r>
      <w:r w:rsidR="004718F1" w:rsidRPr="00B81079">
        <w:t xml:space="preserve"> има предвид, че документите, предоставени на Европейския съд по правата на човека, разкриват, че запис на телефонен разговор относно образуването на наказателно производство срещу Елена Йончева е бил публикуван на 12 юни 2020 г. от няколко български електронни медии, и като има предвид, че в експертен доклад, приложен към делото, се стига до заключението, че един от гласовете е този на българския министър-председател</w:t>
      </w:r>
      <w:r w:rsidRPr="00B81079">
        <w:t>;</w:t>
      </w:r>
    </w:p>
    <w:p w14:paraId="5102CDEC" w14:textId="5CA050F6" w:rsidR="00FD340A" w:rsidRPr="00B81079" w:rsidRDefault="002C0148" w:rsidP="00377F8E">
      <w:pPr>
        <w:pStyle w:val="JuQuot"/>
      </w:pPr>
      <w:r w:rsidRPr="00B81079">
        <w:t>S.  </w:t>
      </w:r>
      <w:r w:rsidR="004718F1" w:rsidRPr="00B81079">
        <w:t>като има предвид, че непротиворечивият характер и изключителната тежест на тези конкретни елементи поражда сериозно съмнение за евентуално намерение да се навреди на политическата дейност на Елена Йончева, и по-специално на нейната дейност като член на Европейския парламент, като в този случай фактът, че производството е образувано преди избирането ѝ за член на Европейския парламент, не е достатъчен, за да разсее съмнението</w:t>
      </w:r>
      <w:r w:rsidRPr="00B81079">
        <w:t>;</w:t>
      </w:r>
    </w:p>
    <w:p w14:paraId="73A2B06C" w14:textId="3424C86D" w:rsidR="00FD340A" w:rsidRPr="00B81079" w:rsidRDefault="002C0148" w:rsidP="00377F8E">
      <w:pPr>
        <w:pStyle w:val="JuQuot"/>
      </w:pPr>
      <w:r w:rsidRPr="00B81079">
        <w:t>T.  </w:t>
      </w:r>
      <w:r w:rsidR="004718F1" w:rsidRPr="00B81079">
        <w:t xml:space="preserve">като има предвид, че в светлината на гореизложеното изглежда, че в настоящия случай може да се предположи наличието на </w:t>
      </w:r>
      <w:proofErr w:type="spellStart"/>
      <w:r w:rsidR="004718F1" w:rsidRPr="00B81079">
        <w:rPr>
          <w:i/>
        </w:rPr>
        <w:t>fumus</w:t>
      </w:r>
      <w:proofErr w:type="spellEnd"/>
      <w:r w:rsidR="004718F1" w:rsidRPr="00B81079">
        <w:rPr>
          <w:i/>
        </w:rPr>
        <w:t xml:space="preserve"> </w:t>
      </w:r>
      <w:proofErr w:type="spellStart"/>
      <w:r w:rsidR="004718F1" w:rsidRPr="00B81079">
        <w:rPr>
          <w:i/>
        </w:rPr>
        <w:t>persecutionis</w:t>
      </w:r>
      <w:proofErr w:type="spellEnd"/>
      <w:r w:rsidRPr="00B81079">
        <w:t>;</w:t>
      </w:r>
    </w:p>
    <w:p w14:paraId="435716F8" w14:textId="0229C95B" w:rsidR="00FD340A" w:rsidRPr="00B81079" w:rsidRDefault="002C0148" w:rsidP="00377F8E">
      <w:pPr>
        <w:pStyle w:val="JuQuot"/>
      </w:pPr>
      <w:r w:rsidRPr="00B81079">
        <w:t>1.  </w:t>
      </w:r>
      <w:r w:rsidR="004718F1" w:rsidRPr="00B81079">
        <w:t xml:space="preserve">решава да не снеме </w:t>
      </w:r>
      <w:r w:rsidRPr="00B81079">
        <w:t>имунитета на Елена Йончева;</w:t>
      </w:r>
    </w:p>
    <w:p w14:paraId="7F190C1F" w14:textId="1DAD30DC" w:rsidR="00FD340A" w:rsidRPr="00B81079" w:rsidRDefault="002C0148" w:rsidP="00377F8E">
      <w:pPr>
        <w:pStyle w:val="JuQuot"/>
      </w:pPr>
      <w:r w:rsidRPr="00B81079">
        <w:t>2.  </w:t>
      </w:r>
      <w:r w:rsidR="004718F1" w:rsidRPr="00B81079">
        <w:t xml:space="preserve">възлага на своя председател незабавно да </w:t>
      </w:r>
      <w:r w:rsidR="00AD7E70">
        <w:t>изпрати</w:t>
      </w:r>
      <w:r w:rsidR="00AD7E70" w:rsidRPr="00B81079">
        <w:t xml:space="preserve"> </w:t>
      </w:r>
      <w:r w:rsidR="004718F1" w:rsidRPr="00B81079">
        <w:t>настоящото решение и доклада на компетентна</w:t>
      </w:r>
      <w:r w:rsidR="00AD7E70">
        <w:t>та</w:t>
      </w:r>
      <w:r w:rsidR="004718F1" w:rsidRPr="00B81079">
        <w:t xml:space="preserve"> комисия на българските органи </w:t>
      </w:r>
      <w:r w:rsidRPr="00B81079">
        <w:t>и на Елена Йончева. “</w:t>
      </w:r>
    </w:p>
    <w:bookmarkStart w:id="15" w:name="para14"/>
    <w:p w14:paraId="7EF2EDE7" w14:textId="769321AB"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14</w:t>
      </w:r>
      <w:r w:rsidRPr="00B81079">
        <w:fldChar w:fldCharType="end"/>
      </w:r>
      <w:bookmarkEnd w:id="15"/>
      <w:r w:rsidRPr="00B81079">
        <w:t xml:space="preserve">.  Според последната информация, представена от страните, през февруари 2024 г. наказателното производство срещу </w:t>
      </w:r>
      <w:proofErr w:type="spellStart"/>
      <w:r w:rsidRPr="00B81079">
        <w:t>жалбоподателката</w:t>
      </w:r>
      <w:proofErr w:type="spellEnd"/>
      <w:r w:rsidRPr="00B81079">
        <w:t xml:space="preserve"> все още е</w:t>
      </w:r>
      <w:r w:rsidR="00513B60" w:rsidRPr="00B81079">
        <w:t xml:space="preserve"> висящо и </w:t>
      </w:r>
      <w:r w:rsidRPr="00B81079">
        <w:t>на етап разследване.</w:t>
      </w:r>
    </w:p>
    <w:bookmarkStart w:id="16" w:name="para15"/>
    <w:p w14:paraId="489DC5CE" w14:textId="51D975CC"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15</w:t>
      </w:r>
      <w:r w:rsidRPr="00B81079">
        <w:fldChar w:fldCharType="end"/>
      </w:r>
      <w:bookmarkEnd w:id="16"/>
      <w:r w:rsidRPr="00B81079">
        <w:t>.  На 1 май 2023 г. експлозив, поставен близо до селски път</w:t>
      </w:r>
      <w:r w:rsidR="00AD7E70">
        <w:t>,</w:t>
      </w:r>
      <w:r w:rsidRPr="00B81079">
        <w:t xml:space="preserve"> е задействан, докато преминава служебния</w:t>
      </w:r>
      <w:r w:rsidR="0082250E">
        <w:t>т</w:t>
      </w:r>
      <w:r w:rsidRPr="00B81079">
        <w:t xml:space="preserve"> автомобил на главния прокурор И. Г. Това събитие привлича вниманието на обществеността и медиите и води до наказателно разследване. На 8 май 2023 г. заместник главния прокурор, Б.С.</w:t>
      </w:r>
      <w:r w:rsidR="00513B60" w:rsidRPr="00B81079">
        <w:t>,</w:t>
      </w:r>
      <w:r w:rsidRPr="00B81079">
        <w:t xml:space="preserve"> </w:t>
      </w:r>
      <w:r w:rsidR="00513B60" w:rsidRPr="00B81079">
        <w:t>о</w:t>
      </w:r>
      <w:r w:rsidRPr="00B81079">
        <w:t xml:space="preserve">бвинява публично И.Г., че се меси в работата на </w:t>
      </w:r>
      <w:r w:rsidR="00513B60" w:rsidRPr="00B81079">
        <w:t xml:space="preserve">органите, </w:t>
      </w:r>
      <w:r w:rsidRPr="00B81079">
        <w:t xml:space="preserve">разследващи експлозията на 1 май 2023 г. Няколко дни по-късно по време на преговорите, водени за съставяне на ново правителство, ръководителите на ГЕРБ открито заявяват намерението си да поискат свалянето на И.Г. </w:t>
      </w:r>
      <w:r w:rsidR="00513B60" w:rsidRPr="00B81079">
        <w:t>о</w:t>
      </w:r>
      <w:r w:rsidRPr="00B81079">
        <w:t>т поста му на главен прокурор с мотива, че според тях той уронва престижа на съдебната власт.</w:t>
      </w:r>
    </w:p>
    <w:bookmarkStart w:id="17" w:name="para16"/>
    <w:p w14:paraId="67BA58A9" w14:textId="5B6EA288"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16</w:t>
      </w:r>
      <w:r w:rsidRPr="00B81079">
        <w:fldChar w:fldCharType="end"/>
      </w:r>
      <w:bookmarkEnd w:id="17"/>
      <w:r w:rsidRPr="00B81079">
        <w:t xml:space="preserve">.  Впоследствие, личен и професионален конфликт между И.Г. и заместника му </w:t>
      </w:r>
      <w:r w:rsidR="00513B60" w:rsidRPr="00B81079">
        <w:t xml:space="preserve">е </w:t>
      </w:r>
      <w:r w:rsidRPr="00B81079">
        <w:t xml:space="preserve">разкрит на обществеността от </w:t>
      </w:r>
      <w:r w:rsidR="0082250E">
        <w:t xml:space="preserve">самите </w:t>
      </w:r>
      <w:r w:rsidRPr="00B81079">
        <w:t xml:space="preserve">двама магистрати </w:t>
      </w:r>
      <w:r w:rsidRPr="00B81079">
        <w:lastRenderedPageBreak/>
        <w:t xml:space="preserve">в поредица пресконференции и публични </w:t>
      </w:r>
      <w:r w:rsidR="00513B60" w:rsidRPr="00B81079">
        <w:t>изявления</w:t>
      </w:r>
      <w:r w:rsidRPr="00B81079">
        <w:t xml:space="preserve">: И. Г. публично иска оставката на </w:t>
      </w:r>
      <w:r w:rsidR="00513B60" w:rsidRPr="00B81079">
        <w:t xml:space="preserve">своя </w:t>
      </w:r>
      <w:r w:rsidRPr="00B81079">
        <w:t>заместник и заяв</w:t>
      </w:r>
      <w:r w:rsidR="00513B60" w:rsidRPr="00B81079">
        <w:t>ява</w:t>
      </w:r>
      <w:r w:rsidRPr="00B81079">
        <w:t xml:space="preserve">, че е бил потърсен от хора, действащи от името на лидера на ГЕРБ, които му </w:t>
      </w:r>
      <w:r w:rsidR="00917E55" w:rsidRPr="00B81079">
        <w:t>предлага</w:t>
      </w:r>
      <w:r w:rsidR="00917E55">
        <w:t>ли</w:t>
      </w:r>
      <w:r w:rsidR="00917E55" w:rsidRPr="00B81079">
        <w:t xml:space="preserve"> </w:t>
      </w:r>
      <w:r w:rsidRPr="00B81079">
        <w:t>пост на посланик в замяна на оставката му като главен прокурор; Б.С., от своя страна, обвинява началника си, че използва различни активи на прокуратурата за лични цели и че се опит</w:t>
      </w:r>
      <w:r w:rsidR="00513B60" w:rsidRPr="00B81079">
        <w:t>ва</w:t>
      </w:r>
      <w:r w:rsidRPr="00B81079">
        <w:t xml:space="preserve"> да окаже натиск върху водещи политици, като забав</w:t>
      </w:r>
      <w:r w:rsidR="00513B60" w:rsidRPr="00B81079">
        <w:t xml:space="preserve">я </w:t>
      </w:r>
      <w:r w:rsidRPr="00B81079">
        <w:t>хода на наказателните разследвания, които се вод</w:t>
      </w:r>
      <w:r w:rsidR="00513B60" w:rsidRPr="00B81079">
        <w:t>ят</w:t>
      </w:r>
      <w:r w:rsidRPr="00B81079">
        <w:t xml:space="preserve"> по това време. Б. С. добав</w:t>
      </w:r>
      <w:r w:rsidR="00513B60" w:rsidRPr="00B81079">
        <w:t>я</w:t>
      </w:r>
      <w:r w:rsidRPr="00B81079">
        <w:t>, че се страхува за живота си; поставен</w:t>
      </w:r>
      <w:r w:rsidR="00513B60" w:rsidRPr="00B81079">
        <w:t xml:space="preserve"> е</w:t>
      </w:r>
      <w:r w:rsidRPr="00B81079">
        <w:t xml:space="preserve"> под полицейска защита.</w:t>
      </w:r>
    </w:p>
    <w:bookmarkStart w:id="18" w:name="para17"/>
    <w:p w14:paraId="72E829A7" w14:textId="3C0B506B"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17</w:t>
      </w:r>
      <w:r w:rsidRPr="00B81079">
        <w:fldChar w:fldCharType="end"/>
      </w:r>
      <w:bookmarkEnd w:id="18"/>
      <w:r w:rsidRPr="00B81079">
        <w:t xml:space="preserve">.  Междувременно </w:t>
      </w:r>
      <w:r w:rsidR="00FF303C" w:rsidRPr="00B81079">
        <w:t xml:space="preserve">е образувано производство за предсрочно освобождаване от длъжност срещу И.Г. </w:t>
      </w:r>
      <w:r w:rsidR="009D6DE6">
        <w:t>по искане на</w:t>
      </w:r>
      <w:r w:rsidR="009D6DE6" w:rsidRPr="00B81079">
        <w:t xml:space="preserve"> </w:t>
      </w:r>
      <w:r w:rsidRPr="00B81079">
        <w:t>няколко членове на Висшия съдебен съвет (ВСС). Според информация, публикувана на сайта му (www.vss.justice.bg)</w:t>
      </w:r>
      <w:r w:rsidR="009D6DE6">
        <w:t>,</w:t>
      </w:r>
      <w:r w:rsidRPr="00B81079">
        <w:t xml:space="preserve"> на 12 юни 2023 г., ВСС </w:t>
      </w:r>
      <w:r w:rsidR="00FF303C" w:rsidRPr="00B81079">
        <w:t xml:space="preserve">взема </w:t>
      </w:r>
      <w:r w:rsidRPr="00B81079">
        <w:t xml:space="preserve">решение </w:t>
      </w:r>
      <w:r w:rsidR="00FF303C" w:rsidRPr="00B81079">
        <w:t xml:space="preserve">за предсрочно </w:t>
      </w:r>
      <w:r w:rsidRPr="00B81079">
        <w:t>освобо</w:t>
      </w:r>
      <w:r w:rsidR="00FF303C" w:rsidRPr="00B81079">
        <w:t>ждаване на</w:t>
      </w:r>
      <w:r w:rsidRPr="00B81079">
        <w:t xml:space="preserve"> И.Г. от длъжността му на главен прокурор с мотива, че е направил обидни забележки </w:t>
      </w:r>
      <w:r w:rsidR="00FF303C" w:rsidRPr="00B81079">
        <w:t>в медиите относно</w:t>
      </w:r>
      <w:r w:rsidRPr="00B81079">
        <w:t xml:space="preserve"> членове на Парламента, с което урон</w:t>
      </w:r>
      <w:r w:rsidR="00FF303C" w:rsidRPr="00B81079">
        <w:t xml:space="preserve">ва </w:t>
      </w:r>
      <w:r w:rsidRPr="00B81079">
        <w:t xml:space="preserve">престижа на съдебната власт. На 15 юни 2023 г. това решение </w:t>
      </w:r>
      <w:r w:rsidR="00FF303C" w:rsidRPr="00B81079">
        <w:t xml:space="preserve">е потвърдено </w:t>
      </w:r>
      <w:r w:rsidRPr="00B81079">
        <w:t xml:space="preserve">от </w:t>
      </w:r>
      <w:r w:rsidR="00FF303C" w:rsidRPr="00B81079">
        <w:t>Президента на Р. България</w:t>
      </w:r>
      <w:r w:rsidRPr="00B81079">
        <w:t xml:space="preserve">. На 16 юни 2023 г. ВСС възлага на Б.С. </w:t>
      </w:r>
      <w:r w:rsidR="00FF303C" w:rsidRPr="00B81079">
        <w:t>в</w:t>
      </w:r>
      <w:r w:rsidRPr="00B81079">
        <w:t>ременно</w:t>
      </w:r>
      <w:r w:rsidR="00FF303C" w:rsidRPr="00B81079">
        <w:t>то</w:t>
      </w:r>
      <w:r w:rsidRPr="00B81079">
        <w:t xml:space="preserve"> изпълн</w:t>
      </w:r>
      <w:r w:rsidR="00FF303C" w:rsidRPr="00B81079">
        <w:t>ение на</w:t>
      </w:r>
      <w:r w:rsidRPr="00B81079">
        <w:t xml:space="preserve"> длъжността главен прокурор до изб</w:t>
      </w:r>
      <w:r w:rsidR="00FF303C" w:rsidRPr="00B81079">
        <w:t>ирането</w:t>
      </w:r>
      <w:r w:rsidRPr="00B81079">
        <w:t xml:space="preserve"> на нов.</w:t>
      </w:r>
    </w:p>
    <w:p w14:paraId="4F92D8D6" w14:textId="77777777" w:rsidR="00FD340A" w:rsidRPr="00B81079" w:rsidRDefault="002C0148" w:rsidP="00377F8E">
      <w:pPr>
        <w:pStyle w:val="JuHHead"/>
      </w:pPr>
      <w:r w:rsidRPr="00B81079">
        <w:t>ПРИЛОЖИМА ПРАВНА РАМКА</w:t>
      </w:r>
    </w:p>
    <w:p w14:paraId="4F957C9B" w14:textId="705CA9BC" w:rsidR="00FD340A" w:rsidRPr="00B81079" w:rsidRDefault="002C0148" w:rsidP="00377F8E">
      <w:pPr>
        <w:pStyle w:val="JuHIRoman"/>
      </w:pPr>
      <w:r w:rsidRPr="00B81079">
        <w:t xml:space="preserve">Приложимо </w:t>
      </w:r>
      <w:r w:rsidR="00870CB3" w:rsidRPr="00B81079">
        <w:t>вътрешно право</w:t>
      </w:r>
    </w:p>
    <w:bookmarkStart w:id="19" w:name="para18"/>
    <w:p w14:paraId="34DA319B" w14:textId="4A90965F"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18</w:t>
      </w:r>
      <w:r w:rsidRPr="00B81079">
        <w:fldChar w:fldCharType="end"/>
      </w:r>
      <w:bookmarkEnd w:id="19"/>
      <w:r w:rsidRPr="00B81079">
        <w:t>.  </w:t>
      </w:r>
      <w:r w:rsidR="000B4C38" w:rsidRPr="00B81079">
        <w:t xml:space="preserve">Приложимите </w:t>
      </w:r>
      <w:r w:rsidRPr="00B81079">
        <w:t>национални разпоредби относно защитата на правото на презумпция за невин</w:t>
      </w:r>
      <w:r w:rsidR="000B4C38" w:rsidRPr="00B81079">
        <w:t>ов</w:t>
      </w:r>
      <w:r w:rsidRPr="00B81079">
        <w:t xml:space="preserve">ност са обобщени в решението по </w:t>
      </w:r>
      <w:r w:rsidRPr="00B81079">
        <w:rPr>
          <w:i/>
        </w:rPr>
        <w:t>Тони Костадинов</w:t>
      </w:r>
      <w:r w:rsidRPr="00B81079">
        <w:t xml:space="preserve"> </w:t>
      </w:r>
      <w:r w:rsidRPr="00B81079">
        <w:rPr>
          <w:i/>
        </w:rPr>
        <w:t>срещу България</w:t>
      </w:r>
      <w:r w:rsidRPr="00B81079">
        <w:t xml:space="preserve"> (№ 37124/10, §§ 44-47, 27 януари 2015 г.).</w:t>
      </w:r>
    </w:p>
    <w:bookmarkStart w:id="20" w:name="para19"/>
    <w:p w14:paraId="31ADE558" w14:textId="2F5EDC83"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19</w:t>
      </w:r>
      <w:r w:rsidRPr="00B81079">
        <w:fldChar w:fldCharType="end"/>
      </w:r>
      <w:bookmarkEnd w:id="20"/>
      <w:r w:rsidRPr="00B81079">
        <w:t xml:space="preserve">.  Текстът на член 49 от Закона за задълженията и договорите (ЗЗД) е отразен в </w:t>
      </w:r>
      <w:r w:rsidR="000B4C38" w:rsidRPr="00B81079">
        <w:t xml:space="preserve">решението по </w:t>
      </w:r>
      <w:r w:rsidRPr="00B81079">
        <w:rPr>
          <w:i/>
        </w:rPr>
        <w:t>Лолов и др. срещу България</w:t>
      </w:r>
      <w:r w:rsidRPr="00B81079">
        <w:t xml:space="preserve"> (№ 6123/11, § 31, 21 февруари 2019 г.).</w:t>
      </w:r>
    </w:p>
    <w:bookmarkStart w:id="21" w:name="para20"/>
    <w:p w14:paraId="7744393B" w14:textId="251E63A1"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20</w:t>
      </w:r>
      <w:r w:rsidRPr="00B81079">
        <w:fldChar w:fldCharType="end"/>
      </w:r>
      <w:bookmarkEnd w:id="21"/>
      <w:r w:rsidRPr="00B81079">
        <w:t xml:space="preserve">.  Член 2в от Закона за отговорността на държавата и общините за вреди („Законът за отговорността на държавата“) позволява на лицата, които считат, че българските административни или съдебни органи са </w:t>
      </w:r>
      <w:r w:rsidR="00C52208" w:rsidRPr="00B81079">
        <w:t xml:space="preserve">извършили нарушение на </w:t>
      </w:r>
      <w:r w:rsidRPr="00B81079">
        <w:t>правото на Европейския съюз по отношение на тях, да предявят иск за обезщетение пред съда, за да получат обезщетение за вредите, които считат, че са претърпели.</w:t>
      </w:r>
    </w:p>
    <w:bookmarkStart w:id="22" w:name="para21"/>
    <w:p w14:paraId="0F548B97" w14:textId="1918F629"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21</w:t>
      </w:r>
      <w:r w:rsidRPr="00B81079">
        <w:fldChar w:fldCharType="end"/>
      </w:r>
      <w:bookmarkEnd w:id="22"/>
      <w:r w:rsidRPr="00B81079">
        <w:t>.  През юни 2023 г. влиза в сила изменение на Закона за отговорността на държавата</w:t>
      </w:r>
      <w:r w:rsidR="00E162E3">
        <w:t xml:space="preserve"> и общините за вреди</w:t>
      </w:r>
      <w:r w:rsidR="00751CF4">
        <w:t xml:space="preserve"> (ЗОДОВ)</w:t>
      </w:r>
      <w:r w:rsidRPr="00B81079">
        <w:t>, с което се въвежда нова точка 8 в първата алинея на член 2 от закона. Новата редакция на въпросн</w:t>
      </w:r>
      <w:r w:rsidR="00E162E3">
        <w:t>ата разпоредба</w:t>
      </w:r>
      <w:r w:rsidRPr="00B81079">
        <w:t xml:space="preserve"> гласи следното в </w:t>
      </w:r>
      <w:r w:rsidR="00C52208" w:rsidRPr="00B81079">
        <w:t>частта</w:t>
      </w:r>
      <w:r w:rsidRPr="00B81079">
        <w:t xml:space="preserve">, </w:t>
      </w:r>
      <w:r w:rsidR="00C52208" w:rsidRPr="00B81079">
        <w:t>която е</w:t>
      </w:r>
      <w:r w:rsidRPr="00B81079">
        <w:t xml:space="preserve"> от значение за настоящото дело:</w:t>
      </w:r>
    </w:p>
    <w:p w14:paraId="397BDCC6" w14:textId="4936B4DC" w:rsidR="00FD340A" w:rsidRPr="00B81079" w:rsidRDefault="002C0148" w:rsidP="00377F8E">
      <w:pPr>
        <w:pStyle w:val="JuQuot"/>
      </w:pPr>
      <w:r w:rsidRPr="00B81079">
        <w:t>Член 2 (1).  </w:t>
      </w:r>
      <w:r w:rsidR="00C52208" w:rsidRPr="00B81079">
        <w:t>Държавата отговаря за вредите, причинени на граждани от разследващите органи, прокуратурата или съда, при</w:t>
      </w:r>
      <w:r w:rsidRPr="00B81079">
        <w:t>: (...)</w:t>
      </w:r>
    </w:p>
    <w:p w14:paraId="5FD16541" w14:textId="52C530F7" w:rsidR="00FD340A" w:rsidRPr="00B81079" w:rsidRDefault="002C0148" w:rsidP="00377F8E">
      <w:pPr>
        <w:pStyle w:val="JuQuot"/>
      </w:pPr>
      <w:r w:rsidRPr="00B81079">
        <w:lastRenderedPageBreak/>
        <w:t>8.  </w:t>
      </w:r>
      <w:r w:rsidR="00C52208" w:rsidRPr="00B81079">
        <w:t>установено нарушение, извършено от орган на досъдебното производство чрез разгласяване на материали по разследването в нарушение на презумпцията за невиновност или при публично изявление, в което обвиняем се представя като виновен</w:t>
      </w:r>
      <w:r w:rsidRPr="00B81079">
        <w:t>. “</w:t>
      </w:r>
    </w:p>
    <w:p w14:paraId="7F2659D5" w14:textId="71F453C9" w:rsidR="00FD340A" w:rsidRPr="00B81079" w:rsidRDefault="00C52208" w:rsidP="00377F8E">
      <w:pPr>
        <w:pStyle w:val="JuHIRoman"/>
      </w:pPr>
      <w:r w:rsidRPr="00B81079">
        <w:t xml:space="preserve">приложимо </w:t>
      </w:r>
      <w:r w:rsidR="002C0148" w:rsidRPr="00B81079">
        <w:t>право на Европейския съюз</w:t>
      </w:r>
    </w:p>
    <w:bookmarkStart w:id="23" w:name="para22"/>
    <w:p w14:paraId="7D513DCE" w14:textId="77777777"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22</w:t>
      </w:r>
      <w:r w:rsidRPr="00B81079">
        <w:fldChar w:fldCharType="end"/>
      </w:r>
      <w:bookmarkEnd w:id="23"/>
      <w:r w:rsidRPr="00B81079">
        <w:t>.  Член 4 § 3 от Договора за Европейския съюз гласи следното:</w:t>
      </w:r>
    </w:p>
    <w:p w14:paraId="30BD0ABD" w14:textId="77777777" w:rsidR="00FD340A" w:rsidRPr="00B81079" w:rsidRDefault="002C0148" w:rsidP="00377F8E">
      <w:pPr>
        <w:pStyle w:val="JuQuot"/>
      </w:pPr>
      <w:r w:rsidRPr="00B81079">
        <w:t>По силата на принципа на лоялното сътрудничество, Съюзът и държавите-членки при пълно взаимно зачитане си съдействат при изпълнението на задачите, произтичащи от Договорите.</w:t>
      </w:r>
    </w:p>
    <w:p w14:paraId="5F51B4B9" w14:textId="77777777" w:rsidR="00FD340A" w:rsidRPr="00B81079" w:rsidRDefault="002C0148" w:rsidP="00377F8E">
      <w:pPr>
        <w:pStyle w:val="JuQuot"/>
      </w:pPr>
      <w:r w:rsidRPr="00B81079">
        <w:t>Държавите-членки вземат всички общи или специални мерки, необходими за гарантиране на изпълнението на задълженията, произтичащи от Договорите или от актовете на институциите на Съюза.</w:t>
      </w:r>
    </w:p>
    <w:p w14:paraId="5C8F02A9" w14:textId="77777777" w:rsidR="00FD340A" w:rsidRPr="00B81079" w:rsidRDefault="002C0148" w:rsidP="00377F8E">
      <w:pPr>
        <w:pStyle w:val="JuQuot"/>
      </w:pPr>
      <w:r w:rsidRPr="00B81079">
        <w:t>Държавите-членки съдействат на Съюза при изпълнението на неговите задачи и се въздържат от всякакви мерки, които биха могли да застрашат постигането на целите на Съюза. “</w:t>
      </w:r>
    </w:p>
    <w:bookmarkStart w:id="24" w:name="para23"/>
    <w:p w14:paraId="7565E4FC" w14:textId="77777777"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23</w:t>
      </w:r>
      <w:r w:rsidRPr="00B81079">
        <w:fldChar w:fldCharType="end"/>
      </w:r>
      <w:bookmarkEnd w:id="24"/>
      <w:r w:rsidRPr="00B81079">
        <w:t>.  В член 48, параграф 1 от Хартата на основните права на Европейския съюз правото на презумпция за невин</w:t>
      </w:r>
      <w:r w:rsidR="00DA5374" w:rsidRPr="00B81079">
        <w:t>ов</w:t>
      </w:r>
      <w:r w:rsidRPr="00B81079">
        <w:t>ност е формулирано по следния начин:</w:t>
      </w:r>
    </w:p>
    <w:p w14:paraId="610E7E59" w14:textId="77777777" w:rsidR="00FD340A" w:rsidRPr="00B81079" w:rsidRDefault="002C0148" w:rsidP="00377F8E">
      <w:pPr>
        <w:pStyle w:val="JuQuot"/>
      </w:pPr>
      <w:r w:rsidRPr="00B81079">
        <w:t>„Всеки обвиняем се счита за невинен до установяване на вината му в съответствие със закона. “</w:t>
      </w:r>
    </w:p>
    <w:bookmarkStart w:id="25" w:name="para24"/>
    <w:p w14:paraId="0411FE44" w14:textId="77777777"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24</w:t>
      </w:r>
      <w:r w:rsidRPr="00B81079">
        <w:fldChar w:fldCharType="end"/>
      </w:r>
      <w:bookmarkEnd w:id="25"/>
      <w:r w:rsidRPr="00B81079">
        <w:t>.  Член 4 от Директива (ЕС) 2016/343 на Европейския парламент и на Съвета от 9 март 2016 г. за укрепване на някои аспекти на презумпцията за невиновност и правото на изслушване в наказателното производство („Директива 2016/343“), която е транспонирана в националното право, гласи следното:</w:t>
      </w:r>
    </w:p>
    <w:p w14:paraId="415439B0" w14:textId="77777777" w:rsidR="00FD340A" w:rsidRPr="00B81079" w:rsidRDefault="002C0148" w:rsidP="00377F8E">
      <w:pPr>
        <w:pStyle w:val="JuHArticle"/>
      </w:pPr>
      <w:r w:rsidRPr="00B81079">
        <w:t>Публично позоваване на вината</w:t>
      </w:r>
    </w:p>
    <w:p w14:paraId="5735FD9C" w14:textId="77777777" w:rsidR="00FD340A" w:rsidRPr="00B81079" w:rsidRDefault="002C0148" w:rsidP="00377F8E">
      <w:pPr>
        <w:pStyle w:val="JuQuot"/>
      </w:pPr>
      <w:r w:rsidRPr="00B81079">
        <w:t>„1.  Държавите членки вземат необходимите мерки, за да гарантират, че докато вината на заподозрения или обвиняемия не бъде доказана в съответствие със закона, тези лица не се представят като виновни в публични изявления на публичните органи и в съдебни решения, различни от решенията относно въпроса за вината. Това не засяга актовете на обвинението, които имат за цел да докажат вината на заподозрения или обвиняемия, и предварителните решения от процесуално естество, които са взети от съдебните или други компетентни органи и се основават на подозрения или уличаващи доказателства.</w:t>
      </w:r>
    </w:p>
    <w:p w14:paraId="4D4F405C" w14:textId="77777777" w:rsidR="00FD340A" w:rsidRPr="00B81079" w:rsidRDefault="002C0148" w:rsidP="00377F8E">
      <w:pPr>
        <w:pStyle w:val="JuQuot"/>
      </w:pPr>
      <w:r w:rsidRPr="00B81079">
        <w:t>2.  Държавите членки гарантират възможността за вземане на подходящи мерки при нарушение на посоченото в параграф 1 от настоящия член задължение заподозрените или обвиняемите да не бъдат представяни като виновни, в съответствие с настоящата директива, и по-специално с член 10.</w:t>
      </w:r>
    </w:p>
    <w:p w14:paraId="7464D878" w14:textId="77777777" w:rsidR="00FD340A" w:rsidRPr="00B81079" w:rsidRDefault="002C0148" w:rsidP="00377F8E">
      <w:pPr>
        <w:pStyle w:val="JuQuot"/>
      </w:pPr>
      <w:r w:rsidRPr="00B81079">
        <w:t>3.  Установеното в параграф 1 задължение заподозрените или обвиняемите да не бъдат представяни като виновни не възпрепятства публичните органи да разпространяват публично информация относно наказателното производство, когато това е строго необходимо по съображения, свързани с наказателното разследване, или от обществен интерес. “</w:t>
      </w:r>
    </w:p>
    <w:p w14:paraId="5BD165A2" w14:textId="77777777" w:rsidR="00FD340A" w:rsidRPr="00B81079" w:rsidRDefault="002C0148" w:rsidP="00377F8E">
      <w:pPr>
        <w:pStyle w:val="JuHHead"/>
      </w:pPr>
      <w:r w:rsidRPr="00B81079">
        <w:lastRenderedPageBreak/>
        <w:t>ПРАВОТО</w:t>
      </w:r>
    </w:p>
    <w:p w14:paraId="0B34E361" w14:textId="6DA83BD6" w:rsidR="00FD340A" w:rsidRPr="00B81079" w:rsidRDefault="00DA5374" w:rsidP="00377F8E">
      <w:pPr>
        <w:pStyle w:val="JuHIRoman"/>
      </w:pPr>
      <w:r w:rsidRPr="00B81079">
        <w:t>твърдяно</w:t>
      </w:r>
      <w:r w:rsidR="002C0148" w:rsidRPr="00B81079">
        <w:t xml:space="preserve"> НАРУШЕНИЕ НА ЧЛЕН 6 § 2 ОТ КОНВЕНЦИЯТА</w:t>
      </w:r>
    </w:p>
    <w:bookmarkStart w:id="26" w:name="para25"/>
    <w:p w14:paraId="0703A675" w14:textId="4652ECE1"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25</w:t>
      </w:r>
      <w:r w:rsidRPr="00B81079">
        <w:fldChar w:fldCharType="end"/>
      </w:r>
      <w:bookmarkEnd w:id="26"/>
      <w:r w:rsidRPr="00B81079">
        <w:t>.  </w:t>
      </w:r>
      <w:proofErr w:type="spellStart"/>
      <w:r w:rsidRPr="00B81079">
        <w:t>Жалбоподателката</w:t>
      </w:r>
      <w:proofErr w:type="spellEnd"/>
      <w:r w:rsidRPr="00B81079">
        <w:t xml:space="preserve"> счита, че публикуването от </w:t>
      </w:r>
      <w:r w:rsidR="00DA5374" w:rsidRPr="00B81079">
        <w:t>С</w:t>
      </w:r>
      <w:r w:rsidRPr="00B81079">
        <w:t>пециализираната прокуратура на прессъобщението на 23 януари 2019 г. (</w:t>
      </w:r>
      <w:r w:rsidR="00DA5374" w:rsidRPr="00B81079">
        <w:t xml:space="preserve">вж. </w:t>
      </w:r>
      <w:r w:rsidRPr="00B81079">
        <w:t xml:space="preserve">параграф </w:t>
      </w:r>
      <w:r w:rsidRPr="00B81079">
        <w:fldChar w:fldCharType="begin"/>
      </w:r>
      <w:r w:rsidRPr="00B81079">
        <w:instrText xml:space="preserve"> REF para9 \h </w:instrText>
      </w:r>
      <w:r w:rsidR="00B81079">
        <w:instrText xml:space="preserve"> \* MERGEFORMAT </w:instrText>
      </w:r>
      <w:r w:rsidRPr="00B81079">
        <w:fldChar w:fldCharType="separate"/>
      </w:r>
      <w:r w:rsidR="00377F8E" w:rsidRPr="00B81079">
        <w:t>9</w:t>
      </w:r>
      <w:r w:rsidRPr="00B81079">
        <w:fldChar w:fldCharType="end"/>
      </w:r>
      <w:r w:rsidRPr="00B81079">
        <w:t xml:space="preserve"> по-горе) е нарушило правото й на презумпция за невиновност, гарантирано от член 6 § 2 от Конвенцията, който гласи следното:</w:t>
      </w:r>
    </w:p>
    <w:p w14:paraId="32157C0B" w14:textId="6A0C82BE" w:rsidR="00FD340A" w:rsidRPr="00B81079" w:rsidRDefault="002C0148" w:rsidP="00377F8E">
      <w:pPr>
        <w:pStyle w:val="JuQuot"/>
      </w:pPr>
      <w:r w:rsidRPr="00B81079">
        <w:t>„</w:t>
      </w:r>
      <w:proofErr w:type="spellStart"/>
      <w:r w:rsidRPr="00B81079">
        <w:t>Βсяко</w:t>
      </w:r>
      <w:proofErr w:type="spellEnd"/>
      <w:r w:rsidRPr="00B81079">
        <w:t xml:space="preserve"> лице, обвинено в извършване на престъпление, се смята за невинно до доказване на вината му в съответствие със закона.“</w:t>
      </w:r>
    </w:p>
    <w:p w14:paraId="7D448BE8" w14:textId="33A99E69" w:rsidR="00FD340A" w:rsidRPr="00B81079" w:rsidRDefault="00DA5374" w:rsidP="00377F8E">
      <w:pPr>
        <w:pStyle w:val="JuHA"/>
      </w:pPr>
      <w:r w:rsidRPr="00B81079">
        <w:t>Д</w:t>
      </w:r>
      <w:r w:rsidR="002C0148" w:rsidRPr="00B81079">
        <w:t>опустимост</w:t>
      </w:r>
    </w:p>
    <w:p w14:paraId="49B84249" w14:textId="77777777" w:rsidR="00FD340A" w:rsidRPr="00B81079" w:rsidRDefault="002C0148" w:rsidP="00377F8E">
      <w:pPr>
        <w:pStyle w:val="JuH1"/>
      </w:pPr>
      <w:r w:rsidRPr="00B81079">
        <w:t>Аргументи на страните</w:t>
      </w:r>
    </w:p>
    <w:bookmarkStart w:id="27" w:name="para26"/>
    <w:p w14:paraId="3CD3BFDD" w14:textId="7D00928E"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26</w:t>
      </w:r>
      <w:r w:rsidRPr="00B81079">
        <w:fldChar w:fldCharType="end"/>
      </w:r>
      <w:bookmarkEnd w:id="27"/>
      <w:r w:rsidRPr="00B81079">
        <w:t xml:space="preserve">.  Правителството </w:t>
      </w:r>
      <w:r w:rsidR="00EC1308" w:rsidRPr="00B81079">
        <w:t>твърди</w:t>
      </w:r>
      <w:r w:rsidRPr="00B81079">
        <w:t xml:space="preserve"> </w:t>
      </w:r>
      <w:proofErr w:type="spellStart"/>
      <w:r w:rsidRPr="00B81079">
        <w:t>неизчерпване</w:t>
      </w:r>
      <w:proofErr w:type="spellEnd"/>
      <w:r w:rsidRPr="00B81079">
        <w:t xml:space="preserve"> на вътрешн</w:t>
      </w:r>
      <w:r w:rsidR="00EC1308" w:rsidRPr="00B81079">
        <w:t>оправните</w:t>
      </w:r>
      <w:r w:rsidRPr="00B81079">
        <w:t xml:space="preserve"> средства за защита. В първоначалн</w:t>
      </w:r>
      <w:r w:rsidR="00EC1308" w:rsidRPr="00B81079">
        <w:t xml:space="preserve">ото си становище </w:t>
      </w:r>
      <w:r w:rsidRPr="00B81079">
        <w:t xml:space="preserve">то </w:t>
      </w:r>
      <w:r w:rsidR="00EC1308" w:rsidRPr="00B81079">
        <w:t>базира това твърдение на два</w:t>
      </w:r>
      <w:r w:rsidRPr="00B81079">
        <w:t xml:space="preserve"> аргумент</w:t>
      </w:r>
      <w:r w:rsidR="00EC1308" w:rsidRPr="00B81079">
        <w:t>а</w:t>
      </w:r>
      <w:r w:rsidRPr="00B81079">
        <w:t xml:space="preserve">. От една страна </w:t>
      </w:r>
      <w:r w:rsidR="00EC1308" w:rsidRPr="00B81079">
        <w:t>посочва</w:t>
      </w:r>
      <w:r w:rsidRPr="00B81079">
        <w:t xml:space="preserve">, че </w:t>
      </w:r>
      <w:proofErr w:type="spellStart"/>
      <w:r w:rsidRPr="00B81079">
        <w:t>жалбоподателката</w:t>
      </w:r>
      <w:proofErr w:type="spellEnd"/>
      <w:r w:rsidRPr="00B81079">
        <w:t xml:space="preserve"> може да се позове на член 49 от ЗЗД (</w:t>
      </w:r>
      <w:r w:rsidR="00EC1308" w:rsidRPr="00B81079">
        <w:t xml:space="preserve">вж. </w:t>
      </w:r>
      <w:r w:rsidRPr="00B81079">
        <w:t xml:space="preserve">параграф </w:t>
      </w:r>
      <w:r w:rsidRPr="00B81079">
        <w:fldChar w:fldCharType="begin"/>
      </w:r>
      <w:r w:rsidRPr="00B81079">
        <w:instrText xml:space="preserve"> REF para19 \h </w:instrText>
      </w:r>
      <w:r w:rsidR="00B81079">
        <w:instrText xml:space="preserve"> \* MERGEFORMAT </w:instrText>
      </w:r>
      <w:r w:rsidRPr="00B81079">
        <w:fldChar w:fldCharType="separate"/>
      </w:r>
      <w:r w:rsidR="00377F8E" w:rsidRPr="00B81079">
        <w:t>19</w:t>
      </w:r>
      <w:r w:rsidRPr="00B81079">
        <w:fldChar w:fldCharType="end"/>
      </w:r>
      <w:r w:rsidRPr="00B81079">
        <w:t xml:space="preserve"> по-горе)</w:t>
      </w:r>
      <w:r w:rsidR="00EC1308" w:rsidRPr="00B81079">
        <w:t xml:space="preserve"> и</w:t>
      </w:r>
      <w:r w:rsidRPr="00B81079">
        <w:t xml:space="preserve"> да предяви иск за обезщетение, с който иска да се признае нарушение на правото ѝ на презумпция за </w:t>
      </w:r>
      <w:proofErr w:type="spellStart"/>
      <w:r w:rsidRPr="00B81079">
        <w:t>невин</w:t>
      </w:r>
      <w:r w:rsidR="00EC1308" w:rsidRPr="00B81079">
        <w:t>о</w:t>
      </w:r>
      <w:r w:rsidR="00751CF4">
        <w:t>в</w:t>
      </w:r>
      <w:r w:rsidRPr="00B81079">
        <w:t>ност</w:t>
      </w:r>
      <w:proofErr w:type="spellEnd"/>
      <w:r w:rsidRPr="00B81079">
        <w:t xml:space="preserve"> и да получи парично обезщетение за вредите, които смята, че е претърпяла в резултат на това. В подкрепа на това</w:t>
      </w:r>
      <w:r w:rsidR="00EC1308" w:rsidRPr="00B81079">
        <w:t xml:space="preserve"> Правителството </w:t>
      </w:r>
      <w:r w:rsidRPr="00B81079">
        <w:t xml:space="preserve"> се позовава на решение, постановено от Апелативния съд </w:t>
      </w:r>
      <w:r w:rsidR="00EC1308" w:rsidRPr="00B81079">
        <w:t xml:space="preserve">- </w:t>
      </w:r>
      <w:r w:rsidRPr="00B81079">
        <w:t>София на 16 ноември 2018 г. (</w:t>
      </w:r>
      <w:r w:rsidRPr="00B81079">
        <w:rPr>
          <w:i/>
        </w:rPr>
        <w:t>Решение № 2672 от 16.11.2018 г. на САС по в. гр. д. № 1597/2018 г.</w:t>
      </w:r>
      <w:r w:rsidRPr="00B81079">
        <w:t xml:space="preserve">). По въпросното дело </w:t>
      </w:r>
      <w:r w:rsidR="00EC1308" w:rsidRPr="00B81079">
        <w:t>а</w:t>
      </w:r>
      <w:r w:rsidRPr="00B81079">
        <w:t>пелативният съд</w:t>
      </w:r>
      <w:r w:rsidR="00EC1308" w:rsidRPr="00B81079">
        <w:t xml:space="preserve"> като</w:t>
      </w:r>
      <w:r w:rsidRPr="00B81079">
        <w:t xml:space="preserve"> </w:t>
      </w:r>
      <w:r w:rsidR="00EC1308" w:rsidRPr="00B81079">
        <w:t>намира</w:t>
      </w:r>
      <w:r w:rsidRPr="00B81079">
        <w:t>, че правото на презумпция за невин</w:t>
      </w:r>
      <w:r w:rsidR="00EC1308" w:rsidRPr="00B81079">
        <w:t>ов</w:t>
      </w:r>
      <w:r w:rsidRPr="00B81079">
        <w:t xml:space="preserve">ност на лице, срещу което се води наказателно производство, е нарушено в коментари, направени от някои прокурори, отговарящи за производството срещу </w:t>
      </w:r>
      <w:r w:rsidR="00EC1308" w:rsidRPr="00B81079">
        <w:t>него</w:t>
      </w:r>
      <w:r w:rsidRPr="00B81079">
        <w:t xml:space="preserve">, присъжда на жертвата на това нарушение като обезщетение за </w:t>
      </w:r>
      <w:r w:rsidR="00EC1308" w:rsidRPr="00B81079">
        <w:t xml:space="preserve">претърпените </w:t>
      </w:r>
      <w:r w:rsidRPr="00B81079">
        <w:t xml:space="preserve">вреди сума, равняваща се приблизително на 20 000 евро. Това решение се основава на прекратяването на наказателното производство, което </w:t>
      </w:r>
      <w:r w:rsidR="00465A5C" w:rsidRPr="00B81079">
        <w:t>а</w:t>
      </w:r>
      <w:r w:rsidRPr="00B81079">
        <w:t xml:space="preserve">пелативният съд счита за официално доказателство, </w:t>
      </w:r>
      <w:r w:rsidR="00465A5C" w:rsidRPr="00B81079">
        <w:t xml:space="preserve">което му </w:t>
      </w:r>
      <w:r w:rsidRPr="00B81079">
        <w:t xml:space="preserve">позволява да заключи, че разкритата от прокурорите информация е накърнила презумпцията за </w:t>
      </w:r>
      <w:proofErr w:type="spellStart"/>
      <w:r w:rsidRPr="00B81079">
        <w:t>невиновност</w:t>
      </w:r>
      <w:proofErr w:type="spellEnd"/>
      <w:r w:rsidRPr="00B81079">
        <w:t xml:space="preserve"> на </w:t>
      </w:r>
      <w:r w:rsidR="00751CF4">
        <w:t xml:space="preserve">тогавашното </w:t>
      </w:r>
      <w:r w:rsidRPr="00B81079">
        <w:t>обвиняемо лице.</w:t>
      </w:r>
    </w:p>
    <w:bookmarkStart w:id="28" w:name="para27"/>
    <w:p w14:paraId="227456DB" w14:textId="26113312"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27</w:t>
      </w:r>
      <w:r w:rsidRPr="00B81079">
        <w:fldChar w:fldCharType="end"/>
      </w:r>
      <w:bookmarkEnd w:id="28"/>
      <w:r w:rsidRPr="00B81079">
        <w:t>.  От друга страна Правителството твърди, без обаче да представя съдебна практика в подкрепа на твърдението си, че съгласно член 2в от З</w:t>
      </w:r>
      <w:r w:rsidR="00751CF4">
        <w:t>ОДОВ</w:t>
      </w:r>
      <w:r w:rsidRPr="00B81079">
        <w:t xml:space="preserve"> </w:t>
      </w:r>
      <w:proofErr w:type="spellStart"/>
      <w:r w:rsidR="00751CF4" w:rsidRPr="00B81079">
        <w:t>жалбоподател</w:t>
      </w:r>
      <w:r w:rsidR="00751CF4">
        <w:t>ката</w:t>
      </w:r>
      <w:proofErr w:type="spellEnd"/>
      <w:r w:rsidR="00751CF4" w:rsidRPr="00B81079">
        <w:t xml:space="preserve"> </w:t>
      </w:r>
      <w:r w:rsidRPr="00B81079">
        <w:t>може да предяви иск за обезщетение за вреди, с който иска да се признае, че държавата не е изпълнила задълженията си по Договорите за Европейския съюз и произтичащото от тях законодателство (</w:t>
      </w:r>
      <w:r w:rsidR="00465A5C" w:rsidRPr="00B81079">
        <w:t xml:space="preserve">вж. </w:t>
      </w:r>
      <w:r w:rsidRPr="00B81079">
        <w:t xml:space="preserve">параграфи </w:t>
      </w:r>
      <w:r w:rsidRPr="00B81079">
        <w:fldChar w:fldCharType="begin"/>
      </w:r>
      <w:r w:rsidRPr="00B81079">
        <w:instrText xml:space="preserve"> REF para20 \h </w:instrText>
      </w:r>
      <w:r w:rsidR="00B81079">
        <w:instrText xml:space="preserve"> \* MERGEFORMAT </w:instrText>
      </w:r>
      <w:r w:rsidRPr="00B81079">
        <w:fldChar w:fldCharType="separate"/>
      </w:r>
      <w:r w:rsidR="00377F8E" w:rsidRPr="00B81079">
        <w:t>20</w:t>
      </w:r>
      <w:r w:rsidRPr="00B81079">
        <w:fldChar w:fldCharType="end"/>
      </w:r>
      <w:r w:rsidRPr="00B81079">
        <w:t>-</w:t>
      </w:r>
      <w:r w:rsidRPr="00B81079">
        <w:fldChar w:fldCharType="begin"/>
      </w:r>
      <w:r w:rsidRPr="00B81079">
        <w:instrText xml:space="preserve"> REF para24 \h </w:instrText>
      </w:r>
      <w:r w:rsidR="00B81079">
        <w:instrText xml:space="preserve"> \* MERGEFORMAT </w:instrText>
      </w:r>
      <w:r w:rsidRPr="00B81079">
        <w:fldChar w:fldCharType="separate"/>
      </w:r>
      <w:r w:rsidR="00377F8E" w:rsidRPr="00B81079">
        <w:t>24</w:t>
      </w:r>
      <w:r w:rsidRPr="00B81079">
        <w:fldChar w:fldCharType="end"/>
      </w:r>
      <w:r w:rsidRPr="00B81079">
        <w:t xml:space="preserve"> по-горе).</w:t>
      </w:r>
    </w:p>
    <w:bookmarkStart w:id="29" w:name="para28"/>
    <w:p w14:paraId="6434D3AB" w14:textId="3590144E"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28</w:t>
      </w:r>
      <w:r w:rsidRPr="00B81079">
        <w:fldChar w:fldCharType="end"/>
      </w:r>
      <w:bookmarkEnd w:id="29"/>
      <w:r w:rsidRPr="00B81079">
        <w:t>.  </w:t>
      </w:r>
      <w:r w:rsidR="00465A5C" w:rsidRPr="00B81079">
        <w:t>Освен това</w:t>
      </w:r>
      <w:r w:rsidRPr="00B81079">
        <w:t xml:space="preserve"> в допълнителн</w:t>
      </w:r>
      <w:r w:rsidR="00465A5C" w:rsidRPr="00B81079">
        <w:t xml:space="preserve">ото си становище </w:t>
      </w:r>
      <w:r w:rsidRPr="00B81079">
        <w:t xml:space="preserve">от 13 юни 2023 г. </w:t>
      </w:r>
      <w:r w:rsidR="00465A5C" w:rsidRPr="00B81079">
        <w:t>П</w:t>
      </w:r>
      <w:r w:rsidRPr="00B81079">
        <w:t>равителството твърди, че новата разпоредба на член 2, параграф 1, точка 8 от З</w:t>
      </w:r>
      <w:r w:rsidR="00417F25">
        <w:t>ОДОВ</w:t>
      </w:r>
      <w:r w:rsidRPr="00B81079">
        <w:t xml:space="preserve"> позволява на </w:t>
      </w:r>
      <w:proofErr w:type="spellStart"/>
      <w:r w:rsidRPr="00B81079">
        <w:t>жалбоподателката</w:t>
      </w:r>
      <w:proofErr w:type="spellEnd"/>
      <w:r w:rsidRPr="00B81079">
        <w:t xml:space="preserve"> да получи </w:t>
      </w:r>
      <w:r w:rsidRPr="00B81079">
        <w:lastRenderedPageBreak/>
        <w:t xml:space="preserve">обезщетение за </w:t>
      </w:r>
      <w:r w:rsidR="00465A5C" w:rsidRPr="00B81079">
        <w:t xml:space="preserve">изявленията </w:t>
      </w:r>
      <w:r w:rsidRPr="00B81079">
        <w:t>по неин адрес</w:t>
      </w:r>
      <w:r w:rsidR="00465A5C" w:rsidRPr="00B81079">
        <w:t xml:space="preserve">, направени от разследващите </w:t>
      </w:r>
      <w:r w:rsidRPr="00B81079">
        <w:t xml:space="preserve"> </w:t>
      </w:r>
      <w:r w:rsidR="0018752D">
        <w:t>органи</w:t>
      </w:r>
      <w:r w:rsidR="0018752D" w:rsidRPr="00B81079">
        <w:t xml:space="preserve"> </w:t>
      </w:r>
      <w:r w:rsidRPr="00B81079">
        <w:t>(</w:t>
      </w:r>
      <w:r w:rsidR="00465A5C" w:rsidRPr="00B81079">
        <w:t xml:space="preserve">вж. </w:t>
      </w:r>
      <w:r w:rsidRPr="00B81079">
        <w:t xml:space="preserve">параграф </w:t>
      </w:r>
      <w:r w:rsidRPr="00B81079">
        <w:fldChar w:fldCharType="begin"/>
      </w:r>
      <w:r w:rsidRPr="00B81079">
        <w:instrText xml:space="preserve"> REF para21 \h </w:instrText>
      </w:r>
      <w:r w:rsidR="00B81079">
        <w:instrText xml:space="preserve"> \* MERGEFORMAT </w:instrText>
      </w:r>
      <w:r w:rsidRPr="00B81079">
        <w:fldChar w:fldCharType="separate"/>
      </w:r>
      <w:r w:rsidR="00377F8E" w:rsidRPr="00B81079">
        <w:t>21</w:t>
      </w:r>
      <w:r w:rsidRPr="00B81079">
        <w:fldChar w:fldCharType="end"/>
      </w:r>
      <w:r w:rsidRPr="00B81079">
        <w:t xml:space="preserve"> по-горе).</w:t>
      </w:r>
    </w:p>
    <w:bookmarkStart w:id="30" w:name="para29"/>
    <w:p w14:paraId="59A9253B" w14:textId="061D7402"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29</w:t>
      </w:r>
      <w:r w:rsidRPr="00B81079">
        <w:fldChar w:fldCharType="end"/>
      </w:r>
      <w:bookmarkEnd w:id="30"/>
      <w:r w:rsidRPr="00B81079">
        <w:t>.  </w:t>
      </w:r>
      <w:proofErr w:type="spellStart"/>
      <w:r w:rsidRPr="00B81079">
        <w:t>Жалбоподателката</w:t>
      </w:r>
      <w:proofErr w:type="spellEnd"/>
      <w:r w:rsidRPr="00B81079">
        <w:t xml:space="preserve"> отговаря, че в нейния случай средствата за защита, </w:t>
      </w:r>
      <w:r w:rsidR="00465A5C" w:rsidRPr="00B81079">
        <w:t>които</w:t>
      </w:r>
      <w:r w:rsidRPr="00B81079">
        <w:t xml:space="preserve"> Правителството</w:t>
      </w:r>
      <w:r w:rsidR="00465A5C" w:rsidRPr="00B81079">
        <w:t xml:space="preserve"> посочва</w:t>
      </w:r>
      <w:r w:rsidRPr="00B81079">
        <w:t>, не предлагат разумни изгледи за успех, като се има предвид етапът, на който се намира наказателното производство срещу нея, и липсата на съдебна практика, която да показва ефективността на тези средства за защита във фактически и правни ситуации, сравними с настоящата.</w:t>
      </w:r>
    </w:p>
    <w:bookmarkStart w:id="31" w:name="para30"/>
    <w:p w14:paraId="490627AB" w14:textId="7367CA80"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30</w:t>
      </w:r>
      <w:r w:rsidRPr="00B81079">
        <w:fldChar w:fldCharType="end"/>
      </w:r>
      <w:bookmarkEnd w:id="31"/>
      <w:r w:rsidRPr="00B81079">
        <w:t>.  Във връзка с новите разпоредби, въведени с член 2, параграф 1, точка 8 от З</w:t>
      </w:r>
      <w:r w:rsidR="0018752D">
        <w:t>ОДОВ</w:t>
      </w:r>
      <w:r w:rsidRPr="00B81079">
        <w:t xml:space="preserve">, </w:t>
      </w:r>
      <w:proofErr w:type="spellStart"/>
      <w:r w:rsidRPr="00B81079">
        <w:t>жалбоподателката</w:t>
      </w:r>
      <w:proofErr w:type="spellEnd"/>
      <w:r w:rsidRPr="00B81079">
        <w:t xml:space="preserve"> твърди, че те не са приложими към фактите в случая и следователно не следва да бъдат вземани предвид. В тази връзка тя обяснява, че законодателят не е придал на тези разпоредби обратно действие и че предвиденото в тях средство за защита не е било налично към момента на подаване на </w:t>
      </w:r>
      <w:r w:rsidR="00465A5C" w:rsidRPr="00B81079">
        <w:t xml:space="preserve">жалбата </w:t>
      </w:r>
      <w:r w:rsidRPr="00B81079">
        <w:t>ѝ.</w:t>
      </w:r>
    </w:p>
    <w:p w14:paraId="0C2C9FCB" w14:textId="77777777" w:rsidR="00FD340A" w:rsidRPr="00B81079" w:rsidRDefault="002C0148" w:rsidP="00377F8E">
      <w:pPr>
        <w:pStyle w:val="JuH1"/>
      </w:pPr>
      <w:r w:rsidRPr="00B81079">
        <w:t>Преценката на Съда</w:t>
      </w:r>
    </w:p>
    <w:bookmarkStart w:id="32" w:name="para31"/>
    <w:p w14:paraId="26FAEBF7" w14:textId="6FD08C5B"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31</w:t>
      </w:r>
      <w:r w:rsidRPr="00B81079">
        <w:fldChar w:fldCharType="end"/>
      </w:r>
      <w:bookmarkEnd w:id="32"/>
      <w:r w:rsidRPr="00B81079">
        <w:t xml:space="preserve">.  Общите принципи относно изчерпването на вътрешноправните средства за защита </w:t>
      </w:r>
      <w:r w:rsidR="00026E00" w:rsidRPr="00B81079">
        <w:t xml:space="preserve">са </w:t>
      </w:r>
      <w:r w:rsidR="0063149D">
        <w:t>обобщени</w:t>
      </w:r>
      <w:r w:rsidR="0063149D" w:rsidRPr="00B81079">
        <w:t xml:space="preserve"> </w:t>
      </w:r>
      <w:r w:rsidRPr="00B81079">
        <w:t xml:space="preserve">от Голямата камара в </w:t>
      </w:r>
      <w:r w:rsidR="00026E00" w:rsidRPr="00B81079">
        <w:t>р</w:t>
      </w:r>
      <w:r w:rsidRPr="00B81079">
        <w:t>ешение</w:t>
      </w:r>
      <w:r w:rsidR="00026E00" w:rsidRPr="00B81079">
        <w:t>то й</w:t>
      </w:r>
      <w:r w:rsidRPr="00B81079">
        <w:t xml:space="preserve"> по делото </w:t>
      </w:r>
      <w:proofErr w:type="spellStart"/>
      <w:r w:rsidRPr="00B81079">
        <w:rPr>
          <w:i/>
        </w:rPr>
        <w:t>Vučković</w:t>
      </w:r>
      <w:proofErr w:type="spellEnd"/>
      <w:r w:rsidRPr="00B81079">
        <w:rPr>
          <w:i/>
        </w:rPr>
        <w:t xml:space="preserve"> </w:t>
      </w:r>
      <w:proofErr w:type="spellStart"/>
      <w:r w:rsidRPr="00B81079">
        <w:rPr>
          <w:i/>
        </w:rPr>
        <w:t>et</w:t>
      </w:r>
      <w:proofErr w:type="spellEnd"/>
      <w:r w:rsidRPr="00B81079">
        <w:rPr>
          <w:i/>
        </w:rPr>
        <w:t> </w:t>
      </w:r>
      <w:proofErr w:type="spellStart"/>
      <w:r w:rsidRPr="00B81079">
        <w:rPr>
          <w:i/>
        </w:rPr>
        <w:t>autres</w:t>
      </w:r>
      <w:proofErr w:type="spellEnd"/>
      <w:r w:rsidRPr="00B81079">
        <w:rPr>
          <w:i/>
        </w:rPr>
        <w:t xml:space="preserve"> c. </w:t>
      </w:r>
      <w:proofErr w:type="spellStart"/>
      <w:r w:rsidRPr="00B81079">
        <w:rPr>
          <w:i/>
        </w:rPr>
        <w:t>Serbie</w:t>
      </w:r>
      <w:proofErr w:type="spellEnd"/>
      <w:r w:rsidRPr="00B81079">
        <w:t xml:space="preserve"> ((предварително възражение) [GC], № 17153/11 и 29 други, §§ 69-77 на 25 март 2014 г.). </w:t>
      </w:r>
      <w:r w:rsidR="00026E00" w:rsidRPr="00B81079">
        <w:t>По-конкретно</w:t>
      </w:r>
      <w:r w:rsidRPr="00B81079">
        <w:t xml:space="preserve"> Правителството, което се позовава на </w:t>
      </w:r>
      <w:proofErr w:type="spellStart"/>
      <w:r w:rsidRPr="00B81079">
        <w:t>неизчерпване</w:t>
      </w:r>
      <w:proofErr w:type="spellEnd"/>
      <w:r w:rsidRPr="00B81079">
        <w:t xml:space="preserve"> на </w:t>
      </w:r>
      <w:r w:rsidR="00026E00" w:rsidRPr="00B81079">
        <w:t xml:space="preserve">вътрешноправните </w:t>
      </w:r>
      <w:r w:rsidRPr="00B81079">
        <w:t>средства</w:t>
      </w:r>
      <w:r w:rsidR="00026E00" w:rsidRPr="00B81079">
        <w:t xml:space="preserve"> за защита</w:t>
      </w:r>
      <w:r w:rsidRPr="00B81079">
        <w:t>, трябва да убеди Съда, че предложеното от него средство за защита е било ефективно и налично както на теория, така и на практика към момента на разглеждане на делото (</w:t>
      </w:r>
      <w:proofErr w:type="spellStart"/>
      <w:r w:rsidRPr="00B81079">
        <w:rPr>
          <w:i/>
        </w:rPr>
        <w:t>ibidem</w:t>
      </w:r>
      <w:proofErr w:type="spellEnd"/>
      <w:r w:rsidRPr="00B81079">
        <w:t>, § 77).</w:t>
      </w:r>
    </w:p>
    <w:bookmarkStart w:id="33" w:name="para32"/>
    <w:p w14:paraId="033B2592" w14:textId="52A16DB1"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32</w:t>
      </w:r>
      <w:r w:rsidRPr="00B81079">
        <w:fldChar w:fldCharType="end"/>
      </w:r>
      <w:bookmarkEnd w:id="33"/>
      <w:r w:rsidRPr="00B81079">
        <w:t>.</w:t>
      </w:r>
      <w:r w:rsidRPr="00B81079">
        <w:rPr>
          <w:b/>
        </w:rPr>
        <w:t>  </w:t>
      </w:r>
      <w:r w:rsidRPr="00B81079">
        <w:t>Що се отнася до първото основание, изтъкнато от Правителството (</w:t>
      </w:r>
      <w:r w:rsidR="00AA2590" w:rsidRPr="00B81079">
        <w:t xml:space="preserve">вж. </w:t>
      </w:r>
      <w:r w:rsidRPr="00B81079">
        <w:t xml:space="preserve">параграф </w:t>
      </w:r>
      <w:r w:rsidRPr="00B81079">
        <w:fldChar w:fldCharType="begin"/>
      </w:r>
      <w:r w:rsidRPr="00B81079">
        <w:instrText xml:space="preserve"> REF para26 \h </w:instrText>
      </w:r>
      <w:r w:rsidR="00B81079">
        <w:instrText xml:space="preserve"> \* MERGEFORMAT </w:instrText>
      </w:r>
      <w:r w:rsidRPr="00B81079">
        <w:fldChar w:fldCharType="separate"/>
      </w:r>
      <w:r w:rsidR="00377F8E" w:rsidRPr="00B81079">
        <w:t>26</w:t>
      </w:r>
      <w:r w:rsidRPr="00B81079">
        <w:fldChar w:fldCharType="end"/>
      </w:r>
      <w:r w:rsidRPr="00B81079">
        <w:t xml:space="preserve"> по-горе), Съдът припомня най-напред, че в решението си по делото </w:t>
      </w:r>
      <w:proofErr w:type="spellStart"/>
      <w:r w:rsidRPr="00B81079">
        <w:rPr>
          <w:i/>
        </w:rPr>
        <w:t>Lolov</w:t>
      </w:r>
      <w:proofErr w:type="spellEnd"/>
      <w:r w:rsidRPr="00B81079">
        <w:rPr>
          <w:i/>
        </w:rPr>
        <w:t xml:space="preserve"> </w:t>
      </w:r>
      <w:proofErr w:type="spellStart"/>
      <w:r w:rsidRPr="00B81079">
        <w:rPr>
          <w:i/>
        </w:rPr>
        <w:t>et</w:t>
      </w:r>
      <w:proofErr w:type="spellEnd"/>
      <w:r w:rsidRPr="00B81079">
        <w:rPr>
          <w:i/>
        </w:rPr>
        <w:t xml:space="preserve"> </w:t>
      </w:r>
      <w:proofErr w:type="spellStart"/>
      <w:r w:rsidRPr="00B81079">
        <w:rPr>
          <w:i/>
        </w:rPr>
        <w:t>autres</w:t>
      </w:r>
      <w:proofErr w:type="spellEnd"/>
      <w:r w:rsidRPr="00B81079">
        <w:t xml:space="preserve"> (посочено по-горе, § 48), </w:t>
      </w:r>
      <w:r w:rsidR="00C33257">
        <w:t xml:space="preserve">е </w:t>
      </w:r>
      <w:r w:rsidR="00C33257" w:rsidRPr="00B81079">
        <w:t>отбеляз</w:t>
      </w:r>
      <w:r w:rsidR="00C33257">
        <w:t>ал</w:t>
      </w:r>
      <w:r w:rsidRPr="00B81079">
        <w:t xml:space="preserve">, че член 49 от ЗЗД е разпоредба, която урежда по общ начин гражданската отговорност на </w:t>
      </w:r>
      <w:r w:rsidR="00C33257">
        <w:t>възложителите</w:t>
      </w:r>
      <w:r w:rsidR="00C33257" w:rsidRPr="00B81079">
        <w:t xml:space="preserve"> </w:t>
      </w:r>
      <w:r w:rsidRPr="00B81079">
        <w:t xml:space="preserve">за действията на техните служители и че съгласно българското </w:t>
      </w:r>
      <w:r w:rsidR="00AA2590" w:rsidRPr="00B81079">
        <w:t xml:space="preserve">законодателство </w:t>
      </w:r>
      <w:r w:rsidRPr="00B81079">
        <w:t>вътрешно</w:t>
      </w:r>
      <w:r w:rsidR="00AA2590" w:rsidRPr="00B81079">
        <w:t>правно</w:t>
      </w:r>
      <w:r w:rsidRPr="00B81079">
        <w:t>то средство за защита, специално предназначено за ангажиране на деликтната отговорност на държавата, е иск, основан на съответните разпоредби на З</w:t>
      </w:r>
      <w:r w:rsidR="00C33257">
        <w:t>ОДОВ</w:t>
      </w:r>
      <w:r w:rsidRPr="00B81079">
        <w:t xml:space="preserve">. Без да изключва </w:t>
      </w:r>
      <w:r w:rsidR="00C33257">
        <w:t>по</w:t>
      </w:r>
      <w:r w:rsidRPr="00B81079">
        <w:t xml:space="preserve">начало, че ЗЗД би могъл да послужи като правно основание за развитието на </w:t>
      </w:r>
      <w:r w:rsidR="00AA2590" w:rsidRPr="00B81079">
        <w:t xml:space="preserve">националната </w:t>
      </w:r>
      <w:r w:rsidRPr="00B81079">
        <w:t>съдебна практика, позволяваща ангажиране на отговорността на държавата в подобни случаи (</w:t>
      </w:r>
      <w:proofErr w:type="spellStart"/>
      <w:r w:rsidRPr="00B81079">
        <w:rPr>
          <w:i/>
        </w:rPr>
        <w:t>ibidem</w:t>
      </w:r>
      <w:proofErr w:type="spellEnd"/>
      <w:r w:rsidRPr="00B81079">
        <w:t xml:space="preserve">), Съдът все пак </w:t>
      </w:r>
      <w:r w:rsidR="00AA2590" w:rsidRPr="00B81079">
        <w:t>счита</w:t>
      </w:r>
      <w:r w:rsidRPr="00B81079">
        <w:t>, че фактът, че жалбоподателите не предяв</w:t>
      </w:r>
      <w:r w:rsidR="00AA2590" w:rsidRPr="00B81079">
        <w:t>яват</w:t>
      </w:r>
      <w:r w:rsidRPr="00B81079">
        <w:t xml:space="preserve"> иск на основание член 49 от ЗЗД не може, при липсата на </w:t>
      </w:r>
      <w:r w:rsidR="00AA2590" w:rsidRPr="00B81079">
        <w:t xml:space="preserve">национална </w:t>
      </w:r>
      <w:r w:rsidRPr="00B81079">
        <w:t>съдебна практика, доказваща ефективността на такова средство за защита във връзка с презумпцията за невиновност, да обоснове възражението</w:t>
      </w:r>
      <w:r w:rsidR="00AA2590" w:rsidRPr="00B81079">
        <w:t xml:space="preserve"> </w:t>
      </w:r>
      <w:r w:rsidRPr="00B81079">
        <w:t xml:space="preserve">за </w:t>
      </w:r>
      <w:proofErr w:type="spellStart"/>
      <w:r w:rsidRPr="00B81079">
        <w:t>неизчерпване</w:t>
      </w:r>
      <w:proofErr w:type="spellEnd"/>
      <w:r w:rsidRPr="00B81079">
        <w:t xml:space="preserve"> на вътрешноправните средства за защита, повдигнато от </w:t>
      </w:r>
      <w:r w:rsidR="00AA2590" w:rsidRPr="00B81079">
        <w:t xml:space="preserve">Правителството </w:t>
      </w:r>
      <w:r w:rsidRPr="00B81079">
        <w:t>(</w:t>
      </w:r>
      <w:proofErr w:type="spellStart"/>
      <w:r w:rsidRPr="00B81079">
        <w:rPr>
          <w:i/>
        </w:rPr>
        <w:t>ibidem</w:t>
      </w:r>
      <w:proofErr w:type="spellEnd"/>
      <w:r w:rsidRPr="00B81079">
        <w:t>, §§ 50 и 51). В скорошното си решение</w:t>
      </w:r>
      <w:r w:rsidR="00AA2590" w:rsidRPr="00B81079">
        <w:t xml:space="preserve"> по</w:t>
      </w:r>
      <w:r w:rsidRPr="00B81079">
        <w:rPr>
          <w:i/>
        </w:rPr>
        <w:t xml:space="preserve"> </w:t>
      </w:r>
      <w:r w:rsidR="00870CB3" w:rsidRPr="00B81079">
        <w:rPr>
          <w:i/>
        </w:rPr>
        <w:t>Чоков срещу България</w:t>
      </w:r>
      <w:r w:rsidRPr="00B81079">
        <w:t xml:space="preserve"> ((</w:t>
      </w:r>
      <w:proofErr w:type="spellStart"/>
      <w:r w:rsidRPr="00B81079">
        <w:t>реш</w:t>
      </w:r>
      <w:proofErr w:type="spellEnd"/>
      <w:r w:rsidRPr="00B81079">
        <w:t xml:space="preserve">.), № 73896/16, §§ 33-39, 10 септември 2024 г.), </w:t>
      </w:r>
      <w:r w:rsidRPr="00B81079">
        <w:lastRenderedPageBreak/>
        <w:t xml:space="preserve">Съдът преразглежда тази констатация в светлината на съдебната практика, представена от </w:t>
      </w:r>
      <w:r w:rsidR="00AA2590" w:rsidRPr="00B81079">
        <w:t>Правителството</w:t>
      </w:r>
      <w:r w:rsidRPr="00B81079">
        <w:t xml:space="preserve"> и приема, че иск по член 49 от ЗЗД може да представлява ефективно вътрешноправно средство за защита в ситуация, в която </w:t>
      </w:r>
      <w:r w:rsidR="00AA2590" w:rsidRPr="00B81079">
        <w:t>изказванията</w:t>
      </w:r>
      <w:r w:rsidRPr="00B81079">
        <w:t xml:space="preserve">, накърняващи презумпцията за невиновност, са направени от висш служител на Министерството на вътрешните работи. Въпреки това Съдът счита, че настоящият случай се различава от делото </w:t>
      </w:r>
      <w:r w:rsidR="00870CB3" w:rsidRPr="00B81079">
        <w:rPr>
          <w:i/>
        </w:rPr>
        <w:t>Чоков</w:t>
      </w:r>
      <w:r w:rsidRPr="00B81079">
        <w:t xml:space="preserve">, цитирано по-горе, доколкото </w:t>
      </w:r>
      <w:proofErr w:type="spellStart"/>
      <w:r w:rsidRPr="00B81079">
        <w:t>жалбоподателката</w:t>
      </w:r>
      <w:proofErr w:type="spellEnd"/>
      <w:r w:rsidRPr="00B81079">
        <w:t xml:space="preserve"> се </w:t>
      </w:r>
      <w:r w:rsidR="00FF3271" w:rsidRPr="00B81079">
        <w:t>оплаква</w:t>
      </w:r>
      <w:r w:rsidRPr="00B81079">
        <w:t xml:space="preserve"> от прессъобщение, </w:t>
      </w:r>
      <w:r w:rsidR="00FF3271" w:rsidRPr="00B81079">
        <w:t xml:space="preserve">публикувано </w:t>
      </w:r>
      <w:r w:rsidRPr="00B81079">
        <w:t>от прокуратурата (</w:t>
      </w:r>
      <w:r w:rsidR="00FF3271" w:rsidRPr="00B81079">
        <w:t xml:space="preserve">вж. </w:t>
      </w:r>
      <w:r w:rsidRPr="00B81079">
        <w:t xml:space="preserve">параграф </w:t>
      </w:r>
      <w:r w:rsidRPr="00B81079">
        <w:fldChar w:fldCharType="begin"/>
      </w:r>
      <w:r w:rsidRPr="00B81079">
        <w:instrText xml:space="preserve"> REF para9 \h  \* MERGEFORMAT </w:instrText>
      </w:r>
      <w:r w:rsidRPr="00B81079">
        <w:fldChar w:fldCharType="separate"/>
      </w:r>
      <w:r w:rsidR="00377F8E" w:rsidRPr="00B81079">
        <w:t>9</w:t>
      </w:r>
      <w:r w:rsidRPr="00B81079">
        <w:fldChar w:fldCharType="end"/>
      </w:r>
      <w:r w:rsidRPr="00B81079">
        <w:t xml:space="preserve"> по-горе), а не от </w:t>
      </w:r>
      <w:r w:rsidR="00FF3271" w:rsidRPr="00B81079">
        <w:t xml:space="preserve">изказвания </w:t>
      </w:r>
      <w:r w:rsidRPr="00B81079">
        <w:t xml:space="preserve">на служител на Министерството на вътрешните работи. Следователно Съдът трябва да определи дали в светлината на представените от Правителството доказателства същото средство за защита може да се счита за ефективно при конкретните обстоятелства в случая. Съдът обаче счита, че решението на </w:t>
      </w:r>
      <w:r w:rsidR="00FF3271" w:rsidRPr="00B81079">
        <w:t>А</w:t>
      </w:r>
      <w:r w:rsidRPr="00B81079">
        <w:t>пелативен съд</w:t>
      </w:r>
      <w:r w:rsidR="00FF3271" w:rsidRPr="00B81079">
        <w:t xml:space="preserve"> - София</w:t>
      </w:r>
      <w:r w:rsidRPr="00B81079">
        <w:t>, на което Правителството се позовава в настоящия случай (</w:t>
      </w:r>
      <w:r w:rsidR="00FF3271" w:rsidRPr="00B81079">
        <w:t xml:space="preserve">вж. </w:t>
      </w:r>
      <w:r w:rsidRPr="00B81079">
        <w:t xml:space="preserve">параграф </w:t>
      </w:r>
      <w:r w:rsidRPr="00B81079">
        <w:fldChar w:fldCharType="begin"/>
      </w:r>
      <w:r w:rsidRPr="00B81079">
        <w:instrText xml:space="preserve"> REF para26 \h </w:instrText>
      </w:r>
      <w:r w:rsidR="00B81079">
        <w:instrText xml:space="preserve"> \* MERGEFORMAT </w:instrText>
      </w:r>
      <w:r w:rsidRPr="00B81079">
        <w:fldChar w:fldCharType="separate"/>
      </w:r>
      <w:r w:rsidR="00377F8E" w:rsidRPr="00B81079">
        <w:t>26</w:t>
      </w:r>
      <w:r w:rsidRPr="00B81079">
        <w:fldChar w:fldCharType="end"/>
      </w:r>
      <w:r w:rsidRPr="00B81079">
        <w:t xml:space="preserve"> по-горе), не може да докаже ефективността на такова средство за защита в случая на </w:t>
      </w:r>
      <w:proofErr w:type="spellStart"/>
      <w:r w:rsidR="00C538F4" w:rsidRPr="00B81079">
        <w:t>жалбоподател</w:t>
      </w:r>
      <w:r w:rsidR="00C538F4">
        <w:t>ката</w:t>
      </w:r>
      <w:proofErr w:type="spellEnd"/>
      <w:r w:rsidRPr="00B81079">
        <w:t xml:space="preserve">, като се имат предвид съществените разлики между фактите по двата случая. </w:t>
      </w:r>
      <w:r w:rsidR="00FF3271" w:rsidRPr="00B81079">
        <w:t xml:space="preserve">Съдът </w:t>
      </w:r>
      <w:r w:rsidRPr="00B81079">
        <w:t>отбелязва, че в цитиран</w:t>
      </w:r>
      <w:r w:rsidR="00FF3271" w:rsidRPr="00B81079">
        <w:t xml:space="preserve">ия от </w:t>
      </w:r>
      <w:r w:rsidRPr="00B81079">
        <w:t>Правителството</w:t>
      </w:r>
      <w:r w:rsidR="00FF3271" w:rsidRPr="00B81079">
        <w:t xml:space="preserve"> случай</w:t>
      </w:r>
      <w:r w:rsidRPr="00B81079">
        <w:t xml:space="preserve">, </w:t>
      </w:r>
      <w:r w:rsidR="00C538F4">
        <w:t xml:space="preserve">предхождащото </w:t>
      </w:r>
      <w:r w:rsidRPr="00B81079">
        <w:t xml:space="preserve">прекратяване на наказателното производство е било решаващо за присъждането на обезщетение в рамките на иска, предявен </w:t>
      </w:r>
      <w:r w:rsidR="00FF3271" w:rsidRPr="00B81079">
        <w:t>по</w:t>
      </w:r>
      <w:r w:rsidRPr="00B81079">
        <w:t xml:space="preserve"> член 49 от ЗЗД, докато в настоящия случай наказателното производство, водено срещу </w:t>
      </w:r>
      <w:proofErr w:type="spellStart"/>
      <w:r w:rsidRPr="00B81079">
        <w:t>жалбоподателката</w:t>
      </w:r>
      <w:proofErr w:type="spellEnd"/>
      <w:r w:rsidRPr="00B81079">
        <w:t>, все още е висящо на етап разследване (</w:t>
      </w:r>
      <w:r w:rsidR="00FF3271" w:rsidRPr="00B81079">
        <w:t xml:space="preserve">вж. </w:t>
      </w:r>
      <w:r w:rsidRPr="00B81079">
        <w:t xml:space="preserve">параграф </w:t>
      </w:r>
      <w:r w:rsidRPr="00B81079">
        <w:fldChar w:fldCharType="begin"/>
      </w:r>
      <w:r w:rsidRPr="00B81079">
        <w:instrText xml:space="preserve"> REF para14 \h </w:instrText>
      </w:r>
      <w:r w:rsidR="00B81079">
        <w:instrText xml:space="preserve"> \* MERGEFORMAT </w:instrText>
      </w:r>
      <w:r w:rsidRPr="00B81079">
        <w:fldChar w:fldCharType="separate"/>
      </w:r>
      <w:r w:rsidR="00377F8E" w:rsidRPr="00B81079">
        <w:t>14</w:t>
      </w:r>
      <w:r w:rsidRPr="00B81079">
        <w:fldChar w:fldCharType="end"/>
      </w:r>
      <w:r w:rsidRPr="00B81079">
        <w:t xml:space="preserve"> по-горе).</w:t>
      </w:r>
    </w:p>
    <w:bookmarkStart w:id="34" w:name="para33"/>
    <w:p w14:paraId="0F1D066B" w14:textId="15FA026F"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33</w:t>
      </w:r>
      <w:r w:rsidRPr="00B81079">
        <w:fldChar w:fldCharType="end"/>
      </w:r>
      <w:bookmarkEnd w:id="34"/>
      <w:r w:rsidRPr="00B81079">
        <w:t xml:space="preserve">.  Относно втория </w:t>
      </w:r>
      <w:r w:rsidR="00FF3271" w:rsidRPr="00B81079">
        <w:t>аргумент</w:t>
      </w:r>
      <w:r w:rsidRPr="00B81079">
        <w:t>, представен от Правителството (</w:t>
      </w:r>
      <w:r w:rsidR="00FF3271" w:rsidRPr="00B81079">
        <w:t xml:space="preserve">вж. </w:t>
      </w:r>
      <w:r w:rsidRPr="00B81079">
        <w:t xml:space="preserve">параграф </w:t>
      </w:r>
      <w:r w:rsidRPr="00B81079">
        <w:fldChar w:fldCharType="begin"/>
      </w:r>
      <w:r w:rsidRPr="00B81079">
        <w:instrText xml:space="preserve"> REF para27 \h </w:instrText>
      </w:r>
      <w:r w:rsidR="00B81079">
        <w:instrText xml:space="preserve"> \* MERGEFORMAT </w:instrText>
      </w:r>
      <w:r w:rsidRPr="00B81079">
        <w:fldChar w:fldCharType="separate"/>
      </w:r>
      <w:r w:rsidR="00377F8E" w:rsidRPr="00B81079">
        <w:t>27</w:t>
      </w:r>
      <w:r w:rsidRPr="00B81079">
        <w:fldChar w:fldCharType="end"/>
      </w:r>
      <w:r w:rsidRPr="00B81079">
        <w:t xml:space="preserve"> по-горе), Съдът </w:t>
      </w:r>
      <w:r w:rsidR="00FF3271" w:rsidRPr="00B81079">
        <w:t>отбелязва</w:t>
      </w:r>
      <w:r w:rsidRPr="00B81079">
        <w:t>, че дори да се предположи, че компенсаторно средство за защита по член 2в от З</w:t>
      </w:r>
      <w:r w:rsidR="00C538F4">
        <w:t>ОДОВ</w:t>
      </w:r>
      <w:r w:rsidRPr="00B81079">
        <w:t xml:space="preserve"> е теоретично налично, Правителството не представ</w:t>
      </w:r>
      <w:r w:rsidR="00FF3271" w:rsidRPr="00B81079">
        <w:t>я</w:t>
      </w:r>
      <w:r w:rsidRPr="00B81079">
        <w:t xml:space="preserve"> никакви доказателства, които да могат да установят неговата ефективност на практика във фактически и правни ситуации, сравними с тези в случая.</w:t>
      </w:r>
    </w:p>
    <w:bookmarkStart w:id="35" w:name="para34"/>
    <w:p w14:paraId="678BE913" w14:textId="54BE73BB"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34</w:t>
      </w:r>
      <w:r w:rsidRPr="00B81079">
        <w:fldChar w:fldCharType="end"/>
      </w:r>
      <w:bookmarkEnd w:id="35"/>
      <w:r w:rsidRPr="00B81079">
        <w:t xml:space="preserve">.  Относно </w:t>
      </w:r>
      <w:r w:rsidR="00C538F4" w:rsidRPr="00B81079">
        <w:t>пред</w:t>
      </w:r>
      <w:r w:rsidR="00C538F4">
        <w:t>ставената</w:t>
      </w:r>
      <w:r w:rsidR="00C538F4" w:rsidRPr="00B81079">
        <w:t xml:space="preserve"> </w:t>
      </w:r>
      <w:r w:rsidRPr="00B81079">
        <w:t xml:space="preserve">от Правителството възможност за предявяване на иск за обезщетение по новата разпоредба </w:t>
      </w:r>
      <w:r w:rsidR="00FF3271" w:rsidRPr="00B81079">
        <w:t xml:space="preserve">на </w:t>
      </w:r>
      <w:r w:rsidRPr="00B81079">
        <w:t>член 2, алинея 1, точка 8 от З</w:t>
      </w:r>
      <w:r w:rsidR="00C538F4">
        <w:t>ОДОВ</w:t>
      </w:r>
      <w:r w:rsidRPr="00B81079">
        <w:t xml:space="preserve">, Съдът отбелязва, че изменението, въвеждащо </w:t>
      </w:r>
      <w:r w:rsidR="00C538F4" w:rsidRPr="00B81079">
        <w:t>т</w:t>
      </w:r>
      <w:r w:rsidR="00C538F4">
        <w:t>ази</w:t>
      </w:r>
      <w:r w:rsidR="00C538F4" w:rsidRPr="00B81079">
        <w:t xml:space="preserve"> </w:t>
      </w:r>
      <w:r w:rsidRPr="00B81079">
        <w:t>нов</w:t>
      </w:r>
      <w:r w:rsidR="00C538F4">
        <w:t>а</w:t>
      </w:r>
      <w:r w:rsidRPr="00B81079">
        <w:t xml:space="preserve"> </w:t>
      </w:r>
      <w:r w:rsidR="00C538F4">
        <w:t>хипотеза</w:t>
      </w:r>
      <w:r w:rsidR="00C538F4" w:rsidRPr="00B81079">
        <w:t xml:space="preserve"> </w:t>
      </w:r>
      <w:r w:rsidRPr="00B81079">
        <w:t>на отговорност на държавата, е в сила от юни 2023 г. (</w:t>
      </w:r>
      <w:r w:rsidR="00FF3271" w:rsidRPr="00B81079">
        <w:t xml:space="preserve">вж. </w:t>
      </w:r>
      <w:r w:rsidRPr="00B81079">
        <w:t xml:space="preserve">параграф </w:t>
      </w:r>
      <w:r w:rsidRPr="00B81079">
        <w:fldChar w:fldCharType="begin"/>
      </w:r>
      <w:r w:rsidRPr="00B81079">
        <w:instrText xml:space="preserve"> REF para21 \h </w:instrText>
      </w:r>
      <w:r w:rsidR="00B81079">
        <w:instrText xml:space="preserve"> \* MERGEFORMAT </w:instrText>
      </w:r>
      <w:r w:rsidRPr="00B81079">
        <w:fldChar w:fldCharType="separate"/>
      </w:r>
      <w:r w:rsidR="00377F8E" w:rsidRPr="00B81079">
        <w:t>21</w:t>
      </w:r>
      <w:r w:rsidRPr="00B81079">
        <w:fldChar w:fldCharType="end"/>
      </w:r>
      <w:r w:rsidRPr="00B81079">
        <w:t xml:space="preserve"> по-горе), докато </w:t>
      </w:r>
      <w:proofErr w:type="spellStart"/>
      <w:r w:rsidRPr="00B81079">
        <w:t>жалбоподателката</w:t>
      </w:r>
      <w:proofErr w:type="spellEnd"/>
      <w:r w:rsidRPr="00B81079">
        <w:t xml:space="preserve"> пода</w:t>
      </w:r>
      <w:r w:rsidR="00FF3271" w:rsidRPr="00B81079">
        <w:t>в</w:t>
      </w:r>
      <w:r w:rsidRPr="00B81079">
        <w:t>а жалбата си на 10 юли 2019 г. Тоест според постоянната практика на Съда, ефективността и наличието на вътрешноправни</w:t>
      </w:r>
      <w:r w:rsidR="00FF3271" w:rsidRPr="00B81079">
        <w:t>те</w:t>
      </w:r>
      <w:r w:rsidRPr="00B81079">
        <w:t xml:space="preserve"> средства за защита се оценяват, с някои изключения, </w:t>
      </w:r>
      <w:r w:rsidR="00FF3271" w:rsidRPr="00B81079">
        <w:t xml:space="preserve">към </w:t>
      </w:r>
      <w:r w:rsidRPr="00B81079">
        <w:t>датата, на която жалбата е подадена в Съда (</w:t>
      </w:r>
      <w:bookmarkStart w:id="36" w:name="_cl1807"/>
      <w:proofErr w:type="spellStart"/>
      <w:r w:rsidR="00870CB3" w:rsidRPr="00B81079">
        <w:rPr>
          <w:i/>
          <w:iCs/>
        </w:rPr>
        <w:t>Baumann</w:t>
      </w:r>
      <w:proofErr w:type="spellEnd"/>
      <w:r w:rsidR="00870CB3" w:rsidRPr="00B81079">
        <w:rPr>
          <w:i/>
          <w:iCs/>
        </w:rPr>
        <w:t xml:space="preserve"> c. </w:t>
      </w:r>
      <w:proofErr w:type="spellStart"/>
      <w:r w:rsidR="00870CB3" w:rsidRPr="00B81079">
        <w:rPr>
          <w:i/>
          <w:iCs/>
        </w:rPr>
        <w:t>France</w:t>
      </w:r>
      <w:bookmarkEnd w:id="36"/>
      <w:proofErr w:type="spellEnd"/>
      <w:r w:rsidRPr="00B81079">
        <w:t>, № 33592/96, § 47, ЕСПЧ 2001</w:t>
      </w:r>
      <w:r w:rsidRPr="00B81079">
        <w:rPr>
          <w:rFonts w:ascii="Calibri" w:hAnsi="Calibri"/>
          <w:sz w:val="22"/>
        </w:rPr>
        <w:noBreakHyphen/>
      </w:r>
      <w:r w:rsidRPr="00B81079">
        <w:t>V (извлечения). Съдът счита, че няма повод да се отклони от това правило в настоящия случай, тъй като изглежда, че законодателното изменение не предвижда изрично, че тази нова възможност за обезщетение се прилага в случаите, когато</w:t>
      </w:r>
      <w:r w:rsidR="00C538F4">
        <w:t>,</w:t>
      </w:r>
      <w:r w:rsidRPr="00B81079">
        <w:t xml:space="preserve"> както в настоящия случай, фактите, довели до </w:t>
      </w:r>
      <w:r w:rsidR="00725F0B" w:rsidRPr="00B81079">
        <w:t>твърдените</w:t>
      </w:r>
      <w:r w:rsidRPr="00B81079">
        <w:t xml:space="preserve"> нарушения на член 6 § 2, са възникнали преди влизането му в сила. Поради това счита, че понастоящем не разполага с достатъчно </w:t>
      </w:r>
      <w:r w:rsidRPr="00B81079">
        <w:lastRenderedPageBreak/>
        <w:t xml:space="preserve">доказателства, за да заключи, че новото средство за защита, </w:t>
      </w:r>
      <w:r w:rsidR="00725F0B" w:rsidRPr="00B81079">
        <w:t xml:space="preserve">въведено </w:t>
      </w:r>
      <w:r w:rsidRPr="00B81079">
        <w:t>с член 2, алинея 1, точка 8 от З</w:t>
      </w:r>
      <w:r w:rsidR="00C538F4">
        <w:t>ОДОВ</w:t>
      </w:r>
      <w:r w:rsidRPr="00B81079">
        <w:t xml:space="preserve">, е ефективно (вж. </w:t>
      </w:r>
      <w:proofErr w:type="spellStart"/>
      <w:r w:rsidRPr="00B81079">
        <w:rPr>
          <w:i/>
        </w:rPr>
        <w:t>mutatis</w:t>
      </w:r>
      <w:proofErr w:type="spellEnd"/>
      <w:r w:rsidRPr="00B81079">
        <w:rPr>
          <w:i/>
        </w:rPr>
        <w:t xml:space="preserve"> </w:t>
      </w:r>
      <w:proofErr w:type="spellStart"/>
      <w:r w:rsidRPr="00B81079">
        <w:rPr>
          <w:i/>
        </w:rPr>
        <w:t>mutandis</w:t>
      </w:r>
      <w:bookmarkStart w:id="37" w:name="_cl17922"/>
      <w:proofErr w:type="spellEnd"/>
      <w:r w:rsidRPr="00B81079">
        <w:rPr>
          <w:i/>
        </w:rPr>
        <w:t xml:space="preserve">, </w:t>
      </w:r>
      <w:r w:rsidR="00725F0B" w:rsidRPr="00B81079">
        <w:rPr>
          <w:i/>
        </w:rPr>
        <w:t>Тони Костадинов срещу България</w:t>
      </w:r>
      <w:bookmarkEnd w:id="37"/>
      <w:r w:rsidRPr="00B81079">
        <w:rPr>
          <w:i/>
        </w:rPr>
        <w:t xml:space="preserve">, </w:t>
      </w:r>
      <w:r w:rsidRPr="00B81079">
        <w:t>№ 37124/10, § 70, 27 януари 2015 г.).</w:t>
      </w:r>
    </w:p>
    <w:bookmarkStart w:id="38" w:name="para35"/>
    <w:p w14:paraId="7D796334" w14:textId="20548934"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35</w:t>
      </w:r>
      <w:r w:rsidRPr="00B81079">
        <w:fldChar w:fldCharType="end"/>
      </w:r>
      <w:bookmarkEnd w:id="38"/>
      <w:r w:rsidRPr="00B81079">
        <w:t xml:space="preserve">.  Следователно възражението на Правителството за </w:t>
      </w:r>
      <w:proofErr w:type="spellStart"/>
      <w:r w:rsidRPr="00B81079">
        <w:t>неизчерпване</w:t>
      </w:r>
      <w:proofErr w:type="spellEnd"/>
      <w:r w:rsidRPr="00B81079">
        <w:t xml:space="preserve"> на вътрешноправните средства за защита</w:t>
      </w:r>
      <w:r w:rsidR="00725F0B" w:rsidRPr="00B81079">
        <w:t xml:space="preserve"> се отхвърля</w:t>
      </w:r>
      <w:r w:rsidRPr="00B81079">
        <w:t>.</w:t>
      </w:r>
    </w:p>
    <w:bookmarkStart w:id="39" w:name="para36"/>
    <w:p w14:paraId="34DFB1E9" w14:textId="7D964E56"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36</w:t>
      </w:r>
      <w:r w:rsidRPr="00B81079">
        <w:fldChar w:fldCharType="end"/>
      </w:r>
      <w:bookmarkEnd w:id="39"/>
      <w:r w:rsidRPr="00B81079">
        <w:t xml:space="preserve">.  Като констатира, че жалбата </w:t>
      </w:r>
      <w:r w:rsidR="00725F0B" w:rsidRPr="00B81079">
        <w:t>по</w:t>
      </w:r>
      <w:r w:rsidRPr="00B81079">
        <w:t xml:space="preserve"> член 6 § 2 не е явно необоснована или недопустима на друг</w:t>
      </w:r>
      <w:r w:rsidR="00725F0B" w:rsidRPr="00B81079">
        <w:t>и</w:t>
      </w:r>
      <w:r w:rsidRPr="00B81079">
        <w:t xml:space="preserve"> основани</w:t>
      </w:r>
      <w:r w:rsidR="00725F0B" w:rsidRPr="00B81079">
        <w:t>я</w:t>
      </w:r>
      <w:r w:rsidRPr="00B81079">
        <w:t xml:space="preserve"> съгласно член 35 от Конвенцията, Съдът я обявява за допустима.</w:t>
      </w:r>
    </w:p>
    <w:p w14:paraId="04B90067" w14:textId="77777777" w:rsidR="00FD340A" w:rsidRPr="00B81079" w:rsidRDefault="002C0148" w:rsidP="00377F8E">
      <w:pPr>
        <w:pStyle w:val="JuHA"/>
      </w:pPr>
      <w:r w:rsidRPr="00B81079">
        <w:t>По същество</w:t>
      </w:r>
    </w:p>
    <w:p w14:paraId="48513134" w14:textId="0A48352E" w:rsidR="00FD340A" w:rsidRPr="00B81079" w:rsidRDefault="00725F0B" w:rsidP="00377F8E">
      <w:pPr>
        <w:pStyle w:val="JuH1"/>
        <w:numPr>
          <w:ilvl w:val="3"/>
          <w:numId w:val="2"/>
        </w:numPr>
      </w:pPr>
      <w:r w:rsidRPr="00B81079">
        <w:t xml:space="preserve">Становищата </w:t>
      </w:r>
      <w:r w:rsidR="002C0148" w:rsidRPr="00B81079">
        <w:t>на страните</w:t>
      </w:r>
    </w:p>
    <w:bookmarkStart w:id="40" w:name="para37"/>
    <w:p w14:paraId="6DD98429" w14:textId="296AB011"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37</w:t>
      </w:r>
      <w:r w:rsidRPr="00B81079">
        <w:fldChar w:fldCharType="end"/>
      </w:r>
      <w:bookmarkEnd w:id="40"/>
      <w:r w:rsidRPr="00B81079">
        <w:t>.  </w:t>
      </w:r>
      <w:proofErr w:type="spellStart"/>
      <w:r w:rsidRPr="00B81079">
        <w:t>Жалбоподателката</w:t>
      </w:r>
      <w:proofErr w:type="spellEnd"/>
      <w:r w:rsidRPr="00B81079">
        <w:t xml:space="preserve"> твърди, че </w:t>
      </w:r>
      <w:proofErr w:type="spellStart"/>
      <w:r w:rsidRPr="00B81079">
        <w:t>прессъобщението</w:t>
      </w:r>
      <w:proofErr w:type="spellEnd"/>
      <w:r w:rsidRPr="00B81079">
        <w:t>, публикувано на 23 януари 2019 г.</w:t>
      </w:r>
      <w:r w:rsidR="00115936" w:rsidRPr="00B81079">
        <w:t>,</w:t>
      </w:r>
      <w:r w:rsidRPr="00B81079">
        <w:t xml:space="preserve"> е нарушил</w:t>
      </w:r>
      <w:r w:rsidR="00115936" w:rsidRPr="00B81079">
        <w:t>о</w:t>
      </w:r>
      <w:r w:rsidRPr="00B81079">
        <w:t xml:space="preserve"> презумпцията </w:t>
      </w:r>
      <w:r w:rsidR="00115936" w:rsidRPr="00B81079">
        <w:t>ѝ</w:t>
      </w:r>
      <w:r w:rsidR="00CE5FB4" w:rsidRPr="00B81079">
        <w:t xml:space="preserve"> </w:t>
      </w:r>
      <w:r w:rsidRPr="00B81079">
        <w:t xml:space="preserve">за невиновност, с която тя се ползва в наказателното производство срещу нея. По-конкретно се </w:t>
      </w:r>
      <w:r w:rsidR="00115936" w:rsidRPr="00B81079">
        <w:t xml:space="preserve">оплаква </w:t>
      </w:r>
      <w:r w:rsidRPr="00B81079">
        <w:t xml:space="preserve">от използвания в прессъобщението език, който според нея е </w:t>
      </w:r>
      <w:r w:rsidR="00303985">
        <w:t>категоричен</w:t>
      </w:r>
      <w:r w:rsidR="00303985" w:rsidRPr="00B81079">
        <w:t xml:space="preserve"> </w:t>
      </w:r>
      <w:r w:rsidRPr="00B81079">
        <w:t>и може да наруши баланса между правото ѝ да бъде смятана за невинна и задължението на властите да информират обществеността за текущо наказателно производство.</w:t>
      </w:r>
    </w:p>
    <w:bookmarkStart w:id="41" w:name="para38"/>
    <w:p w14:paraId="4CB004CA" w14:textId="7CF13B90"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38</w:t>
      </w:r>
      <w:r w:rsidRPr="00B81079">
        <w:fldChar w:fldCharType="end"/>
      </w:r>
      <w:bookmarkEnd w:id="41"/>
      <w:r w:rsidRPr="00B81079">
        <w:t xml:space="preserve">.  Правителството оспорва аргументите на </w:t>
      </w:r>
      <w:proofErr w:type="spellStart"/>
      <w:r w:rsidRPr="00B81079">
        <w:t>жалбоподателката</w:t>
      </w:r>
      <w:proofErr w:type="spellEnd"/>
      <w:r w:rsidRPr="00B81079">
        <w:t xml:space="preserve"> и твърди, че единствената цел на въпросното съобщение е да информира широката общественост за хода на наказателно разследване, което може да предизвика широк интерес. </w:t>
      </w:r>
      <w:r w:rsidR="00115936" w:rsidRPr="00B81079">
        <w:t>Правителството с</w:t>
      </w:r>
      <w:r w:rsidRPr="00B81079">
        <w:t xml:space="preserve">чита, че използването в прессъобщението на някои изрази, които биха могли да </w:t>
      </w:r>
      <w:r w:rsidR="00303985">
        <w:t>подразнят</w:t>
      </w:r>
      <w:r w:rsidR="00303985" w:rsidRPr="00B81079">
        <w:t xml:space="preserve"> </w:t>
      </w:r>
      <w:proofErr w:type="spellStart"/>
      <w:r w:rsidRPr="00B81079">
        <w:t>жалбоподателката</w:t>
      </w:r>
      <w:proofErr w:type="spellEnd"/>
      <w:r w:rsidRPr="00B81079">
        <w:t>, не може да доведе до заключението, че публикацията е надхвърлила чисто информационната си функция.</w:t>
      </w:r>
    </w:p>
    <w:p w14:paraId="17B4A8CE" w14:textId="77777777" w:rsidR="00FD340A" w:rsidRPr="00B81079" w:rsidRDefault="002C0148" w:rsidP="00377F8E">
      <w:pPr>
        <w:pStyle w:val="JuH1"/>
      </w:pPr>
      <w:r w:rsidRPr="00B81079">
        <w:t>Преценката на Съда</w:t>
      </w:r>
    </w:p>
    <w:bookmarkStart w:id="42" w:name="para39"/>
    <w:p w14:paraId="08BC9E23" w14:textId="6C035931"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39</w:t>
      </w:r>
      <w:r w:rsidRPr="00B81079">
        <w:fldChar w:fldCharType="end"/>
      </w:r>
      <w:bookmarkEnd w:id="42"/>
      <w:r w:rsidRPr="00B81079">
        <w:t xml:space="preserve">.  Съдът припомня, че презумпцията за невиновност, залегнала в член 6 § 2, е един от елементите на справедливия наказателен процес, изискван от член 6 § 1. Тя не е спазена, ако официално изявление или решение относно обвиняемо лице отразява усещането, че то е виновно, въпреки че вината му все още не е установена по съдебен ред. </w:t>
      </w:r>
      <w:r w:rsidR="00115936" w:rsidRPr="00B81079">
        <w:t>Достатъчно е</w:t>
      </w:r>
      <w:r w:rsidR="00503BCA" w:rsidRPr="00B81079">
        <w:t>,</w:t>
      </w:r>
      <w:r w:rsidR="00115936" w:rsidRPr="00B81079">
        <w:t xml:space="preserve"> д</w:t>
      </w:r>
      <w:r w:rsidRPr="00B81079">
        <w:t>ори и при липса на официално заключение</w:t>
      </w:r>
      <w:r w:rsidR="00503BCA" w:rsidRPr="00B81079">
        <w:t>, излагането на</w:t>
      </w:r>
      <w:r w:rsidRPr="00B81079">
        <w:t xml:space="preserve"> мотиви, които предполагат, че съдията или държавният служител счита</w:t>
      </w:r>
      <w:r w:rsidR="00503BCA" w:rsidRPr="00B81079">
        <w:t>т</w:t>
      </w:r>
      <w:r w:rsidRPr="00B81079">
        <w:t xml:space="preserve"> съответното лице за виновно, а преждевременното изразяване на такова мнение от самия съд безспорно нарушава презумпцията за невиновност (вж. между другото </w:t>
      </w:r>
      <w:proofErr w:type="spellStart"/>
      <w:r w:rsidRPr="00B81079">
        <w:rPr>
          <w:i/>
        </w:rPr>
        <w:t>Deweer</w:t>
      </w:r>
      <w:proofErr w:type="spellEnd"/>
      <w:r w:rsidRPr="00B81079">
        <w:rPr>
          <w:i/>
        </w:rPr>
        <w:t xml:space="preserve"> c. </w:t>
      </w:r>
      <w:proofErr w:type="spellStart"/>
      <w:r w:rsidRPr="00B81079">
        <w:rPr>
          <w:i/>
        </w:rPr>
        <w:t>Belgique</w:t>
      </w:r>
      <w:proofErr w:type="spellEnd"/>
      <w:r w:rsidRPr="00B81079">
        <w:t xml:space="preserve">, 27 февруари 1980 г., § 56, серия A № 35, </w:t>
      </w:r>
      <w:proofErr w:type="spellStart"/>
      <w:r w:rsidRPr="00B81079">
        <w:rPr>
          <w:i/>
        </w:rPr>
        <w:t>Minelli</w:t>
      </w:r>
      <w:proofErr w:type="spellEnd"/>
      <w:r w:rsidRPr="00B81079">
        <w:rPr>
          <w:i/>
        </w:rPr>
        <w:t xml:space="preserve"> c. </w:t>
      </w:r>
      <w:proofErr w:type="spellStart"/>
      <w:r w:rsidRPr="00B81079">
        <w:rPr>
          <w:i/>
        </w:rPr>
        <w:t>Suisse</w:t>
      </w:r>
      <w:proofErr w:type="spellEnd"/>
      <w:r w:rsidRPr="00B81079">
        <w:t xml:space="preserve">, 25 март 1983 г., §§ 27, 30 и 37, серия A № 62, </w:t>
      </w:r>
      <w:proofErr w:type="spellStart"/>
      <w:r w:rsidRPr="00B81079">
        <w:rPr>
          <w:i/>
        </w:rPr>
        <w:t>Allenet</w:t>
      </w:r>
      <w:proofErr w:type="spellEnd"/>
      <w:r w:rsidRPr="00B81079">
        <w:rPr>
          <w:i/>
        </w:rPr>
        <w:t xml:space="preserve"> </w:t>
      </w:r>
      <w:proofErr w:type="spellStart"/>
      <w:r w:rsidRPr="00B81079">
        <w:rPr>
          <w:i/>
        </w:rPr>
        <w:t>de</w:t>
      </w:r>
      <w:proofErr w:type="spellEnd"/>
      <w:r w:rsidRPr="00B81079">
        <w:rPr>
          <w:i/>
        </w:rPr>
        <w:t xml:space="preserve"> </w:t>
      </w:r>
      <w:proofErr w:type="spellStart"/>
      <w:r w:rsidRPr="00B81079">
        <w:rPr>
          <w:i/>
        </w:rPr>
        <w:t>Ribemont</w:t>
      </w:r>
      <w:proofErr w:type="spellEnd"/>
      <w:r w:rsidRPr="00B81079">
        <w:rPr>
          <w:i/>
        </w:rPr>
        <w:t xml:space="preserve"> c. </w:t>
      </w:r>
      <w:proofErr w:type="spellStart"/>
      <w:r w:rsidRPr="00B81079">
        <w:rPr>
          <w:i/>
        </w:rPr>
        <w:t>France</w:t>
      </w:r>
      <w:proofErr w:type="spellEnd"/>
      <w:r w:rsidRPr="00B81079">
        <w:t xml:space="preserve">, 10 февруари 1995 г., серия A № 308, §§ 35-36, </w:t>
      </w:r>
      <w:proofErr w:type="spellStart"/>
      <w:r w:rsidRPr="00B81079">
        <w:rPr>
          <w:i/>
        </w:rPr>
        <w:t>Daktaras</w:t>
      </w:r>
      <w:proofErr w:type="spellEnd"/>
      <w:r w:rsidRPr="00B81079">
        <w:rPr>
          <w:i/>
        </w:rPr>
        <w:t xml:space="preserve"> c. </w:t>
      </w:r>
      <w:proofErr w:type="spellStart"/>
      <w:r w:rsidRPr="00B81079">
        <w:rPr>
          <w:i/>
        </w:rPr>
        <w:t>Lituanie</w:t>
      </w:r>
      <w:proofErr w:type="spellEnd"/>
      <w:r w:rsidRPr="00B81079">
        <w:t xml:space="preserve">, № 42095/98, §§ 41-44, CEDH 2000-X и </w:t>
      </w:r>
      <w:proofErr w:type="spellStart"/>
      <w:r w:rsidRPr="00B81079">
        <w:rPr>
          <w:i/>
        </w:rPr>
        <w:t>Matijašević</w:t>
      </w:r>
      <w:proofErr w:type="spellEnd"/>
      <w:r w:rsidRPr="00B81079">
        <w:rPr>
          <w:i/>
        </w:rPr>
        <w:t xml:space="preserve"> c. </w:t>
      </w:r>
      <w:proofErr w:type="spellStart"/>
      <w:r w:rsidRPr="00B81079">
        <w:rPr>
          <w:i/>
        </w:rPr>
        <w:t>Serbie</w:t>
      </w:r>
      <w:proofErr w:type="spellEnd"/>
      <w:r w:rsidRPr="00B81079">
        <w:t>, № 23037/04, § 45, CEDH 2006-X).</w:t>
      </w:r>
    </w:p>
    <w:bookmarkStart w:id="43" w:name="para40"/>
    <w:p w14:paraId="470B5A23" w14:textId="5781A6EF" w:rsidR="00FD340A" w:rsidRPr="00B81079" w:rsidRDefault="002C0148" w:rsidP="00377F8E">
      <w:pPr>
        <w:pStyle w:val="JuPara"/>
      </w:pPr>
      <w:r w:rsidRPr="00B81079">
        <w:lastRenderedPageBreak/>
        <w:fldChar w:fldCharType="begin"/>
      </w:r>
      <w:r w:rsidRPr="00B81079">
        <w:instrText xml:space="preserve"> SEQ level0 \*arabic </w:instrText>
      </w:r>
      <w:r w:rsidRPr="00B81079">
        <w:fldChar w:fldCharType="separate"/>
      </w:r>
      <w:r w:rsidR="00377F8E" w:rsidRPr="00B81079">
        <w:t>40</w:t>
      </w:r>
      <w:r w:rsidRPr="00B81079">
        <w:fldChar w:fldCharType="end"/>
      </w:r>
      <w:bookmarkEnd w:id="43"/>
      <w:r w:rsidRPr="00B81079">
        <w:t xml:space="preserve">.  Освен това трябва да се прави разлика между решения или изявления, които отразяват мнение, че съответното лице е виновно и такива, които само описват „състояние на подозрение“. Първите нарушават презумпцията за невиновност, докато вторите се считат за приемливи в различни ситуации, разгледани от Съда (вж. по-конкретно </w:t>
      </w:r>
      <w:proofErr w:type="spellStart"/>
      <w:r w:rsidRPr="00B81079">
        <w:rPr>
          <w:i/>
        </w:rPr>
        <w:t>Lutz</w:t>
      </w:r>
      <w:proofErr w:type="spellEnd"/>
      <w:r w:rsidRPr="00B81079">
        <w:rPr>
          <w:i/>
        </w:rPr>
        <w:t xml:space="preserve"> c. </w:t>
      </w:r>
      <w:proofErr w:type="spellStart"/>
      <w:r w:rsidRPr="00B81079">
        <w:rPr>
          <w:i/>
        </w:rPr>
        <w:t>Allemagne</w:t>
      </w:r>
      <w:proofErr w:type="spellEnd"/>
      <w:r w:rsidRPr="00B81079">
        <w:t xml:space="preserve">, 25 август 1987 г., § 62, серия A № 123 и </w:t>
      </w:r>
      <w:proofErr w:type="spellStart"/>
      <w:r w:rsidRPr="00B81079">
        <w:rPr>
          <w:i/>
        </w:rPr>
        <w:t>Leutscher</w:t>
      </w:r>
      <w:proofErr w:type="spellEnd"/>
      <w:r w:rsidRPr="00B81079">
        <w:rPr>
          <w:i/>
        </w:rPr>
        <w:t xml:space="preserve"> c. </w:t>
      </w:r>
      <w:proofErr w:type="spellStart"/>
      <w:r w:rsidRPr="00B81079">
        <w:rPr>
          <w:i/>
        </w:rPr>
        <w:t>Pays-Bas</w:t>
      </w:r>
      <w:proofErr w:type="spellEnd"/>
      <w:r w:rsidRPr="00B81079">
        <w:t xml:space="preserve">, 26 март 1996 г., § 31, </w:t>
      </w:r>
      <w:r w:rsidRPr="00B81079">
        <w:rPr>
          <w:i/>
        </w:rPr>
        <w:t>Сборник</w:t>
      </w:r>
      <w:r w:rsidRPr="00B81079">
        <w:t xml:space="preserve"> </w:t>
      </w:r>
      <w:r w:rsidRPr="00B81079">
        <w:rPr>
          <w:i/>
        </w:rPr>
        <w:t xml:space="preserve">постановления и решения </w:t>
      </w:r>
      <w:r w:rsidRPr="00B81079">
        <w:t>1996</w:t>
      </w:r>
      <w:r w:rsidRPr="00B81079">
        <w:noBreakHyphen/>
        <w:t>II).</w:t>
      </w:r>
    </w:p>
    <w:bookmarkStart w:id="44" w:name="para41"/>
    <w:p w14:paraId="198DDE1D" w14:textId="1AE02679"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41</w:t>
      </w:r>
      <w:r w:rsidRPr="00B81079">
        <w:fldChar w:fldCharType="end"/>
      </w:r>
      <w:bookmarkEnd w:id="44"/>
      <w:r w:rsidRPr="00B81079">
        <w:t xml:space="preserve">.  Освен това свободата на словото, гарантирана от член 10 от Конвенцията, включва свободата да се получава и съобщава информация. Следователно член 6 § 2 не може да попречи на властите да информират обществеността за текущи наказателни разследвания. От друга страна, </w:t>
      </w:r>
      <w:r w:rsidR="00303985">
        <w:t xml:space="preserve">Конвенцията </w:t>
      </w:r>
      <w:r w:rsidRPr="00B81079">
        <w:t xml:space="preserve">изисква от тях да правят това с цялата дискретност и резервираност, </w:t>
      </w:r>
      <w:r w:rsidR="00503BCA" w:rsidRPr="00B81079">
        <w:t>необходима за</w:t>
      </w:r>
      <w:r w:rsidRPr="00B81079">
        <w:t xml:space="preserve"> зачитането на презумпцията за </w:t>
      </w:r>
      <w:proofErr w:type="spellStart"/>
      <w:r w:rsidRPr="00B81079">
        <w:t>невиновност</w:t>
      </w:r>
      <w:proofErr w:type="spellEnd"/>
      <w:r w:rsidRPr="00B81079">
        <w:t xml:space="preserve"> (</w:t>
      </w:r>
      <w:proofErr w:type="spellStart"/>
      <w:r w:rsidRPr="00B81079">
        <w:rPr>
          <w:i/>
        </w:rPr>
        <w:t>Allenet</w:t>
      </w:r>
      <w:proofErr w:type="spellEnd"/>
      <w:r w:rsidRPr="00B81079">
        <w:rPr>
          <w:i/>
        </w:rPr>
        <w:t xml:space="preserve"> </w:t>
      </w:r>
      <w:proofErr w:type="spellStart"/>
      <w:r w:rsidRPr="00B81079">
        <w:rPr>
          <w:i/>
        </w:rPr>
        <w:t>de</w:t>
      </w:r>
      <w:proofErr w:type="spellEnd"/>
      <w:r w:rsidRPr="00B81079">
        <w:rPr>
          <w:i/>
        </w:rPr>
        <w:t xml:space="preserve"> </w:t>
      </w:r>
      <w:proofErr w:type="spellStart"/>
      <w:r w:rsidRPr="00B81079">
        <w:rPr>
          <w:i/>
        </w:rPr>
        <w:t>Ribemont</w:t>
      </w:r>
      <w:proofErr w:type="spellEnd"/>
      <w:r w:rsidRPr="00B81079">
        <w:t>, цитиран по-горе, § 38).</w:t>
      </w:r>
    </w:p>
    <w:bookmarkStart w:id="45" w:name="para42"/>
    <w:p w14:paraId="728EB980" w14:textId="4D86F6C7"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42</w:t>
      </w:r>
      <w:r w:rsidRPr="00B81079">
        <w:fldChar w:fldCharType="end"/>
      </w:r>
      <w:bookmarkEnd w:id="45"/>
      <w:r w:rsidRPr="00B81079">
        <w:t xml:space="preserve">.  В настоящия случай в прессъобщението, публикувано от </w:t>
      </w:r>
      <w:r w:rsidR="00503BCA" w:rsidRPr="00B81079">
        <w:t>С</w:t>
      </w:r>
      <w:r w:rsidRPr="00B81079">
        <w:t>пециализираната прокуратура на 23 януари 2019 г. (</w:t>
      </w:r>
      <w:r w:rsidR="00503BCA" w:rsidRPr="00B81079">
        <w:t xml:space="preserve">вж. </w:t>
      </w:r>
      <w:r w:rsidRPr="00B81079">
        <w:t xml:space="preserve">параграф </w:t>
      </w:r>
      <w:r w:rsidRPr="00B81079">
        <w:fldChar w:fldCharType="begin"/>
      </w:r>
      <w:r w:rsidRPr="00B81079">
        <w:instrText xml:space="preserve"> REF para9 \h </w:instrText>
      </w:r>
      <w:r w:rsidR="00B81079">
        <w:instrText xml:space="preserve"> \* MERGEFORMAT </w:instrText>
      </w:r>
      <w:r w:rsidRPr="00B81079">
        <w:fldChar w:fldCharType="separate"/>
      </w:r>
      <w:r w:rsidR="00377F8E" w:rsidRPr="00B81079">
        <w:t>9</w:t>
      </w:r>
      <w:r w:rsidRPr="00B81079">
        <w:fldChar w:fldCharType="end"/>
      </w:r>
      <w:r w:rsidRPr="00B81079">
        <w:t xml:space="preserve"> по-горе), се посочват редица етапи от наказателното производство срещу </w:t>
      </w:r>
      <w:proofErr w:type="spellStart"/>
      <w:r w:rsidRPr="00B81079">
        <w:t>жалбоподателката</w:t>
      </w:r>
      <w:proofErr w:type="spellEnd"/>
      <w:r w:rsidRPr="00B81079">
        <w:t xml:space="preserve">, като например образуването на наказателното </w:t>
      </w:r>
      <w:r w:rsidR="00CE5FB4" w:rsidRPr="00B81079">
        <w:t>производство</w:t>
      </w:r>
      <w:r w:rsidRPr="00B81079">
        <w:t xml:space="preserve">, искането за снемане на депутатския имунитет на </w:t>
      </w:r>
      <w:proofErr w:type="spellStart"/>
      <w:r w:rsidR="00503BCA" w:rsidRPr="00B81079">
        <w:t>жалбоподателката</w:t>
      </w:r>
      <w:proofErr w:type="spellEnd"/>
      <w:r w:rsidRPr="00B81079">
        <w:t xml:space="preserve"> и </w:t>
      </w:r>
      <w:r w:rsidR="002951DC" w:rsidRPr="00B81079">
        <w:t>привличането й като обвиняем</w:t>
      </w:r>
      <w:r w:rsidR="001D4E77">
        <w:t>а</w:t>
      </w:r>
      <w:r w:rsidR="002951DC" w:rsidRPr="00B81079">
        <w:t xml:space="preserve">, като </w:t>
      </w:r>
      <w:r w:rsidRPr="00B81079">
        <w:t>се излагат,</w:t>
      </w:r>
      <w:r w:rsidR="002951DC" w:rsidRPr="00B81079">
        <w:t xml:space="preserve"> по-конкретно</w:t>
      </w:r>
      <w:r w:rsidR="001D4E77">
        <w:t>,</w:t>
      </w:r>
      <w:r w:rsidRPr="00B81079">
        <w:t xml:space="preserve"> правната квалификация</w:t>
      </w:r>
      <w:r w:rsidR="002951DC" w:rsidRPr="00B81079">
        <w:t xml:space="preserve"> и</w:t>
      </w:r>
      <w:r w:rsidRPr="00B81079">
        <w:t xml:space="preserve"> фактическите елементи, които обосновават повдигане</w:t>
      </w:r>
      <w:r w:rsidR="002951DC" w:rsidRPr="00B81079">
        <w:t>то</w:t>
      </w:r>
      <w:r w:rsidRPr="00B81079">
        <w:t xml:space="preserve"> на обвинение</w:t>
      </w:r>
      <w:r w:rsidR="002951DC" w:rsidRPr="00B81079">
        <w:t>то</w:t>
      </w:r>
      <w:r w:rsidRPr="00B81079">
        <w:t>.</w:t>
      </w:r>
    </w:p>
    <w:bookmarkStart w:id="46" w:name="para43"/>
    <w:p w14:paraId="686F61D4" w14:textId="5B2B51F9"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43</w:t>
      </w:r>
      <w:r w:rsidRPr="00B81079">
        <w:fldChar w:fldCharType="end"/>
      </w:r>
      <w:bookmarkEnd w:id="46"/>
      <w:r w:rsidRPr="00B81079">
        <w:t>.  Съдът обаче счита, че в това прессъобщение прокуратурата не се огранич</w:t>
      </w:r>
      <w:r w:rsidR="0074190F" w:rsidRPr="00B81079">
        <w:t>ава</w:t>
      </w:r>
      <w:r w:rsidRPr="00B81079">
        <w:t xml:space="preserve"> само до съобщаване на информация. По-конкретно</w:t>
      </w:r>
      <w:r w:rsidR="0074190F" w:rsidRPr="00B81079">
        <w:t xml:space="preserve"> предвид </w:t>
      </w:r>
      <w:r w:rsidRPr="00B81079">
        <w:t>твърде не</w:t>
      </w:r>
      <w:r w:rsidR="0074190F" w:rsidRPr="00B81079">
        <w:t>ясния</w:t>
      </w:r>
      <w:r w:rsidRPr="00B81079">
        <w:t xml:space="preserve"> начин, по който са описани предварителните констатации по наказателното разследване относно незаконния произход на средствата, които премина</w:t>
      </w:r>
      <w:r w:rsidR="0074190F" w:rsidRPr="00B81079">
        <w:t>ват</w:t>
      </w:r>
      <w:r w:rsidRPr="00B81079">
        <w:t xml:space="preserve"> през банковите сметки на продуцентското дружество, управлявано от </w:t>
      </w:r>
      <w:proofErr w:type="spellStart"/>
      <w:r w:rsidRPr="00B81079">
        <w:t>жалбоподателката</w:t>
      </w:r>
      <w:proofErr w:type="spellEnd"/>
      <w:r w:rsidRPr="00B81079">
        <w:t xml:space="preserve">, избора на някои термини като „съучастник“, „престъпен произход на средствата“, „организирана престъпна група“, както и заключенията, в които категорично се посочва, че </w:t>
      </w:r>
      <w:proofErr w:type="spellStart"/>
      <w:r w:rsidRPr="00B81079">
        <w:t>жалбоподателката</w:t>
      </w:r>
      <w:proofErr w:type="spellEnd"/>
      <w:r w:rsidRPr="00B81079">
        <w:t xml:space="preserve"> е знаела, че въпросните пари са с незаконен произход, Съдът счита, че </w:t>
      </w:r>
      <w:proofErr w:type="spellStart"/>
      <w:r w:rsidRPr="00B81079">
        <w:t>прессъобщението</w:t>
      </w:r>
      <w:proofErr w:type="spellEnd"/>
      <w:r w:rsidRPr="00B81079">
        <w:t xml:space="preserve">, преди делото да бъде доведено до знанието на съда, е </w:t>
      </w:r>
      <w:r w:rsidR="001D4E77" w:rsidRPr="00B81079">
        <w:t>внуш</w:t>
      </w:r>
      <w:r w:rsidR="001D4E77">
        <w:t>и</w:t>
      </w:r>
      <w:r w:rsidR="001D4E77" w:rsidRPr="00B81079">
        <w:t xml:space="preserve">ло </w:t>
      </w:r>
      <w:r w:rsidRPr="00B81079">
        <w:t xml:space="preserve">идеята, че </w:t>
      </w:r>
      <w:proofErr w:type="spellStart"/>
      <w:r w:rsidR="0074190F" w:rsidRPr="00B81079">
        <w:t>жалбоподателската</w:t>
      </w:r>
      <w:proofErr w:type="spellEnd"/>
      <w:r w:rsidR="0074190F" w:rsidRPr="00B81079">
        <w:t xml:space="preserve"> </w:t>
      </w:r>
      <w:r w:rsidRPr="00B81079">
        <w:t>съзнателно е участвала в мащабна операция по пране на пари.</w:t>
      </w:r>
    </w:p>
    <w:bookmarkStart w:id="47" w:name="para44"/>
    <w:p w14:paraId="1408E573" w14:textId="27F4949A"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44</w:t>
      </w:r>
      <w:r w:rsidRPr="00B81079">
        <w:fldChar w:fldCharType="end"/>
      </w:r>
      <w:bookmarkEnd w:id="47"/>
      <w:r w:rsidRPr="00B81079">
        <w:t>.  Съдът отбелязва също така, че прессъобщението е широко разпространено от електронните и печатните медии (</w:t>
      </w:r>
      <w:r w:rsidR="0074190F" w:rsidRPr="00B81079">
        <w:t xml:space="preserve">вж. </w:t>
      </w:r>
      <w:r w:rsidRPr="00B81079">
        <w:t xml:space="preserve">параграф </w:t>
      </w:r>
      <w:r w:rsidRPr="00B81079">
        <w:fldChar w:fldCharType="begin"/>
      </w:r>
      <w:r w:rsidRPr="00B81079">
        <w:instrText xml:space="preserve"> REF para10 \h </w:instrText>
      </w:r>
      <w:r w:rsidR="00B81079">
        <w:instrText xml:space="preserve"> \* MERGEFORMAT </w:instrText>
      </w:r>
      <w:r w:rsidRPr="00B81079">
        <w:fldChar w:fldCharType="separate"/>
      </w:r>
      <w:r w:rsidR="00377F8E" w:rsidRPr="00B81079">
        <w:t>10</w:t>
      </w:r>
      <w:r w:rsidRPr="00B81079">
        <w:fldChar w:fldCharType="end"/>
      </w:r>
      <w:r w:rsidRPr="00B81079">
        <w:t xml:space="preserve"> по-горе) - обстоятелство, което предвид репутацията на </w:t>
      </w:r>
      <w:proofErr w:type="spellStart"/>
      <w:r w:rsidRPr="00B81079">
        <w:t>жалбоподателката</w:t>
      </w:r>
      <w:proofErr w:type="spellEnd"/>
      <w:r w:rsidRPr="00B81079">
        <w:t xml:space="preserve"> като журналист и политик (</w:t>
      </w:r>
      <w:r w:rsidR="0074190F" w:rsidRPr="00B81079">
        <w:t xml:space="preserve">вж. </w:t>
      </w:r>
      <w:r w:rsidRPr="00B81079">
        <w:t xml:space="preserve">параграфи </w:t>
      </w:r>
      <w:r w:rsidRPr="00B81079">
        <w:fldChar w:fldCharType="begin"/>
      </w:r>
      <w:r w:rsidRPr="00B81079">
        <w:instrText xml:space="preserve"> REF para4 \h </w:instrText>
      </w:r>
      <w:r w:rsidR="00B81079">
        <w:instrText xml:space="preserve"> \* MERGEFORMAT </w:instrText>
      </w:r>
      <w:r w:rsidRPr="00B81079">
        <w:fldChar w:fldCharType="separate"/>
      </w:r>
      <w:r w:rsidR="00377F8E" w:rsidRPr="00B81079">
        <w:t>4</w:t>
      </w:r>
      <w:r w:rsidRPr="00B81079">
        <w:fldChar w:fldCharType="end"/>
      </w:r>
      <w:r w:rsidRPr="00B81079">
        <w:t xml:space="preserve"> и </w:t>
      </w:r>
      <w:r w:rsidRPr="00B81079">
        <w:fldChar w:fldCharType="begin"/>
      </w:r>
      <w:r w:rsidRPr="00B81079">
        <w:instrText xml:space="preserve"> REF para5 \h </w:instrText>
      </w:r>
      <w:r w:rsidR="00B81079">
        <w:instrText xml:space="preserve"> \* MERGEFORMAT </w:instrText>
      </w:r>
      <w:r w:rsidRPr="00B81079">
        <w:fldChar w:fldCharType="separate"/>
      </w:r>
      <w:r w:rsidR="00377F8E" w:rsidRPr="00B81079">
        <w:t>5</w:t>
      </w:r>
      <w:r w:rsidRPr="00B81079">
        <w:fldChar w:fldCharType="end"/>
      </w:r>
      <w:r w:rsidRPr="00B81079">
        <w:t xml:space="preserve"> по-горе), </w:t>
      </w:r>
      <w:r w:rsidR="0074190F" w:rsidRPr="00B81079">
        <w:t>засилва</w:t>
      </w:r>
      <w:r w:rsidRPr="00B81079">
        <w:t xml:space="preserve"> неблагоприятните последици от нарушаването на правото ѝ на презумпция за невиновност.</w:t>
      </w:r>
    </w:p>
    <w:bookmarkStart w:id="48" w:name="para45"/>
    <w:p w14:paraId="345721AE" w14:textId="02F0C0D5" w:rsidR="00FD340A" w:rsidRPr="00B81079" w:rsidRDefault="002C0148" w:rsidP="00377F8E">
      <w:pPr>
        <w:pStyle w:val="JuPara"/>
      </w:pPr>
      <w:r w:rsidRPr="00B81079">
        <w:lastRenderedPageBreak/>
        <w:fldChar w:fldCharType="begin"/>
      </w:r>
      <w:r w:rsidRPr="00B81079">
        <w:instrText xml:space="preserve"> SEQ level0 \*arabic </w:instrText>
      </w:r>
      <w:r w:rsidRPr="00B81079">
        <w:fldChar w:fldCharType="separate"/>
      </w:r>
      <w:r w:rsidR="00377F8E" w:rsidRPr="00B81079">
        <w:t>45</w:t>
      </w:r>
      <w:r w:rsidRPr="00B81079">
        <w:fldChar w:fldCharType="end"/>
      </w:r>
      <w:bookmarkEnd w:id="48"/>
      <w:r w:rsidRPr="00B81079">
        <w:t xml:space="preserve">.  Тези елементи са достатъчни, за да </w:t>
      </w:r>
      <w:r w:rsidR="0074190F" w:rsidRPr="00B81079">
        <w:t xml:space="preserve">заключи </w:t>
      </w:r>
      <w:r w:rsidRPr="00B81079">
        <w:t>Съдът, че в настоящия случай е налице нарушение на член 6 § 2 от Конвенцията</w:t>
      </w:r>
    </w:p>
    <w:p w14:paraId="0DB3CCD5" w14:textId="64EE9CA1" w:rsidR="00FD340A" w:rsidRPr="00B81079" w:rsidRDefault="002C0148" w:rsidP="00377F8E">
      <w:pPr>
        <w:pStyle w:val="JuHIRoman"/>
      </w:pPr>
      <w:r w:rsidRPr="00B81079">
        <w:t>ТВЪРДЯНО НАРУШЕНИЕ НА ЧЛЕН 13 ОТ КОНВЕНЦИЯТА</w:t>
      </w:r>
    </w:p>
    <w:bookmarkStart w:id="49" w:name="para46"/>
    <w:p w14:paraId="45C5B8D5" w14:textId="30FBC13A"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46</w:t>
      </w:r>
      <w:r w:rsidRPr="00B81079">
        <w:fldChar w:fldCharType="end"/>
      </w:r>
      <w:bookmarkEnd w:id="49"/>
      <w:r w:rsidRPr="00B81079">
        <w:t>.  </w:t>
      </w:r>
      <w:proofErr w:type="spellStart"/>
      <w:r w:rsidRPr="00B81079">
        <w:t>Жалбоподателката</w:t>
      </w:r>
      <w:proofErr w:type="spellEnd"/>
      <w:r w:rsidRPr="00B81079">
        <w:t xml:space="preserve"> се оплаква, че не е разполагала с вътрешноправно средство за защита, за да поправи твърдяното нарушение на правото ѝ на презумпция за невиновност. Тя се позовава на член 13 от Конвенцията, който гласи:</w:t>
      </w:r>
    </w:p>
    <w:p w14:paraId="4D5098B9" w14:textId="77777777" w:rsidR="00FD340A" w:rsidRPr="00B81079" w:rsidRDefault="002C0148" w:rsidP="00377F8E">
      <w:pPr>
        <w:pStyle w:val="JuQuot"/>
      </w:pPr>
      <w:r w:rsidRPr="00B81079">
        <w:t>„Всеки, чиито права и свободи, провъзгласени в (...) Конвенцията,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 “</w:t>
      </w:r>
    </w:p>
    <w:p w14:paraId="27FFC6C7" w14:textId="76A0A792" w:rsidR="00FD340A" w:rsidRPr="00B81079" w:rsidRDefault="0074190F" w:rsidP="00377F8E">
      <w:pPr>
        <w:pStyle w:val="JuHA"/>
      </w:pPr>
      <w:r w:rsidRPr="00B81079">
        <w:t>Д</w:t>
      </w:r>
      <w:r w:rsidR="002C0148" w:rsidRPr="00B81079">
        <w:t>опустимост</w:t>
      </w:r>
    </w:p>
    <w:p w14:paraId="1A798468" w14:textId="2C80E4C6" w:rsidR="00FD340A" w:rsidRPr="00B81079" w:rsidRDefault="008E095D" w:rsidP="00377F8E">
      <w:pPr>
        <w:pStyle w:val="JuPara"/>
      </w:pPr>
      <w:fldSimple w:instr=" SEQ level0 \*arabic \* MERGEFORMAT ">
        <w:r w:rsidR="002C0148" w:rsidRPr="00B81079">
          <w:t>47</w:t>
        </w:r>
      </w:fldSimple>
      <w:r w:rsidR="002C0148" w:rsidRPr="00B81079">
        <w:t xml:space="preserve">.  Като </w:t>
      </w:r>
      <w:r w:rsidR="0074190F" w:rsidRPr="00B81079">
        <w:t>намира</w:t>
      </w:r>
      <w:r w:rsidR="002C0148" w:rsidRPr="00B81079">
        <w:t>, че т</w:t>
      </w:r>
      <w:r w:rsidR="001D4E77">
        <w:t>ова оплакване</w:t>
      </w:r>
      <w:r w:rsidR="002C0148" w:rsidRPr="00B81079">
        <w:t xml:space="preserve"> не е явно </w:t>
      </w:r>
      <w:r w:rsidR="001D4E77" w:rsidRPr="00B81079">
        <w:t>необоснован</w:t>
      </w:r>
      <w:r w:rsidR="001D4E77">
        <w:t>о</w:t>
      </w:r>
      <w:r w:rsidR="001D4E77" w:rsidRPr="00B81079">
        <w:t xml:space="preserve"> </w:t>
      </w:r>
      <w:r w:rsidR="0074190F" w:rsidRPr="00B81079">
        <w:t>или</w:t>
      </w:r>
      <w:r w:rsidR="002C0148" w:rsidRPr="00B81079">
        <w:t xml:space="preserve"> </w:t>
      </w:r>
      <w:r w:rsidR="001D4E77" w:rsidRPr="00B81079">
        <w:t>недопустим</w:t>
      </w:r>
      <w:r w:rsidR="001D4E77">
        <w:t>о</w:t>
      </w:r>
      <w:r w:rsidR="001D4E77" w:rsidRPr="00B81079">
        <w:t xml:space="preserve"> </w:t>
      </w:r>
      <w:r w:rsidR="002C0148" w:rsidRPr="00B81079">
        <w:t>на друг</w:t>
      </w:r>
      <w:r w:rsidR="0074190F" w:rsidRPr="00B81079">
        <w:t>и</w:t>
      </w:r>
      <w:r w:rsidR="002C0148" w:rsidRPr="00B81079">
        <w:t xml:space="preserve"> основани</w:t>
      </w:r>
      <w:r w:rsidR="0074190F" w:rsidRPr="00B81079">
        <w:t>я</w:t>
      </w:r>
      <w:r w:rsidR="002C0148" w:rsidRPr="00B81079">
        <w:t>, посочен</w:t>
      </w:r>
      <w:r w:rsidR="0074190F" w:rsidRPr="00B81079">
        <w:t>и</w:t>
      </w:r>
      <w:r w:rsidR="002C0148" w:rsidRPr="00B81079">
        <w:t xml:space="preserve"> в чл. 35 от Конвенцията, Съдът </w:t>
      </w:r>
      <w:r w:rsidR="001D4E77">
        <w:t>го</w:t>
      </w:r>
      <w:r w:rsidR="001D4E77" w:rsidRPr="00B81079">
        <w:t xml:space="preserve"> </w:t>
      </w:r>
      <w:r w:rsidR="002C0148" w:rsidRPr="00B81079">
        <w:t xml:space="preserve">обявява за </w:t>
      </w:r>
      <w:r w:rsidR="001D4E77" w:rsidRPr="00B81079">
        <w:t>допустим</w:t>
      </w:r>
      <w:r w:rsidR="001D4E77">
        <w:t>о</w:t>
      </w:r>
      <w:r w:rsidR="002C0148" w:rsidRPr="00B81079">
        <w:t>.</w:t>
      </w:r>
    </w:p>
    <w:p w14:paraId="42D94187" w14:textId="77777777" w:rsidR="00FD340A" w:rsidRPr="00B81079" w:rsidRDefault="002C0148" w:rsidP="00377F8E">
      <w:pPr>
        <w:pStyle w:val="JuHA"/>
      </w:pPr>
      <w:r w:rsidRPr="00B81079">
        <w:t>По същество</w:t>
      </w:r>
    </w:p>
    <w:bookmarkStart w:id="50" w:name="para48"/>
    <w:p w14:paraId="23B3B747" w14:textId="160DAD99"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48</w:t>
      </w:r>
      <w:r w:rsidRPr="00B81079">
        <w:fldChar w:fldCharType="end"/>
      </w:r>
      <w:bookmarkEnd w:id="50"/>
      <w:r w:rsidRPr="00B81079">
        <w:t>.  Страните по същество повтарят аргументите, изложени от тях относно допустимостта на жалбата по член 6 § 2 от Конвенцията (</w:t>
      </w:r>
      <w:r w:rsidR="0074190F" w:rsidRPr="00B81079">
        <w:t xml:space="preserve">вж. </w:t>
      </w:r>
      <w:r w:rsidRPr="00B81079">
        <w:t xml:space="preserve">параграфи </w:t>
      </w:r>
      <w:r w:rsidRPr="00B81079">
        <w:fldChar w:fldCharType="begin"/>
      </w:r>
      <w:r w:rsidRPr="00B81079">
        <w:instrText xml:space="preserve"> REF para26 \h </w:instrText>
      </w:r>
      <w:r w:rsidR="00B81079">
        <w:instrText xml:space="preserve"> \* MERGEFORMAT </w:instrText>
      </w:r>
      <w:r w:rsidRPr="00B81079">
        <w:fldChar w:fldCharType="separate"/>
      </w:r>
      <w:r w:rsidR="00377F8E" w:rsidRPr="00B81079">
        <w:t>26</w:t>
      </w:r>
      <w:r w:rsidRPr="00B81079">
        <w:fldChar w:fldCharType="end"/>
      </w:r>
      <w:r w:rsidRPr="00B81079">
        <w:t>-</w:t>
      </w:r>
      <w:r w:rsidRPr="00B81079">
        <w:fldChar w:fldCharType="begin"/>
      </w:r>
      <w:r w:rsidRPr="00B81079">
        <w:instrText xml:space="preserve"> REF para30 \h </w:instrText>
      </w:r>
      <w:r w:rsidR="00B81079">
        <w:instrText xml:space="preserve"> \* MERGEFORMAT </w:instrText>
      </w:r>
      <w:r w:rsidRPr="00B81079">
        <w:fldChar w:fldCharType="separate"/>
      </w:r>
      <w:r w:rsidR="00377F8E" w:rsidRPr="00B81079">
        <w:t>30</w:t>
      </w:r>
      <w:r w:rsidRPr="00B81079">
        <w:fldChar w:fldCharType="end"/>
      </w:r>
      <w:r w:rsidRPr="00B81079">
        <w:t xml:space="preserve"> по-горе).</w:t>
      </w:r>
    </w:p>
    <w:bookmarkStart w:id="51" w:name="para49"/>
    <w:p w14:paraId="408AF376" w14:textId="3E05FB7E"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49</w:t>
      </w:r>
      <w:r w:rsidRPr="00B81079">
        <w:fldChar w:fldCharType="end"/>
      </w:r>
      <w:bookmarkEnd w:id="51"/>
      <w:r w:rsidRPr="00B81079">
        <w:t>.  След като разгледа всички материали, с които разполага, Съдът счита, че те разкриват и нарушение на член 13 от Конвенцията във връзка с член 6 § 2, като има предвид заключенията, до които достиг</w:t>
      </w:r>
      <w:r w:rsidR="0074190F" w:rsidRPr="00B81079">
        <w:t>а</w:t>
      </w:r>
      <w:r w:rsidRPr="00B81079">
        <w:t xml:space="preserve"> по възраженията, повдигнати от Правителството по член 6 § 2 (параграфи </w:t>
      </w:r>
      <w:r w:rsidRPr="00B81079">
        <w:fldChar w:fldCharType="begin"/>
      </w:r>
      <w:r w:rsidRPr="00B81079">
        <w:instrText xml:space="preserve"> REF para32 \h </w:instrText>
      </w:r>
      <w:r w:rsidR="00B81079">
        <w:instrText xml:space="preserve"> \* MERGEFORMAT </w:instrText>
      </w:r>
      <w:r w:rsidRPr="00B81079">
        <w:fldChar w:fldCharType="separate"/>
      </w:r>
      <w:r w:rsidR="00377F8E" w:rsidRPr="00B81079">
        <w:t>32</w:t>
      </w:r>
      <w:r w:rsidRPr="00B81079">
        <w:fldChar w:fldCharType="end"/>
      </w:r>
      <w:r w:rsidRPr="00B81079">
        <w:t>-</w:t>
      </w:r>
      <w:r w:rsidRPr="00B81079">
        <w:fldChar w:fldCharType="begin"/>
      </w:r>
      <w:r w:rsidRPr="00B81079">
        <w:instrText xml:space="preserve"> REF para35 \h </w:instrText>
      </w:r>
      <w:r w:rsidR="00B81079">
        <w:instrText xml:space="preserve"> \* MERGEFORMAT </w:instrText>
      </w:r>
      <w:r w:rsidRPr="00B81079">
        <w:fldChar w:fldCharType="separate"/>
      </w:r>
      <w:r w:rsidR="00377F8E" w:rsidRPr="00B81079">
        <w:t>35</w:t>
      </w:r>
      <w:r w:rsidRPr="00B81079">
        <w:fldChar w:fldCharType="end"/>
      </w:r>
      <w:r w:rsidRPr="00B81079">
        <w:t xml:space="preserve"> по-горе) и констатациите</w:t>
      </w:r>
      <w:r w:rsidR="0074190F" w:rsidRPr="00B81079">
        <w:t xml:space="preserve"> си в</w:t>
      </w:r>
      <w:r w:rsidRPr="00B81079">
        <w:t xml:space="preserve"> </w:t>
      </w:r>
      <w:proofErr w:type="spellStart"/>
      <w:r w:rsidR="00CE5FB4" w:rsidRPr="00B81079">
        <w:rPr>
          <w:i/>
        </w:rPr>
        <w:t>Lolov</w:t>
      </w:r>
      <w:proofErr w:type="spellEnd"/>
      <w:r w:rsidR="00CE5FB4" w:rsidRPr="00B81079">
        <w:rPr>
          <w:i/>
        </w:rPr>
        <w:t xml:space="preserve"> </w:t>
      </w:r>
      <w:proofErr w:type="spellStart"/>
      <w:r w:rsidR="00CE5FB4" w:rsidRPr="00B81079">
        <w:rPr>
          <w:i/>
        </w:rPr>
        <w:t>et</w:t>
      </w:r>
      <w:proofErr w:type="spellEnd"/>
      <w:r w:rsidR="00CE5FB4" w:rsidRPr="00B81079">
        <w:rPr>
          <w:i/>
        </w:rPr>
        <w:t xml:space="preserve"> </w:t>
      </w:r>
      <w:proofErr w:type="spellStart"/>
      <w:r w:rsidR="00CE5FB4" w:rsidRPr="00B81079">
        <w:rPr>
          <w:i/>
        </w:rPr>
        <w:t>autres</w:t>
      </w:r>
      <w:proofErr w:type="spellEnd"/>
      <w:r w:rsidR="00CE5FB4" w:rsidRPr="00B81079">
        <w:t xml:space="preserve"> </w:t>
      </w:r>
      <w:r w:rsidRPr="00B81079">
        <w:t xml:space="preserve">(цитиран по-горе §§ 80-82) и </w:t>
      </w:r>
      <w:r w:rsidRPr="00B81079">
        <w:rPr>
          <w:i/>
        </w:rPr>
        <w:t>Баневи срещу България</w:t>
      </w:r>
      <w:r w:rsidRPr="00B81079">
        <w:t xml:space="preserve"> (№ 25658/19, §§ 184-186, 12 октомври 2021 г.), които са от сравним характер.</w:t>
      </w:r>
    </w:p>
    <w:bookmarkStart w:id="52" w:name="para50"/>
    <w:p w14:paraId="2DAAD973" w14:textId="77777777" w:rsidR="00FD340A" w:rsidRPr="00B81079" w:rsidRDefault="002C0148" w:rsidP="00377F8E">
      <w:pPr>
        <w:pStyle w:val="JuPara"/>
      </w:pPr>
      <w:r w:rsidRPr="00B81079">
        <w:fldChar w:fldCharType="begin"/>
      </w:r>
      <w:r w:rsidRPr="00B81079">
        <w:instrText xml:space="preserve"> SEQ level0 \*arabic </w:instrText>
      </w:r>
      <w:r w:rsidRPr="00B81079">
        <w:fldChar w:fldCharType="separate"/>
      </w:r>
      <w:r w:rsidR="00377F8E" w:rsidRPr="00B81079">
        <w:t>50</w:t>
      </w:r>
      <w:r w:rsidRPr="00B81079">
        <w:fldChar w:fldCharType="end"/>
      </w:r>
      <w:bookmarkEnd w:id="52"/>
      <w:r w:rsidRPr="00B81079">
        <w:t>.  Съответно е налице нарушение на член 13 във връзка с член 6 § 2 от Конвенцията.</w:t>
      </w:r>
    </w:p>
    <w:p w14:paraId="0E64D39E" w14:textId="26A13B89" w:rsidR="00FD340A" w:rsidRPr="00B81079" w:rsidRDefault="002C0148" w:rsidP="00377F8E">
      <w:pPr>
        <w:pStyle w:val="JuHIRoman"/>
      </w:pPr>
      <w:r w:rsidRPr="00B81079">
        <w:t>ТВЪРДЯНОТО НАРУШЕНИЕ НА ЧЛЕН 18 от конвенцията, ВЪВ ВРЪЗКА С ЧЛЕН 6 § 2 ОТ КОНВЕНЦИЯТА</w:t>
      </w:r>
    </w:p>
    <w:bookmarkStart w:id="53" w:name="para51"/>
    <w:p w14:paraId="4D1708C6" w14:textId="2D4DB56F" w:rsidR="00FD340A" w:rsidRPr="00B81079" w:rsidRDefault="002C0148" w:rsidP="00377F8E">
      <w:pPr>
        <w:pStyle w:val="JuPara"/>
      </w:pPr>
      <w:r w:rsidRPr="00B81079">
        <w:fldChar w:fldCharType="begin"/>
      </w:r>
      <w:r w:rsidRPr="00B81079">
        <w:instrText xml:space="preserve"> SEQ level0 \*arabic \* MERGEFORMAT </w:instrText>
      </w:r>
      <w:r w:rsidRPr="00B81079">
        <w:fldChar w:fldCharType="separate"/>
      </w:r>
      <w:r w:rsidR="00377F8E" w:rsidRPr="00B81079">
        <w:t>51</w:t>
      </w:r>
      <w:r w:rsidRPr="00B81079">
        <w:fldChar w:fldCharType="end"/>
      </w:r>
      <w:bookmarkEnd w:id="53"/>
      <w:r w:rsidRPr="00B81079">
        <w:t>.  </w:t>
      </w:r>
      <w:proofErr w:type="spellStart"/>
      <w:r w:rsidRPr="00B81079">
        <w:t>Жалбоподателката</w:t>
      </w:r>
      <w:proofErr w:type="spellEnd"/>
      <w:r w:rsidRPr="00B81079">
        <w:t xml:space="preserve"> твърди, че истинската цел на действията на наказателните органи в конкретния случай и по-специално зад публикуването на прессъобщението от 23 януари 2019 г., е да я накажат за дейността ѝ като журналист и опозиционен парламентарист, като увредят авторитета и професионалната ѝ репутация. Тя </w:t>
      </w:r>
      <w:r w:rsidR="00C46FF1" w:rsidRPr="00B81079">
        <w:t>твърди, че</w:t>
      </w:r>
      <w:r w:rsidRPr="00B81079">
        <w:t xml:space="preserve"> това </w:t>
      </w:r>
      <w:r w:rsidR="00C46FF1" w:rsidRPr="00B81079">
        <w:t xml:space="preserve">е </w:t>
      </w:r>
      <w:r w:rsidRPr="00B81079">
        <w:t>нарушение на член 18 от Конвенцията, който гласи, че по отношение на правата и свободите, признати в Конвенцията:</w:t>
      </w:r>
    </w:p>
    <w:p w14:paraId="07B86C80" w14:textId="4C96B6D0" w:rsidR="00FD340A" w:rsidRPr="00B81079" w:rsidRDefault="002C0148" w:rsidP="00377F8E">
      <w:pPr>
        <w:pStyle w:val="JuQuot"/>
      </w:pPr>
      <w:r w:rsidRPr="00B81079">
        <w:lastRenderedPageBreak/>
        <w:t xml:space="preserve">„Ограниченията, </w:t>
      </w:r>
      <w:r w:rsidR="00C46FF1" w:rsidRPr="00B81079">
        <w:t xml:space="preserve">, допустими в съответствие с </w:t>
      </w:r>
      <w:r w:rsidRPr="00B81079">
        <w:t xml:space="preserve">(...) Конвенцията </w:t>
      </w:r>
      <w:r w:rsidR="00C46FF1" w:rsidRPr="00B81079">
        <w:t>по отношение упражняването на определени права и свободи</w:t>
      </w:r>
      <w:r w:rsidRPr="00B81079">
        <w:t>, не могат да се прилагат с цел, различна от тази, за чието осъществяване са предвидени. “</w:t>
      </w:r>
    </w:p>
    <w:p w14:paraId="49271270" w14:textId="7F5D46AC" w:rsidR="00FD340A" w:rsidRPr="00B81079" w:rsidRDefault="00377F8E" w:rsidP="00377F8E">
      <w:pPr>
        <w:pStyle w:val="JuPara"/>
      </w:pPr>
      <w:r w:rsidRPr="00B81079">
        <w:fldChar w:fldCharType="begin"/>
      </w:r>
      <w:r w:rsidR="002C0148" w:rsidRPr="00B81079">
        <w:instrText xml:space="preserve"> SEQ level0 \*arabic \* MERGEFORMAT </w:instrText>
      </w:r>
      <w:r w:rsidRPr="00B81079">
        <w:fldChar w:fldCharType="separate"/>
      </w:r>
      <w:r w:rsidRPr="00B81079">
        <w:t>52</w:t>
      </w:r>
      <w:r w:rsidRPr="00B81079">
        <w:fldChar w:fldCharType="end"/>
      </w:r>
      <w:r w:rsidRPr="00B81079">
        <w:t xml:space="preserve">.  Съдът припомня </w:t>
      </w:r>
      <w:r w:rsidR="001D4E77" w:rsidRPr="00B81079">
        <w:t xml:space="preserve">още </w:t>
      </w:r>
      <w:r w:rsidRPr="00B81079">
        <w:t xml:space="preserve">в началото, че самият факт, че ограничението на дадена свобода или право, защитени от Конвенцията, не изпълнява всички условия на клаузата, която го позволява, не поражда непременно </w:t>
      </w:r>
      <w:r w:rsidR="00C46FF1" w:rsidRPr="00B81079">
        <w:t>нарушение на</w:t>
      </w:r>
      <w:r w:rsidRPr="00B81079">
        <w:t xml:space="preserve"> член 18. Отделното разглеждане на </w:t>
      </w:r>
      <w:r w:rsidR="001D4E77">
        <w:t>оплакване по</w:t>
      </w:r>
      <w:r w:rsidRPr="00B81079">
        <w:t xml:space="preserve"> тази разпоредба е оправдано само ако твърдението, </w:t>
      </w:r>
      <w:r w:rsidR="00C46FF1" w:rsidRPr="00B81079">
        <w:t>че</w:t>
      </w:r>
      <w:r w:rsidRPr="00B81079">
        <w:t xml:space="preserve"> наложено</w:t>
      </w:r>
      <w:r w:rsidR="00C46FF1" w:rsidRPr="00B81079">
        <w:t>то</w:t>
      </w:r>
      <w:r w:rsidRPr="00B81079">
        <w:t xml:space="preserve"> ограничение </w:t>
      </w:r>
      <w:r w:rsidR="00C46FF1" w:rsidRPr="00B81079">
        <w:t xml:space="preserve">е </w:t>
      </w:r>
      <w:r w:rsidRPr="00B81079">
        <w:t>с цел</w:t>
      </w:r>
      <w:r w:rsidR="001D4E77">
        <w:t>,</w:t>
      </w:r>
      <w:r w:rsidR="008C4E75" w:rsidRPr="00B81079">
        <w:t xml:space="preserve"> несвързана с Конвенцията</w:t>
      </w:r>
      <w:r w:rsidRPr="00B81079">
        <w:t xml:space="preserve">, се </w:t>
      </w:r>
      <w:r w:rsidR="008C4E75" w:rsidRPr="00B81079">
        <w:t xml:space="preserve">окаже </w:t>
      </w:r>
      <w:r w:rsidRPr="00B81079">
        <w:t xml:space="preserve">основен аспект </w:t>
      </w:r>
      <w:r w:rsidR="008C4E75" w:rsidRPr="00B81079">
        <w:t xml:space="preserve">в </w:t>
      </w:r>
      <w:r w:rsidRPr="00B81079">
        <w:t>делото (</w:t>
      </w:r>
      <w:proofErr w:type="spellStart"/>
      <w:r w:rsidRPr="00B81079">
        <w:rPr>
          <w:i/>
        </w:rPr>
        <w:t>Merabishvili</w:t>
      </w:r>
      <w:proofErr w:type="spellEnd"/>
      <w:r w:rsidRPr="00B81079">
        <w:rPr>
          <w:i/>
        </w:rPr>
        <w:t xml:space="preserve"> c. </w:t>
      </w:r>
      <w:proofErr w:type="spellStart"/>
      <w:r w:rsidRPr="00B81079">
        <w:rPr>
          <w:i/>
        </w:rPr>
        <w:t>Géorgie</w:t>
      </w:r>
      <w:proofErr w:type="spellEnd"/>
      <w:r w:rsidRPr="00B81079">
        <w:t xml:space="preserve"> [GC], № 72508/13, § 291, 28 ноември 2017 г. и </w:t>
      </w:r>
      <w:proofErr w:type="spellStart"/>
      <w:r w:rsidRPr="00B81079">
        <w:rPr>
          <w:i/>
        </w:rPr>
        <w:t>Navalnyy</w:t>
      </w:r>
      <w:proofErr w:type="spellEnd"/>
      <w:r w:rsidRPr="00B81079">
        <w:rPr>
          <w:i/>
        </w:rPr>
        <w:t xml:space="preserve"> c. </w:t>
      </w:r>
      <w:proofErr w:type="spellStart"/>
      <w:r w:rsidRPr="00B81079">
        <w:rPr>
          <w:i/>
        </w:rPr>
        <w:t>Russie</w:t>
      </w:r>
      <w:proofErr w:type="spellEnd"/>
      <w:r w:rsidRPr="00B81079">
        <w:t xml:space="preserve"> [GC], № 29580/12 и 4 други, § 164, 15 ноември 2018 г.).</w:t>
      </w:r>
    </w:p>
    <w:p w14:paraId="7AFB2568" w14:textId="19AD367B" w:rsidR="00FD340A" w:rsidRPr="00B81079" w:rsidRDefault="00377F8E" w:rsidP="00377F8E">
      <w:pPr>
        <w:pStyle w:val="JuPara"/>
      </w:pPr>
      <w:r w:rsidRPr="00B81079">
        <w:fldChar w:fldCharType="begin"/>
      </w:r>
      <w:r w:rsidR="002C0148" w:rsidRPr="00B81079">
        <w:instrText xml:space="preserve"> SEQ level0 \*arabic \* MERGEFORMAT </w:instrText>
      </w:r>
      <w:r w:rsidRPr="00B81079">
        <w:fldChar w:fldCharType="separate"/>
      </w:r>
      <w:r w:rsidRPr="00B81079">
        <w:t>53</w:t>
      </w:r>
      <w:r w:rsidRPr="00B81079">
        <w:fldChar w:fldCharType="end"/>
      </w:r>
      <w:r w:rsidRPr="00B81079">
        <w:t xml:space="preserve">.  Съдът подчертава, че по-горе </w:t>
      </w:r>
      <w:r w:rsidR="008C4E75" w:rsidRPr="00B81079">
        <w:t>констатира</w:t>
      </w:r>
      <w:r w:rsidRPr="00B81079">
        <w:t xml:space="preserve">, че е налице нарушение на член 6 § 2 от Конвенцията и нарушение на член 13 във връзка с член 6 § 2 съответно поради публикуването на прессъобщението от 23 януари 2019 г. (вж. параграфи </w:t>
      </w:r>
      <w:r w:rsidR="002C0148" w:rsidRPr="00B81079">
        <w:fldChar w:fldCharType="begin"/>
      </w:r>
      <w:r w:rsidR="002C0148" w:rsidRPr="00B81079">
        <w:instrText xml:space="preserve"> REF para42 \h  \* MERGEFORMAT </w:instrText>
      </w:r>
      <w:r w:rsidR="002C0148" w:rsidRPr="00B81079">
        <w:fldChar w:fldCharType="separate"/>
      </w:r>
      <w:r w:rsidRPr="00B81079">
        <w:t>42</w:t>
      </w:r>
      <w:r w:rsidR="002C0148" w:rsidRPr="00B81079">
        <w:fldChar w:fldCharType="end"/>
      </w:r>
      <w:r w:rsidRPr="00B81079">
        <w:t>-</w:t>
      </w:r>
      <w:r w:rsidR="002C0148" w:rsidRPr="00B81079">
        <w:fldChar w:fldCharType="begin"/>
      </w:r>
      <w:r w:rsidR="002C0148" w:rsidRPr="00B81079">
        <w:instrText xml:space="preserve"> REF para45 \h  \* MERGEFORMAT </w:instrText>
      </w:r>
      <w:r w:rsidR="002C0148" w:rsidRPr="00B81079">
        <w:fldChar w:fldCharType="separate"/>
      </w:r>
      <w:r w:rsidRPr="00B81079">
        <w:t>45</w:t>
      </w:r>
      <w:r w:rsidR="002C0148" w:rsidRPr="00B81079">
        <w:fldChar w:fldCharType="end"/>
      </w:r>
      <w:r w:rsidRPr="00B81079">
        <w:t xml:space="preserve"> по-горе) и липсата на вътрешноправни средства за защита в тази връзка (</w:t>
      </w:r>
      <w:r w:rsidR="008C4E75" w:rsidRPr="00B81079">
        <w:t xml:space="preserve">вж. </w:t>
      </w:r>
      <w:r w:rsidRPr="00B81079">
        <w:t xml:space="preserve">параграфи </w:t>
      </w:r>
      <w:r w:rsidR="002C0148" w:rsidRPr="00B81079">
        <w:fldChar w:fldCharType="begin"/>
      </w:r>
      <w:r w:rsidR="002C0148" w:rsidRPr="00B81079">
        <w:instrText xml:space="preserve"> REF para48 \h  \* MERGEFORMAT </w:instrText>
      </w:r>
      <w:r w:rsidR="002C0148" w:rsidRPr="00B81079">
        <w:fldChar w:fldCharType="separate"/>
      </w:r>
      <w:r w:rsidRPr="00B81079">
        <w:t>48</w:t>
      </w:r>
      <w:r w:rsidR="002C0148" w:rsidRPr="00B81079">
        <w:fldChar w:fldCharType="end"/>
      </w:r>
      <w:r w:rsidRPr="00B81079">
        <w:t>-</w:t>
      </w:r>
      <w:r w:rsidR="002C0148" w:rsidRPr="00B81079">
        <w:fldChar w:fldCharType="begin"/>
      </w:r>
      <w:r w:rsidR="002C0148" w:rsidRPr="00B81079">
        <w:instrText xml:space="preserve"> REF para50 \h  \* MERGEFORMAT </w:instrText>
      </w:r>
      <w:r w:rsidR="002C0148" w:rsidRPr="00B81079">
        <w:fldChar w:fldCharType="separate"/>
      </w:r>
      <w:r w:rsidRPr="00B81079">
        <w:t>50</w:t>
      </w:r>
      <w:r w:rsidR="002C0148" w:rsidRPr="00B81079">
        <w:fldChar w:fldCharType="end"/>
      </w:r>
      <w:r w:rsidRPr="00B81079">
        <w:t xml:space="preserve"> по</w:t>
      </w:r>
      <w:r w:rsidRPr="00B81079">
        <w:rPr>
          <w:rFonts w:ascii="Calibri" w:hAnsi="Calibri"/>
          <w:sz w:val="22"/>
        </w:rPr>
        <w:noBreakHyphen/>
      </w:r>
      <w:r w:rsidRPr="00B81079">
        <w:t>горе).</w:t>
      </w:r>
    </w:p>
    <w:p w14:paraId="0FD6F501" w14:textId="386D42D9" w:rsidR="00FD340A" w:rsidRPr="00B81079" w:rsidRDefault="00377F8E" w:rsidP="00377F8E">
      <w:pPr>
        <w:pStyle w:val="JuPara"/>
      </w:pPr>
      <w:r w:rsidRPr="00B81079">
        <w:fldChar w:fldCharType="begin"/>
      </w:r>
      <w:r w:rsidR="002C0148" w:rsidRPr="00B81079">
        <w:instrText xml:space="preserve"> SEQ level0 \*arabic \* MERGEFORMAT </w:instrText>
      </w:r>
      <w:r w:rsidRPr="00B81079">
        <w:fldChar w:fldCharType="separate"/>
      </w:r>
      <w:r w:rsidRPr="00B81079">
        <w:t>54</w:t>
      </w:r>
      <w:r w:rsidRPr="00B81079">
        <w:fldChar w:fldCharType="end"/>
      </w:r>
      <w:r w:rsidRPr="00B81079">
        <w:t xml:space="preserve">.  Следва да се отбележи също така, че при разглеждането на жалбата по член 6 § 2 от Конвенцията Съдът вече е взел предвид факта, че </w:t>
      </w:r>
      <w:proofErr w:type="spellStart"/>
      <w:r w:rsidRPr="00B81079">
        <w:t>жалбоподател</w:t>
      </w:r>
      <w:r w:rsidR="008C4E75" w:rsidRPr="00B81079">
        <w:t>ката</w:t>
      </w:r>
      <w:proofErr w:type="spellEnd"/>
      <w:r w:rsidRPr="00B81079">
        <w:t xml:space="preserve"> е журналист и политик (</w:t>
      </w:r>
      <w:r w:rsidR="008C4E75" w:rsidRPr="00B81079">
        <w:t xml:space="preserve">вж. </w:t>
      </w:r>
      <w:r w:rsidRPr="00B81079">
        <w:t xml:space="preserve">параграф </w:t>
      </w:r>
      <w:r w:rsidR="002C0148" w:rsidRPr="00B81079">
        <w:fldChar w:fldCharType="begin"/>
      </w:r>
      <w:r w:rsidR="002C0148" w:rsidRPr="00B81079">
        <w:instrText xml:space="preserve"> REF para44 \h  \* MERGEFORMAT </w:instrText>
      </w:r>
      <w:r w:rsidR="002C0148" w:rsidRPr="00B81079">
        <w:fldChar w:fldCharType="separate"/>
      </w:r>
      <w:r w:rsidRPr="00B81079">
        <w:t>44</w:t>
      </w:r>
      <w:r w:rsidR="002C0148" w:rsidRPr="00B81079">
        <w:fldChar w:fldCharType="end"/>
      </w:r>
      <w:r w:rsidRPr="00B81079">
        <w:t xml:space="preserve"> по-горе).</w:t>
      </w:r>
    </w:p>
    <w:p w14:paraId="4481E255" w14:textId="544431A6" w:rsidR="00FD340A" w:rsidRPr="00B81079" w:rsidRDefault="00377F8E" w:rsidP="00377F8E">
      <w:pPr>
        <w:pStyle w:val="JuPara"/>
      </w:pPr>
      <w:r w:rsidRPr="00B81079">
        <w:fldChar w:fldCharType="begin"/>
      </w:r>
      <w:r w:rsidR="002C0148" w:rsidRPr="00B81079">
        <w:instrText xml:space="preserve"> SEQ level0 \*arabic \* MERGEFORMAT </w:instrText>
      </w:r>
      <w:r w:rsidRPr="00B81079">
        <w:fldChar w:fldCharType="separate"/>
      </w:r>
      <w:r w:rsidRPr="00B81079">
        <w:t>55</w:t>
      </w:r>
      <w:r w:rsidRPr="00B81079">
        <w:fldChar w:fldCharType="end"/>
      </w:r>
      <w:r w:rsidRPr="00B81079">
        <w:t>.  </w:t>
      </w:r>
      <w:r w:rsidR="00F61E6D" w:rsidRPr="00B81079">
        <w:t>С оглед на</w:t>
      </w:r>
      <w:r w:rsidRPr="00B81079">
        <w:t xml:space="preserve"> тези обстоятелства, както и предвид становищата на страните и заключенията на Съда по член 6 § 2 от Конвенцията (параграфи </w:t>
      </w:r>
      <w:r w:rsidR="002C0148" w:rsidRPr="00B81079">
        <w:fldChar w:fldCharType="begin"/>
      </w:r>
      <w:r w:rsidR="002C0148" w:rsidRPr="00B81079">
        <w:instrText xml:space="preserve"> REF para37 \h  \* MERGEFORMAT </w:instrText>
      </w:r>
      <w:r w:rsidR="002C0148" w:rsidRPr="00B81079">
        <w:fldChar w:fldCharType="separate"/>
      </w:r>
      <w:r w:rsidRPr="00B81079">
        <w:t>37</w:t>
      </w:r>
      <w:r w:rsidR="002C0148" w:rsidRPr="00B81079">
        <w:fldChar w:fldCharType="end"/>
      </w:r>
      <w:r w:rsidRPr="00B81079">
        <w:t>-</w:t>
      </w:r>
      <w:r w:rsidR="002C0148" w:rsidRPr="00B81079">
        <w:fldChar w:fldCharType="begin"/>
      </w:r>
      <w:r w:rsidR="002C0148" w:rsidRPr="00B81079">
        <w:instrText xml:space="preserve"> REF para45 \h  \* MERGEFORMAT </w:instrText>
      </w:r>
      <w:r w:rsidR="002C0148" w:rsidRPr="00B81079">
        <w:fldChar w:fldCharType="separate"/>
      </w:r>
      <w:r w:rsidRPr="00B81079">
        <w:t>45</w:t>
      </w:r>
      <w:r w:rsidR="002C0148" w:rsidRPr="00B81079">
        <w:fldChar w:fldCharType="end"/>
      </w:r>
      <w:r w:rsidRPr="00B81079">
        <w:t xml:space="preserve"> по-горе), Съдът счита, че няма основание да се произнася отделно по </w:t>
      </w:r>
      <w:r w:rsidR="00F61E6D" w:rsidRPr="00B81079">
        <w:t>оплакването по</w:t>
      </w:r>
      <w:r w:rsidRPr="00B81079">
        <w:t xml:space="preserve"> член 18 в конкретния случай (</w:t>
      </w:r>
      <w:bookmarkStart w:id="54" w:name="_cl7881ENDROIT"/>
      <w:r w:rsidRPr="00B81079">
        <w:t>вж.</w:t>
      </w:r>
      <w:r w:rsidR="00F61E6D" w:rsidRPr="00B81079">
        <w:t xml:space="preserve"> </w:t>
      </w:r>
      <w:proofErr w:type="spellStart"/>
      <w:r w:rsidRPr="00B81079">
        <w:rPr>
          <w:i/>
        </w:rPr>
        <w:t>Ilgar</w:t>
      </w:r>
      <w:proofErr w:type="spellEnd"/>
      <w:r w:rsidRPr="00B81079">
        <w:rPr>
          <w:i/>
        </w:rPr>
        <w:t xml:space="preserve"> </w:t>
      </w:r>
      <w:proofErr w:type="spellStart"/>
      <w:r w:rsidRPr="00B81079">
        <w:rPr>
          <w:i/>
        </w:rPr>
        <w:t>Mammadov</w:t>
      </w:r>
      <w:proofErr w:type="spellEnd"/>
      <w:r w:rsidRPr="00B81079">
        <w:rPr>
          <w:i/>
        </w:rPr>
        <w:t xml:space="preserve"> c. </w:t>
      </w:r>
      <w:proofErr w:type="spellStart"/>
      <w:r w:rsidRPr="00B81079">
        <w:rPr>
          <w:i/>
        </w:rPr>
        <w:t>Azerbaïdjan</w:t>
      </w:r>
      <w:proofErr w:type="spellEnd"/>
      <w:r w:rsidRPr="00B81079">
        <w:rPr>
          <w:i/>
        </w:rPr>
        <w:t xml:space="preserve"> (№ 2)</w:t>
      </w:r>
      <w:bookmarkEnd w:id="54"/>
      <w:r w:rsidRPr="00B81079">
        <w:t>, № 919/15, § 262, 16 ноември 2017 г.).</w:t>
      </w:r>
    </w:p>
    <w:p w14:paraId="45D4AED8" w14:textId="0B85C0C3" w:rsidR="00FD340A" w:rsidRPr="00B81079" w:rsidRDefault="002C0148" w:rsidP="00377F8E">
      <w:pPr>
        <w:pStyle w:val="JuHIRoman"/>
      </w:pPr>
      <w:r w:rsidRPr="00B81079">
        <w:t>ПРИЛОЖЕНИЕ НА ЧЛЕН 41 ОТ КОНВЕНЦИЯТА</w:t>
      </w:r>
    </w:p>
    <w:p w14:paraId="0B4477C1" w14:textId="3BB26186" w:rsidR="00FD340A" w:rsidRPr="00B81079" w:rsidRDefault="008E095D" w:rsidP="00377F8E">
      <w:pPr>
        <w:pStyle w:val="JuPara"/>
      </w:pPr>
      <w:fldSimple w:instr=" SEQ level0 \*arabic ">
        <w:r w:rsidR="00377F8E" w:rsidRPr="00B81079">
          <w:t>56</w:t>
        </w:r>
      </w:fldSimple>
      <w:r w:rsidR="002C0148" w:rsidRPr="00B81079">
        <w:t>.  </w:t>
      </w:r>
      <w:r w:rsidR="00F61E6D" w:rsidRPr="00B81079">
        <w:t>Ч</w:t>
      </w:r>
      <w:r w:rsidR="002C0148" w:rsidRPr="00B81079">
        <w:t>лен 41 от Конвенцията</w:t>
      </w:r>
      <w:r w:rsidR="00F61E6D" w:rsidRPr="00B81079">
        <w:t xml:space="preserve"> гласи:</w:t>
      </w:r>
    </w:p>
    <w:p w14:paraId="5CB2CE13" w14:textId="77777777" w:rsidR="00FD340A" w:rsidRPr="00B81079" w:rsidRDefault="002C0148" w:rsidP="00377F8E">
      <w:pPr>
        <w:pStyle w:val="JuQuot"/>
      </w:pPr>
      <w:r w:rsidRPr="00B81079">
        <w:t xml:space="preserve">„Ако Съдът установи нарушение на Конвенцията или на Протоколите към нея и ако вътрешното право на съответната </w:t>
      </w:r>
      <w:proofErr w:type="spellStart"/>
      <w:r w:rsidRPr="00B81079">
        <w:t>Βисокодоговаряща</w:t>
      </w:r>
      <w:proofErr w:type="spellEnd"/>
      <w:r w:rsidRPr="00B81079">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 “</w:t>
      </w:r>
    </w:p>
    <w:p w14:paraId="52989A20" w14:textId="77777777" w:rsidR="00FD340A" w:rsidRPr="00B81079" w:rsidRDefault="002C0148" w:rsidP="00377F8E">
      <w:pPr>
        <w:pStyle w:val="JuHA"/>
      </w:pPr>
      <w:r w:rsidRPr="00B81079">
        <w:t>Вреди</w:t>
      </w:r>
    </w:p>
    <w:p w14:paraId="435D94B1" w14:textId="104ABBF8" w:rsidR="00FD340A" w:rsidRPr="00B81079" w:rsidRDefault="008E095D" w:rsidP="00377F8E">
      <w:pPr>
        <w:pStyle w:val="JuPara"/>
      </w:pPr>
      <w:fldSimple w:instr=" SEQ level0 \*arabic ">
        <w:r w:rsidR="00377F8E" w:rsidRPr="00B81079">
          <w:t>57</w:t>
        </w:r>
      </w:fldSimple>
      <w:r w:rsidR="002C0148" w:rsidRPr="00B81079">
        <w:t>.  </w:t>
      </w:r>
      <w:proofErr w:type="spellStart"/>
      <w:r w:rsidR="002C0148" w:rsidRPr="00B81079">
        <w:t>Жалбоподателката</w:t>
      </w:r>
      <w:proofErr w:type="spellEnd"/>
      <w:r w:rsidR="002C0148" w:rsidRPr="00B81079">
        <w:t xml:space="preserve"> </w:t>
      </w:r>
      <w:r w:rsidR="00F61E6D" w:rsidRPr="00B81079">
        <w:t xml:space="preserve">претендира </w:t>
      </w:r>
      <w:r w:rsidR="002C0148" w:rsidRPr="00B81079">
        <w:t xml:space="preserve">25 000 евро (EUR) за </w:t>
      </w:r>
      <w:r w:rsidR="00F61E6D" w:rsidRPr="00B81079">
        <w:t>неимуществени вреди</w:t>
      </w:r>
      <w:r w:rsidR="002C0148" w:rsidRPr="00B81079">
        <w:t>.</w:t>
      </w:r>
    </w:p>
    <w:p w14:paraId="781E26AF" w14:textId="77777777" w:rsidR="00FD340A" w:rsidRPr="00B81079" w:rsidRDefault="008E095D" w:rsidP="00377F8E">
      <w:pPr>
        <w:pStyle w:val="JuPara"/>
      </w:pPr>
      <w:fldSimple w:instr=" SEQ level0 \*arabic ">
        <w:r w:rsidR="00377F8E" w:rsidRPr="00B81079">
          <w:t>58</w:t>
        </w:r>
      </w:fldSimple>
      <w:r w:rsidR="002C0148" w:rsidRPr="00B81079">
        <w:t>.  Правителството счита тези претенции за необосновани и прекомерни.</w:t>
      </w:r>
    </w:p>
    <w:p w14:paraId="37BF065B" w14:textId="0E2E7B0B" w:rsidR="00FD340A" w:rsidRPr="00B81079" w:rsidRDefault="008E095D" w:rsidP="00377F8E">
      <w:pPr>
        <w:pStyle w:val="JuPara"/>
      </w:pPr>
      <w:fldSimple w:instr=" SEQ level0 \*arabic ">
        <w:r w:rsidR="00377F8E" w:rsidRPr="00B81079">
          <w:t>59</w:t>
        </w:r>
      </w:fldSimple>
      <w:r w:rsidR="002C0148" w:rsidRPr="00B81079">
        <w:t xml:space="preserve">.  Съдът счита за разумно да присъди на </w:t>
      </w:r>
      <w:proofErr w:type="spellStart"/>
      <w:r w:rsidR="002C0148" w:rsidRPr="00B81079">
        <w:t>жалбоподателката</w:t>
      </w:r>
      <w:proofErr w:type="spellEnd"/>
      <w:r w:rsidR="002C0148" w:rsidRPr="00B81079">
        <w:t xml:space="preserve"> сумата от 4 700 евро за </w:t>
      </w:r>
      <w:r w:rsidR="00F61E6D" w:rsidRPr="00B81079">
        <w:t>неимуществени вреди</w:t>
      </w:r>
      <w:r w:rsidR="002C0148" w:rsidRPr="00B81079">
        <w:t xml:space="preserve">, плюс всички </w:t>
      </w:r>
      <w:r w:rsidR="00F61E6D" w:rsidRPr="00B81079">
        <w:t>данъци</w:t>
      </w:r>
      <w:r w:rsidR="002C0148" w:rsidRPr="00B81079">
        <w:t xml:space="preserve">, които могат да бъдат </w:t>
      </w:r>
      <w:r w:rsidR="00F61E6D" w:rsidRPr="00B81079">
        <w:t>начислени</w:t>
      </w:r>
      <w:r w:rsidR="002C0148" w:rsidRPr="00B81079">
        <w:t>.</w:t>
      </w:r>
    </w:p>
    <w:p w14:paraId="3663916C" w14:textId="77777777" w:rsidR="00FD340A" w:rsidRPr="00B81079" w:rsidRDefault="002C0148" w:rsidP="00377F8E">
      <w:pPr>
        <w:pStyle w:val="JuHA"/>
      </w:pPr>
      <w:r w:rsidRPr="00B81079">
        <w:lastRenderedPageBreak/>
        <w:t>Разходи и разноски</w:t>
      </w:r>
    </w:p>
    <w:p w14:paraId="24CEB733" w14:textId="21BD5B11" w:rsidR="00FD340A" w:rsidRPr="00B81079" w:rsidRDefault="008E095D" w:rsidP="00377F8E">
      <w:pPr>
        <w:pStyle w:val="JuPara"/>
      </w:pPr>
      <w:fldSimple w:instr=" SEQ level0 \*arabic ">
        <w:r w:rsidR="00377F8E" w:rsidRPr="00B81079">
          <w:t>60</w:t>
        </w:r>
      </w:fldSimple>
      <w:r w:rsidR="002C0148" w:rsidRPr="00B81079">
        <w:t>.  </w:t>
      </w:r>
      <w:proofErr w:type="spellStart"/>
      <w:r w:rsidR="002C0148" w:rsidRPr="00B81079">
        <w:t>Жалбоподателката</w:t>
      </w:r>
      <w:proofErr w:type="spellEnd"/>
      <w:r w:rsidR="002C0148" w:rsidRPr="00B81079">
        <w:t xml:space="preserve"> претендира 2 831,40 евро (EUR) за </w:t>
      </w:r>
      <w:r w:rsidR="00F61E6D" w:rsidRPr="00B81079">
        <w:t xml:space="preserve">разходи и </w:t>
      </w:r>
      <w:r w:rsidR="002C0148" w:rsidRPr="00B81079">
        <w:t xml:space="preserve">разноски, които </w:t>
      </w:r>
      <w:r w:rsidR="00F61E6D" w:rsidRPr="00B81079">
        <w:t>твърди</w:t>
      </w:r>
      <w:r w:rsidR="002C0148" w:rsidRPr="00B81079">
        <w:t xml:space="preserve">, че е </w:t>
      </w:r>
      <w:r w:rsidR="00F61E6D" w:rsidRPr="00B81079">
        <w:t xml:space="preserve">понесла </w:t>
      </w:r>
      <w:r w:rsidR="002C0148" w:rsidRPr="00B81079">
        <w:t xml:space="preserve">за депозиране </w:t>
      </w:r>
      <w:r w:rsidR="00F61E6D" w:rsidRPr="00B81079">
        <w:t xml:space="preserve">пред </w:t>
      </w:r>
      <w:r w:rsidR="002C0148" w:rsidRPr="00B81079">
        <w:t xml:space="preserve">белгийските съдебни власти </w:t>
      </w:r>
      <w:r w:rsidR="00F61E6D" w:rsidRPr="00B81079">
        <w:t xml:space="preserve">на </w:t>
      </w:r>
      <w:r w:rsidR="002C0148" w:rsidRPr="00B81079">
        <w:t>наказателна жалба с конституиране на граждански ищец срещу бивш</w:t>
      </w:r>
      <w:r w:rsidR="00B36168" w:rsidRPr="00B81079">
        <w:t xml:space="preserve">ия </w:t>
      </w:r>
      <w:r w:rsidR="002C0148" w:rsidRPr="00B81079">
        <w:t xml:space="preserve">министър председател </w:t>
      </w:r>
      <w:r w:rsidR="00B36168" w:rsidRPr="00B81079">
        <w:t xml:space="preserve">на Р. България </w:t>
      </w:r>
      <w:r w:rsidR="002C0148" w:rsidRPr="00B81079">
        <w:t xml:space="preserve">Б.Б., както и 4 200 EUR за </w:t>
      </w:r>
      <w:r w:rsidR="00B36168" w:rsidRPr="00B81079">
        <w:t xml:space="preserve">жалбата </w:t>
      </w:r>
      <w:r w:rsidR="002C0148" w:rsidRPr="00B81079">
        <w:t xml:space="preserve">пред Съда, от които 336,07 EUR да се внесат директно по сметката на адвокатско дружество </w:t>
      </w:r>
      <w:r w:rsidR="001D4E77">
        <w:t>„</w:t>
      </w:r>
      <w:proofErr w:type="spellStart"/>
      <w:r w:rsidR="002C0148" w:rsidRPr="00B81079">
        <w:t>Екимджиев</w:t>
      </w:r>
      <w:proofErr w:type="spellEnd"/>
      <w:r w:rsidR="002C0148" w:rsidRPr="00B81079">
        <w:t xml:space="preserve"> и партньори</w:t>
      </w:r>
      <w:r w:rsidR="001D4E77">
        <w:t>“</w:t>
      </w:r>
      <w:r w:rsidR="002C0148" w:rsidRPr="00B81079">
        <w:t>.</w:t>
      </w:r>
    </w:p>
    <w:p w14:paraId="2956E6A3" w14:textId="78E58428" w:rsidR="00FD340A" w:rsidRPr="00B81079" w:rsidRDefault="008E095D" w:rsidP="00377F8E">
      <w:pPr>
        <w:pStyle w:val="JuPara"/>
      </w:pPr>
      <w:fldSimple w:instr=" SEQ level0 \*arabic ">
        <w:r w:rsidR="00377F8E" w:rsidRPr="00B81079">
          <w:t>61</w:t>
        </w:r>
      </w:fldSimple>
      <w:r w:rsidR="002C0148" w:rsidRPr="00B81079">
        <w:t xml:space="preserve">.  Правителството възразява на тези твърдения, </w:t>
      </w:r>
      <w:r w:rsidR="00B36168" w:rsidRPr="00B81079">
        <w:t xml:space="preserve">като ги </w:t>
      </w:r>
      <w:r w:rsidR="002C0148" w:rsidRPr="00B81079">
        <w:t xml:space="preserve">счита за </w:t>
      </w:r>
      <w:r w:rsidR="00296AB1" w:rsidRPr="00B81079">
        <w:t>необосновани</w:t>
      </w:r>
      <w:r w:rsidR="006E6B1D" w:rsidRPr="00B81079">
        <w:t xml:space="preserve"> </w:t>
      </w:r>
      <w:r w:rsidR="002C0148" w:rsidRPr="00B81079">
        <w:t>и прекомерни.</w:t>
      </w:r>
    </w:p>
    <w:p w14:paraId="05DABD28" w14:textId="19CB1518" w:rsidR="00FD340A" w:rsidRPr="00B81079" w:rsidRDefault="008E095D" w:rsidP="00377F8E">
      <w:pPr>
        <w:pStyle w:val="JuPara"/>
      </w:pPr>
      <w:fldSimple w:instr=" SEQ level0 \*arabic ">
        <w:r w:rsidR="00377F8E" w:rsidRPr="00B81079">
          <w:t>62</w:t>
        </w:r>
      </w:fldSimple>
      <w:r w:rsidR="002C0148" w:rsidRPr="00B81079">
        <w:t>.  Съгласно практиката на Съда присъждането на разходи и разноски на жалбоподател предполага последните да са действително и необходимо направени и са</w:t>
      </w:r>
      <w:r w:rsidR="006E6B1D" w:rsidRPr="00B81079">
        <w:t xml:space="preserve"> в</w:t>
      </w:r>
      <w:r w:rsidR="001D4E77">
        <w:t xml:space="preserve"> </w:t>
      </w:r>
      <w:r w:rsidR="006E6B1D" w:rsidRPr="00B81079">
        <w:t>разумен размер</w:t>
      </w:r>
      <w:r w:rsidR="002C0148" w:rsidRPr="00B81079">
        <w:t>. В настоящия случай, като има предвид документите, с които разполага</w:t>
      </w:r>
      <w:r w:rsidR="001D4E77">
        <w:t>,</w:t>
      </w:r>
      <w:r w:rsidR="002C0148" w:rsidRPr="00B81079">
        <w:t xml:space="preserve"> и горепосочените критерии, Съдът счита за уместно да отхвърли иска за разходи и разноски, които </w:t>
      </w:r>
      <w:proofErr w:type="spellStart"/>
      <w:r w:rsidR="002C0148" w:rsidRPr="00B81079">
        <w:t>жалбоподателката</w:t>
      </w:r>
      <w:proofErr w:type="spellEnd"/>
      <w:r w:rsidR="002C0148" w:rsidRPr="00B81079">
        <w:t xml:space="preserve"> твърди, че е направила пред белгийските съдилища, тъй като въпросното производство няма връзка с предмета на настоящото дело. От друга страна за производството, водено пред него, счита за разумно да присъди на </w:t>
      </w:r>
      <w:proofErr w:type="spellStart"/>
      <w:r w:rsidR="006E6B1D" w:rsidRPr="00B81079">
        <w:t>жалбоподателката</w:t>
      </w:r>
      <w:proofErr w:type="spellEnd"/>
      <w:r w:rsidR="002C0148" w:rsidRPr="00B81079">
        <w:t xml:space="preserve"> 3 000 EUR, от които 336,07 EUR</w:t>
      </w:r>
      <w:r w:rsidR="006E6B1D" w:rsidRPr="00B81079">
        <w:t xml:space="preserve"> </w:t>
      </w:r>
      <w:r w:rsidR="002C0148" w:rsidRPr="00B81079">
        <w:t xml:space="preserve">да бъдат платени директно по сметката на адвокатско дружество „Екимджиев и партньори“, в съответствие с желанието на </w:t>
      </w:r>
      <w:proofErr w:type="spellStart"/>
      <w:r w:rsidR="002C0148" w:rsidRPr="00B81079">
        <w:t>жалбоподателката</w:t>
      </w:r>
      <w:proofErr w:type="spellEnd"/>
      <w:r w:rsidR="002C0148" w:rsidRPr="00B81079">
        <w:t>.</w:t>
      </w:r>
    </w:p>
    <w:p w14:paraId="33975504" w14:textId="77777777" w:rsidR="00FD340A" w:rsidRPr="00B81079" w:rsidRDefault="002C0148" w:rsidP="00377F8E">
      <w:pPr>
        <w:pStyle w:val="JuHHead"/>
        <w:keepNext w:val="0"/>
        <w:keepLines w:val="0"/>
      </w:pPr>
      <w:r w:rsidRPr="00B81079">
        <w:t>ПО ТЕЗИ ПРИЧИНИ СЪДЪТ ЕДИНОДУШНО</w:t>
      </w:r>
    </w:p>
    <w:p w14:paraId="4FA537BE" w14:textId="3EB2A5AF" w:rsidR="00FD340A" w:rsidRPr="00B81079" w:rsidRDefault="002C0148" w:rsidP="00377F8E">
      <w:pPr>
        <w:pStyle w:val="JuList"/>
        <w:numPr>
          <w:ilvl w:val="0"/>
          <w:numId w:val="3"/>
        </w:numPr>
      </w:pPr>
      <w:r w:rsidRPr="00B81079">
        <w:rPr>
          <w:i/>
        </w:rPr>
        <w:t>Обяв</w:t>
      </w:r>
      <w:r w:rsidR="006E6B1D" w:rsidRPr="00B81079">
        <w:rPr>
          <w:i/>
        </w:rPr>
        <w:t>ява</w:t>
      </w:r>
      <w:r w:rsidRPr="00B81079">
        <w:t xml:space="preserve"> за допустими </w:t>
      </w:r>
      <w:r w:rsidR="006E6B1D" w:rsidRPr="00B81079">
        <w:t>оплакванията по</w:t>
      </w:r>
      <w:r w:rsidRPr="00B81079">
        <w:t xml:space="preserve"> член 6 § 2 и член 13 от Конвенцията;</w:t>
      </w:r>
    </w:p>
    <w:p w14:paraId="10586432" w14:textId="668B0157" w:rsidR="00FD340A" w:rsidRPr="00B81079" w:rsidRDefault="006E6B1D" w:rsidP="00377F8E">
      <w:pPr>
        <w:pStyle w:val="JuList"/>
        <w:numPr>
          <w:ilvl w:val="0"/>
          <w:numId w:val="3"/>
        </w:numPr>
      </w:pPr>
      <w:r w:rsidRPr="00B81079">
        <w:rPr>
          <w:i/>
        </w:rPr>
        <w:t>Приема</w:t>
      </w:r>
      <w:r w:rsidR="002C0148" w:rsidRPr="00B81079">
        <w:t>, че е налице нарушение на член 6 § 2 от Конвенцията;</w:t>
      </w:r>
    </w:p>
    <w:p w14:paraId="2A08826B" w14:textId="7DBF4D7B" w:rsidR="00FD340A" w:rsidRPr="00B81079" w:rsidRDefault="006E6B1D" w:rsidP="00377F8E">
      <w:pPr>
        <w:pStyle w:val="JuList"/>
        <w:numPr>
          <w:ilvl w:val="0"/>
          <w:numId w:val="3"/>
        </w:numPr>
      </w:pPr>
      <w:r w:rsidRPr="00B81079">
        <w:rPr>
          <w:i/>
        </w:rPr>
        <w:t>Приема</w:t>
      </w:r>
      <w:r w:rsidR="002C0148" w:rsidRPr="00B81079">
        <w:t>, че е налице нарушение на член 13 във връзка с 6 § 2 от Конвенцията;</w:t>
      </w:r>
    </w:p>
    <w:p w14:paraId="23801BD0" w14:textId="5DDFF95C" w:rsidR="00FD340A" w:rsidRPr="00B81079" w:rsidRDefault="007A7A83" w:rsidP="00377F8E">
      <w:pPr>
        <w:pStyle w:val="JuList"/>
        <w:numPr>
          <w:ilvl w:val="0"/>
          <w:numId w:val="3"/>
        </w:numPr>
      </w:pPr>
      <w:r w:rsidRPr="00B81079">
        <w:rPr>
          <w:i/>
        </w:rPr>
        <w:t>Приема</w:t>
      </w:r>
      <w:r w:rsidR="002C0148" w:rsidRPr="00B81079">
        <w:t xml:space="preserve">, че не е необходимо да се разглеждат допустимостта и основателността на </w:t>
      </w:r>
      <w:r w:rsidR="001D4E77">
        <w:t>оплакването</w:t>
      </w:r>
      <w:r w:rsidR="001D4E77" w:rsidRPr="00B81079">
        <w:t xml:space="preserve"> </w:t>
      </w:r>
      <w:r w:rsidR="002C0148" w:rsidRPr="00B81079">
        <w:t>по член 18 от Конвенцията във връзка с член 6 § 2 от Конвенцията;</w:t>
      </w:r>
    </w:p>
    <w:p w14:paraId="04B7C558" w14:textId="2FBBD044" w:rsidR="00FD340A" w:rsidRPr="00B81079" w:rsidRDefault="00B15A18" w:rsidP="00377F8E">
      <w:pPr>
        <w:pStyle w:val="JuList"/>
        <w:numPr>
          <w:ilvl w:val="0"/>
          <w:numId w:val="1"/>
        </w:numPr>
      </w:pPr>
      <w:r w:rsidRPr="00B81079">
        <w:rPr>
          <w:i/>
        </w:rPr>
        <w:t>Приема</w:t>
      </w:r>
    </w:p>
    <w:p w14:paraId="191A7F16" w14:textId="43BD3F1B" w:rsidR="00FD340A" w:rsidRPr="00B81079" w:rsidRDefault="002C0148" w:rsidP="00377F8E">
      <w:pPr>
        <w:pStyle w:val="JuLista"/>
        <w:numPr>
          <w:ilvl w:val="1"/>
          <w:numId w:val="1"/>
        </w:numPr>
      </w:pPr>
      <w:r w:rsidRPr="00B81079">
        <w:t>че държавата</w:t>
      </w:r>
      <w:r w:rsidR="00B15A18" w:rsidRPr="00B81079">
        <w:t>-</w:t>
      </w:r>
      <w:r w:rsidRPr="00B81079">
        <w:t xml:space="preserve">ответник следва да заплати на </w:t>
      </w:r>
      <w:proofErr w:type="spellStart"/>
      <w:r w:rsidRPr="00B81079">
        <w:t>жалбоподателката</w:t>
      </w:r>
      <w:proofErr w:type="spellEnd"/>
      <w:r w:rsidRPr="00B81079">
        <w:t xml:space="preserve"> в срок от три месеца от датата, на която </w:t>
      </w:r>
      <w:r w:rsidR="00B15A18" w:rsidRPr="00B81079">
        <w:t xml:space="preserve">това </w:t>
      </w:r>
      <w:r w:rsidRPr="00B81079">
        <w:t xml:space="preserve">решение стане окончателно </w:t>
      </w:r>
      <w:r w:rsidR="00B15A18" w:rsidRPr="00B81079">
        <w:t>съгласно</w:t>
      </w:r>
      <w:r w:rsidRPr="00B81079">
        <w:t xml:space="preserve"> чл. 44 § 2 от Конвенцията, следните суми, които да </w:t>
      </w:r>
      <w:r w:rsidR="00B15A18" w:rsidRPr="00B81079">
        <w:t xml:space="preserve">бъдат </w:t>
      </w:r>
      <w:r w:rsidRPr="00B81079">
        <w:t>конвертира</w:t>
      </w:r>
      <w:r w:rsidR="00B15A18" w:rsidRPr="00B81079">
        <w:t>ни</w:t>
      </w:r>
      <w:r w:rsidRPr="00B81079">
        <w:t xml:space="preserve"> във валутата на държавата</w:t>
      </w:r>
      <w:r w:rsidR="00B15A18" w:rsidRPr="00B81079">
        <w:t>-</w:t>
      </w:r>
      <w:r w:rsidRPr="00B81079">
        <w:t>ответник по курса, приложим към датата на изплащането:</w:t>
      </w:r>
    </w:p>
    <w:p w14:paraId="288A38B9" w14:textId="11BE5734" w:rsidR="00FD340A" w:rsidRPr="00B81079" w:rsidRDefault="002C0148" w:rsidP="00377F8E">
      <w:pPr>
        <w:pStyle w:val="JuListi"/>
        <w:numPr>
          <w:ilvl w:val="2"/>
          <w:numId w:val="1"/>
        </w:numPr>
      </w:pPr>
      <w:r w:rsidRPr="00B81079">
        <w:lastRenderedPageBreak/>
        <w:t>4 700 EUR (четири хиляди и седемстотин евро), плюс всяка</w:t>
      </w:r>
      <w:r w:rsidR="00B15A18" w:rsidRPr="00B81079">
        <w:t>кви данъци</w:t>
      </w:r>
      <w:r w:rsidRPr="00B81079">
        <w:t xml:space="preserve">, </w:t>
      </w:r>
      <w:r w:rsidR="00B15A18" w:rsidRPr="00B81079">
        <w:t xml:space="preserve">които биха могли да се начислят, по отношение на </w:t>
      </w:r>
      <w:r w:rsidRPr="00B81079">
        <w:t>неимуществени вреди;</w:t>
      </w:r>
    </w:p>
    <w:p w14:paraId="59AEE0DB" w14:textId="77AB9DE1" w:rsidR="00FD340A" w:rsidRPr="00B81079" w:rsidRDefault="002C0148" w:rsidP="00377F8E">
      <w:pPr>
        <w:pStyle w:val="JuListi"/>
        <w:numPr>
          <w:ilvl w:val="2"/>
          <w:numId w:val="1"/>
        </w:numPr>
      </w:pPr>
      <w:r w:rsidRPr="00B81079">
        <w:t>3 000 EUR (три хиляди евро) плюс всяка</w:t>
      </w:r>
      <w:r w:rsidR="005632F0" w:rsidRPr="00B81079">
        <w:t>кви данъци</w:t>
      </w:r>
      <w:r w:rsidRPr="00B81079">
        <w:t xml:space="preserve">, </w:t>
      </w:r>
      <w:r w:rsidR="005632F0" w:rsidRPr="00B81079">
        <w:t xml:space="preserve">които </w:t>
      </w:r>
      <w:r w:rsidRPr="00B81079">
        <w:t xml:space="preserve">може да </w:t>
      </w:r>
      <w:r w:rsidR="005632F0" w:rsidRPr="00B81079">
        <w:t>начислят на</w:t>
      </w:r>
      <w:r w:rsidRPr="00B81079">
        <w:t xml:space="preserve"> </w:t>
      </w:r>
      <w:proofErr w:type="spellStart"/>
      <w:r w:rsidRPr="00B81079">
        <w:t>жалбоподателката</w:t>
      </w:r>
      <w:proofErr w:type="spellEnd"/>
      <w:r w:rsidR="001D4E77">
        <w:t>,</w:t>
      </w:r>
      <w:r w:rsidRPr="00B81079">
        <w:t xml:space="preserve"> </w:t>
      </w:r>
      <w:r w:rsidR="005632F0" w:rsidRPr="00B81079">
        <w:t>по отношение на</w:t>
      </w:r>
      <w:r w:rsidRPr="00B81079">
        <w:t xml:space="preserve"> разходи и разноски, от които 336,07 EUR (триста тридесет и шест евро и седем евро цента) да се </w:t>
      </w:r>
      <w:r w:rsidR="00AD1236" w:rsidRPr="00B81079">
        <w:t>изплатят</w:t>
      </w:r>
      <w:r w:rsidR="005632F0" w:rsidRPr="00B81079">
        <w:t xml:space="preserve"> </w:t>
      </w:r>
      <w:r w:rsidRPr="00B81079">
        <w:t xml:space="preserve">директно по сметката на адвокатско дружество </w:t>
      </w:r>
      <w:r w:rsidR="001D4E77">
        <w:t>„</w:t>
      </w:r>
      <w:proofErr w:type="spellStart"/>
      <w:r w:rsidRPr="00B81079">
        <w:t>Екимджиев</w:t>
      </w:r>
      <w:proofErr w:type="spellEnd"/>
      <w:r w:rsidRPr="00B81079">
        <w:t xml:space="preserve"> и партньори</w:t>
      </w:r>
      <w:r w:rsidR="001D4E77">
        <w:t>“</w:t>
      </w:r>
      <w:r w:rsidRPr="00B81079">
        <w:t>;</w:t>
      </w:r>
    </w:p>
    <w:p w14:paraId="24F50E9F" w14:textId="55D58659" w:rsidR="00FD340A" w:rsidRPr="00B81079" w:rsidRDefault="002C0148" w:rsidP="00377F8E">
      <w:pPr>
        <w:pStyle w:val="JuLista"/>
        <w:numPr>
          <w:ilvl w:val="1"/>
          <w:numId w:val="1"/>
        </w:numPr>
      </w:pPr>
      <w:r w:rsidRPr="00B81079">
        <w:t>че от изтичането на гореспоменатия срок до плащането се дължи проста лихва върху горепосочен</w:t>
      </w:r>
      <w:r w:rsidR="005632F0" w:rsidRPr="00B81079">
        <w:t>ите суми</w:t>
      </w:r>
      <w:r w:rsidRPr="00B81079">
        <w:t xml:space="preserve"> в размер, равен на пределната ставка по заеми на Европейската централна банка за периода на забава, към която се добавят три процентни пункта;</w:t>
      </w:r>
    </w:p>
    <w:p w14:paraId="683EB42A" w14:textId="5AA6E002" w:rsidR="00876F03" w:rsidRPr="00B81079" w:rsidRDefault="002C0148" w:rsidP="00377F8E">
      <w:pPr>
        <w:pStyle w:val="JuList"/>
      </w:pPr>
      <w:r w:rsidRPr="00B81079">
        <w:rPr>
          <w:i/>
        </w:rPr>
        <w:t>Отхвърля</w:t>
      </w:r>
      <w:r w:rsidRPr="00B81079">
        <w:t xml:space="preserve"> </w:t>
      </w:r>
      <w:r w:rsidR="005632F0" w:rsidRPr="00B81079">
        <w:t xml:space="preserve">останалата част от иска на </w:t>
      </w:r>
      <w:proofErr w:type="spellStart"/>
      <w:r w:rsidR="005632F0" w:rsidRPr="00B81079">
        <w:t>жалбоподателката</w:t>
      </w:r>
      <w:proofErr w:type="spellEnd"/>
      <w:r w:rsidR="005632F0" w:rsidRPr="00B81079">
        <w:t xml:space="preserve"> з</w:t>
      </w:r>
      <w:r w:rsidRPr="00B81079">
        <w:t>а справедливо обезщетение.</w:t>
      </w:r>
    </w:p>
    <w:p w14:paraId="48929742" w14:textId="62E7BADD" w:rsidR="00893F30" w:rsidRPr="00B81079" w:rsidRDefault="002C0148" w:rsidP="00377F8E">
      <w:pPr>
        <w:pStyle w:val="JuParaLast"/>
      </w:pPr>
      <w:r w:rsidRPr="00B81079">
        <w:t xml:space="preserve">Изготвено на френски език и оповестено писмено на 07 януари 2025 г. </w:t>
      </w:r>
      <w:r w:rsidR="00D67F69" w:rsidRPr="00B81079">
        <w:t xml:space="preserve">в съответствие с  правило </w:t>
      </w:r>
      <w:r w:rsidRPr="00B81079">
        <w:t>77 §§ 2 и 3 от Правилника на Съда.</w:t>
      </w:r>
    </w:p>
    <w:p w14:paraId="3AC19D50" w14:textId="261F429C" w:rsidR="00876F03" w:rsidRPr="00537C79" w:rsidRDefault="002C0148" w:rsidP="00CE5FB4">
      <w:pPr>
        <w:pStyle w:val="JuSigned"/>
      </w:pPr>
      <w:r w:rsidRPr="00B81079">
        <w:tab/>
        <w:t xml:space="preserve">Милан </w:t>
      </w:r>
      <w:proofErr w:type="spellStart"/>
      <w:r w:rsidRPr="00B81079">
        <w:t>Бла</w:t>
      </w:r>
      <w:r w:rsidR="00D67F69" w:rsidRPr="00B81079">
        <w:t>ш</w:t>
      </w:r>
      <w:r w:rsidRPr="00B81079">
        <w:t>ко</w:t>
      </w:r>
      <w:proofErr w:type="spellEnd"/>
      <w:r w:rsidRPr="00B81079">
        <w:tab/>
      </w:r>
      <w:proofErr w:type="spellStart"/>
      <w:r w:rsidRPr="00B81079">
        <w:t>Йоанис</w:t>
      </w:r>
      <w:proofErr w:type="spellEnd"/>
      <w:r w:rsidRPr="00B81079">
        <w:t xml:space="preserve"> </w:t>
      </w:r>
      <w:proofErr w:type="spellStart"/>
      <w:r w:rsidR="00CE5FB4" w:rsidRPr="00B81079">
        <w:t>Ктистакис</w:t>
      </w:r>
      <w:proofErr w:type="spellEnd"/>
      <w:r w:rsidR="00CE5FB4" w:rsidRPr="00B81079">
        <w:t xml:space="preserve"> </w:t>
      </w:r>
      <w:r w:rsidRPr="00B81079">
        <w:br/>
      </w:r>
      <w:r w:rsidRPr="00B81079">
        <w:tab/>
      </w:r>
      <w:r w:rsidR="00D67F69" w:rsidRPr="00B81079">
        <w:t>с</w:t>
      </w:r>
      <w:r w:rsidRPr="00B81079">
        <w:t>екретар</w:t>
      </w:r>
      <w:r w:rsidRPr="00B81079">
        <w:tab/>
      </w:r>
      <w:r w:rsidR="00D67F69" w:rsidRPr="00B81079">
        <w:t>п</w:t>
      </w:r>
      <w:r w:rsidRPr="00B81079">
        <w:t>редседател</w:t>
      </w:r>
    </w:p>
    <w:sectPr w:rsidR="00876F03" w:rsidRPr="00537C79">
      <w:headerReference w:type="even" r:id="rId13"/>
      <w:headerReference w:type="default" r:id="rId14"/>
      <w:footerReference w:type="default" r:id="rId15"/>
      <w:footnotePr>
        <w:numRestart w:val="eachSect"/>
      </w:footnotePr>
      <w:pgSz w:w="11906" w:h="16838" w:code="9"/>
      <w:pgMar w:top="2274" w:right="2274" w:bottom="2274" w:left="2274" w:header="1701"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35687" w14:textId="77777777" w:rsidR="008E095D" w:rsidRDefault="008E095D">
      <w:r>
        <w:separator/>
      </w:r>
    </w:p>
  </w:endnote>
  <w:endnote w:type="continuationSeparator" w:id="0">
    <w:p w14:paraId="742CFD99" w14:textId="77777777" w:rsidR="008E095D" w:rsidRDefault="008E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A2682" w14:textId="2EFAACE9" w:rsidR="00303985" w:rsidRPr="00FD340A" w:rsidRDefault="00303985" w:rsidP="00954AD6">
    <w:pPr>
      <w:pStyle w:val="JuHeader"/>
    </w:pPr>
    <w:r>
      <w:fldChar w:fldCharType="begin"/>
    </w:r>
    <w:r>
      <w:instrText xml:space="preserve"> PAGE  \* MERGEFORMAT </w:instrText>
    </w:r>
    <w:r>
      <w:fldChar w:fldCharType="separate"/>
    </w:r>
    <w:r w:rsidR="008D5658">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E4079" w14:textId="77777777" w:rsidR="00303985" w:rsidRPr="00150BFA" w:rsidRDefault="00303985" w:rsidP="0020718E">
    <w:pPr>
      <w:jc w:val="center"/>
    </w:pPr>
    <w:r>
      <w:rPr>
        <w:noProof/>
        <w:lang w:eastAsia="bg-BG"/>
      </w:rPr>
      <w:drawing>
        <wp:inline distT="0" distB="0" distL="0" distR="0" wp14:anchorId="38095306" wp14:editId="58C2ED9D">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6DEC2803" w14:textId="77777777" w:rsidR="00303985" w:rsidRPr="00FD340A" w:rsidRDefault="00303985" w:rsidP="00F27D1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A81C8" w14:textId="77777777" w:rsidR="00303985" w:rsidRPr="00150BFA" w:rsidRDefault="00303985" w:rsidP="0020718E">
    <w:pPr>
      <w:jc w:val="center"/>
    </w:pPr>
    <w:r>
      <w:rPr>
        <w:noProof/>
        <w:lang w:eastAsia="bg-BG"/>
      </w:rPr>
      <w:drawing>
        <wp:inline distT="0" distB="0" distL="0" distR="0" wp14:anchorId="05E781D1" wp14:editId="1D6BE447">
          <wp:extent cx="771525" cy="619125"/>
          <wp:effectExtent l="0" t="0" r="9525" b="9525"/>
          <wp:docPr id="76" name="Picture 7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14:paraId="75E1D8DA" w14:textId="77777777" w:rsidR="00303985" w:rsidRPr="00FD340A" w:rsidRDefault="00303985" w:rsidP="00902601">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1B77" w14:textId="79CDEB7E" w:rsidR="00303985" w:rsidRPr="00D01935" w:rsidRDefault="00303985" w:rsidP="00662882">
    <w:pPr>
      <w:pStyle w:val="JuHeader"/>
    </w:pPr>
    <w:r>
      <w:fldChar w:fldCharType="begin"/>
    </w:r>
    <w:r>
      <w:instrText xml:space="preserve"> PAGE  \* MERGEFORMAT </w:instrText>
    </w:r>
    <w:r>
      <w:fldChar w:fldCharType="separate"/>
    </w:r>
    <w:r w:rsidR="008D5658">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6EFDF" w14:textId="77777777" w:rsidR="008E095D" w:rsidRDefault="008E095D">
      <w:r>
        <w:separator/>
      </w:r>
    </w:p>
  </w:footnote>
  <w:footnote w:type="continuationSeparator" w:id="0">
    <w:p w14:paraId="7D860CCC" w14:textId="77777777" w:rsidR="008E095D" w:rsidRDefault="008E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E837" w14:textId="77777777" w:rsidR="00303985" w:rsidRPr="00A45145" w:rsidRDefault="00303985" w:rsidP="00A45145">
    <w:pPr>
      <w:jc w:val="center"/>
    </w:pPr>
    <w:r>
      <w:rPr>
        <w:noProof/>
        <w:lang w:eastAsia="bg-BG"/>
      </w:rPr>
      <w:drawing>
        <wp:inline distT="0" distB="0" distL="0" distR="0" wp14:anchorId="61F7F731" wp14:editId="00D2F4E3">
          <wp:extent cx="2962275" cy="1219200"/>
          <wp:effectExtent l="0" t="0" r="9525" b="0"/>
          <wp:docPr id="78" name="Picture 7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67E06836" w14:textId="77777777" w:rsidR="00303985" w:rsidRPr="00FD340A" w:rsidRDefault="00303985" w:rsidP="009840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E90F" w14:textId="77777777" w:rsidR="00303985" w:rsidRPr="00A45145" w:rsidRDefault="00303985" w:rsidP="00A45145">
    <w:pPr>
      <w:jc w:val="center"/>
    </w:pPr>
    <w:r>
      <w:rPr>
        <w:noProof/>
        <w:lang w:eastAsia="bg-BG"/>
      </w:rPr>
      <w:drawing>
        <wp:inline distT="0" distB="0" distL="0" distR="0" wp14:anchorId="49227C92" wp14:editId="4B11D364">
          <wp:extent cx="2962275" cy="1219200"/>
          <wp:effectExtent l="0" t="0" r="9525" b="0"/>
          <wp:docPr id="71" name="Picture 7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14:paraId="7CF8D0CB" w14:textId="77777777" w:rsidR="00303985" w:rsidRPr="00FD340A" w:rsidRDefault="00303985" w:rsidP="00902601">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4E2E" w14:textId="77777777" w:rsidR="00303985" w:rsidRPr="00592C8D" w:rsidRDefault="00303985" w:rsidP="00A21624">
    <w:pPr>
      <w:pStyle w:val="JuHeader"/>
    </w:pPr>
    <w:r>
      <w:t xml:space="preserve">РЕШЕНИЕ ЙОНЧЕВА СРЕЩУ БЪЛГАРИЯ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AC07" w14:textId="77777777" w:rsidR="00303985" w:rsidRPr="00662882" w:rsidRDefault="00303985" w:rsidP="00662882">
    <w:pPr>
      <w:pStyle w:val="JuHeader"/>
    </w:pPr>
    <w:r>
      <w:t xml:space="preserve">РЕШЕНИЕ ЙОНЧЕВА СРЕЩУ БЪЛГАРИЯ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EE20E2DE"/>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FFFFFF" w:themeColor="background1"/>
      </w:rPr>
    </w:lvl>
    <w:lvl w:ilvl="1">
      <w:start w:val="1"/>
      <w:numFmt w:val="bullet"/>
      <w:pStyle w:val="ECHRBullet2"/>
      <w:lvlText w:val=""/>
      <w:lvlJc w:val="left"/>
      <w:pPr>
        <w:tabs>
          <w:tab w:val="num" w:pos="1134"/>
        </w:tabs>
        <w:ind w:left="1135" w:hanging="284"/>
      </w:pPr>
      <w:rPr>
        <w:rFonts w:ascii="Wingdings" w:hAnsi="Wingdings" w:hint="default"/>
        <w:color w:val="FFFFFF"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FFFFFF"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67FD1241"/>
    <w:multiLevelType w:val="hybridMultilevel"/>
    <w:tmpl w:val="F6D86CC2"/>
    <w:lvl w:ilvl="0" w:tplc="1F404882">
      <w:start w:val="1"/>
      <w:numFmt w:val="bullet"/>
      <w:pStyle w:val="ListBullet"/>
      <w:lvlText w:val=""/>
      <w:lvlJc w:val="left"/>
      <w:pPr>
        <w:tabs>
          <w:tab w:val="num" w:pos="851"/>
        </w:tabs>
        <w:ind w:left="568" w:firstLine="0"/>
      </w:pPr>
      <w:rPr>
        <w:rFonts w:ascii="Wingdings" w:hAnsi="Wingdings" w:hint="default"/>
        <w:color w:val="808080"/>
        <w:sz w:val="16"/>
      </w:rPr>
    </w:lvl>
    <w:lvl w:ilvl="1" w:tplc="2B8041BE" w:tentative="1">
      <w:start w:val="1"/>
      <w:numFmt w:val="bullet"/>
      <w:lvlText w:val="o"/>
      <w:lvlJc w:val="left"/>
      <w:pPr>
        <w:tabs>
          <w:tab w:val="num" w:pos="1724"/>
        </w:tabs>
        <w:ind w:left="1724" w:hanging="360"/>
      </w:pPr>
      <w:rPr>
        <w:rFonts w:ascii="Courier New" w:hAnsi="Courier New" w:cs="Courier New" w:hint="default"/>
      </w:rPr>
    </w:lvl>
    <w:lvl w:ilvl="2" w:tplc="64C42236" w:tentative="1">
      <w:start w:val="1"/>
      <w:numFmt w:val="bullet"/>
      <w:lvlText w:val=""/>
      <w:lvlJc w:val="left"/>
      <w:pPr>
        <w:tabs>
          <w:tab w:val="num" w:pos="2444"/>
        </w:tabs>
        <w:ind w:left="2444" w:hanging="360"/>
      </w:pPr>
      <w:rPr>
        <w:rFonts w:ascii="Wingdings" w:hAnsi="Wingdings" w:hint="default"/>
      </w:rPr>
    </w:lvl>
    <w:lvl w:ilvl="3" w:tplc="C7D03238" w:tentative="1">
      <w:start w:val="1"/>
      <w:numFmt w:val="bullet"/>
      <w:lvlText w:val=""/>
      <w:lvlJc w:val="left"/>
      <w:pPr>
        <w:tabs>
          <w:tab w:val="num" w:pos="3164"/>
        </w:tabs>
        <w:ind w:left="3164" w:hanging="360"/>
      </w:pPr>
      <w:rPr>
        <w:rFonts w:ascii="Symbol" w:hAnsi="Symbol" w:hint="default"/>
      </w:rPr>
    </w:lvl>
    <w:lvl w:ilvl="4" w:tplc="053E9F82" w:tentative="1">
      <w:start w:val="1"/>
      <w:numFmt w:val="bullet"/>
      <w:lvlText w:val="o"/>
      <w:lvlJc w:val="left"/>
      <w:pPr>
        <w:tabs>
          <w:tab w:val="num" w:pos="3884"/>
        </w:tabs>
        <w:ind w:left="3884" w:hanging="360"/>
      </w:pPr>
      <w:rPr>
        <w:rFonts w:ascii="Courier New" w:hAnsi="Courier New" w:cs="Courier New" w:hint="default"/>
      </w:rPr>
    </w:lvl>
    <w:lvl w:ilvl="5" w:tplc="B40CC4FA" w:tentative="1">
      <w:start w:val="1"/>
      <w:numFmt w:val="bullet"/>
      <w:lvlText w:val=""/>
      <w:lvlJc w:val="left"/>
      <w:pPr>
        <w:tabs>
          <w:tab w:val="num" w:pos="4604"/>
        </w:tabs>
        <w:ind w:left="4604" w:hanging="360"/>
      </w:pPr>
      <w:rPr>
        <w:rFonts w:ascii="Wingdings" w:hAnsi="Wingdings" w:hint="default"/>
      </w:rPr>
    </w:lvl>
    <w:lvl w:ilvl="6" w:tplc="52BEB942" w:tentative="1">
      <w:start w:val="1"/>
      <w:numFmt w:val="bullet"/>
      <w:lvlText w:val=""/>
      <w:lvlJc w:val="left"/>
      <w:pPr>
        <w:tabs>
          <w:tab w:val="num" w:pos="5324"/>
        </w:tabs>
        <w:ind w:left="5324" w:hanging="360"/>
      </w:pPr>
      <w:rPr>
        <w:rFonts w:ascii="Symbol" w:hAnsi="Symbol" w:hint="default"/>
      </w:rPr>
    </w:lvl>
    <w:lvl w:ilvl="7" w:tplc="A6DCF446" w:tentative="1">
      <w:start w:val="1"/>
      <w:numFmt w:val="bullet"/>
      <w:lvlText w:val="o"/>
      <w:lvlJc w:val="left"/>
      <w:pPr>
        <w:tabs>
          <w:tab w:val="num" w:pos="6044"/>
        </w:tabs>
        <w:ind w:left="6044" w:hanging="360"/>
      </w:pPr>
      <w:rPr>
        <w:rFonts w:ascii="Courier New" w:hAnsi="Courier New" w:cs="Courier New" w:hint="default"/>
      </w:rPr>
    </w:lvl>
    <w:lvl w:ilvl="8" w:tplc="C0F62790" w:tentative="1">
      <w:start w:val="1"/>
      <w:numFmt w:val="bullet"/>
      <w:lvlText w:val=""/>
      <w:lvlJc w:val="left"/>
      <w:pPr>
        <w:tabs>
          <w:tab w:val="num" w:pos="6764"/>
        </w:tabs>
        <w:ind w:left="6764" w:hanging="360"/>
      </w:pPr>
      <w:rPr>
        <w:rFonts w:ascii="Wingdings" w:hAnsi="Wingdings" w:hint="default"/>
      </w:r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0"/>
  </w:num>
  <w:num w:numId="7">
    <w:abstractNumId w:val="1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4"/>
  </w:num>
  <w:num w:numId="19">
    <w:abstractNumId w:val="12"/>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0"/>
  </w:docVars>
  <w:rsids>
    <w:rsidRoot w:val="00FD340A"/>
    <w:rsid w:val="000041F8"/>
    <w:rsid w:val="000042A8"/>
    <w:rsid w:val="00004308"/>
    <w:rsid w:val="00005BF0"/>
    <w:rsid w:val="00007154"/>
    <w:rsid w:val="000103AE"/>
    <w:rsid w:val="00011D69"/>
    <w:rsid w:val="00012AD3"/>
    <w:rsid w:val="00015C2D"/>
    <w:rsid w:val="00015F00"/>
    <w:rsid w:val="00022C1D"/>
    <w:rsid w:val="000256CC"/>
    <w:rsid w:val="00026E00"/>
    <w:rsid w:val="00034987"/>
    <w:rsid w:val="00043B94"/>
    <w:rsid w:val="00051015"/>
    <w:rsid w:val="000602DF"/>
    <w:rsid w:val="00061B05"/>
    <w:rsid w:val="000632D5"/>
    <w:rsid w:val="00063AB2"/>
    <w:rsid w:val="000644EE"/>
    <w:rsid w:val="000675A9"/>
    <w:rsid w:val="00080ECE"/>
    <w:rsid w:val="0008621D"/>
    <w:rsid w:val="00086E4E"/>
    <w:rsid w:val="00086E70"/>
    <w:rsid w:val="0009057B"/>
    <w:rsid w:val="000925AD"/>
    <w:rsid w:val="000A20EB"/>
    <w:rsid w:val="000A24EB"/>
    <w:rsid w:val="000B4C38"/>
    <w:rsid w:val="000B5D17"/>
    <w:rsid w:val="000B6923"/>
    <w:rsid w:val="000C5F3C"/>
    <w:rsid w:val="000C6DCC"/>
    <w:rsid w:val="000D04C2"/>
    <w:rsid w:val="000D47AA"/>
    <w:rsid w:val="000D721F"/>
    <w:rsid w:val="000E069B"/>
    <w:rsid w:val="000E0E82"/>
    <w:rsid w:val="000E1DC5"/>
    <w:rsid w:val="000E223F"/>
    <w:rsid w:val="000E4AC8"/>
    <w:rsid w:val="000E7D45"/>
    <w:rsid w:val="000F1305"/>
    <w:rsid w:val="000F19D8"/>
    <w:rsid w:val="000F7851"/>
    <w:rsid w:val="00104E23"/>
    <w:rsid w:val="00111B0C"/>
    <w:rsid w:val="00115936"/>
    <w:rsid w:val="00117CD2"/>
    <w:rsid w:val="00120D6C"/>
    <w:rsid w:val="001257EC"/>
    <w:rsid w:val="00133D33"/>
    <w:rsid w:val="001349D4"/>
    <w:rsid w:val="00134D64"/>
    <w:rsid w:val="00135A30"/>
    <w:rsid w:val="0013612C"/>
    <w:rsid w:val="00137FF6"/>
    <w:rsid w:val="00141650"/>
    <w:rsid w:val="00150BFA"/>
    <w:rsid w:val="001625AD"/>
    <w:rsid w:val="00162967"/>
    <w:rsid w:val="00162A12"/>
    <w:rsid w:val="00166530"/>
    <w:rsid w:val="0017589C"/>
    <w:rsid w:val="00181508"/>
    <w:rsid w:val="001832BD"/>
    <w:rsid w:val="0018752D"/>
    <w:rsid w:val="00193088"/>
    <w:rsid w:val="001943B5"/>
    <w:rsid w:val="00194C5B"/>
    <w:rsid w:val="00195134"/>
    <w:rsid w:val="001A0D53"/>
    <w:rsid w:val="001A145B"/>
    <w:rsid w:val="001A2684"/>
    <w:rsid w:val="001A674C"/>
    <w:rsid w:val="001B3B24"/>
    <w:rsid w:val="001C0F98"/>
    <w:rsid w:val="001C17C9"/>
    <w:rsid w:val="001C2A42"/>
    <w:rsid w:val="001C2B5C"/>
    <w:rsid w:val="001C6A7B"/>
    <w:rsid w:val="001D4E77"/>
    <w:rsid w:val="001D63ED"/>
    <w:rsid w:val="001D7348"/>
    <w:rsid w:val="001E035B"/>
    <w:rsid w:val="001E0961"/>
    <w:rsid w:val="001E3EAE"/>
    <w:rsid w:val="001E6F32"/>
    <w:rsid w:val="001F2145"/>
    <w:rsid w:val="001F39F4"/>
    <w:rsid w:val="001F5423"/>
    <w:rsid w:val="001F6262"/>
    <w:rsid w:val="001F67B0"/>
    <w:rsid w:val="001F7B3D"/>
    <w:rsid w:val="00204F24"/>
    <w:rsid w:val="00205F9F"/>
    <w:rsid w:val="0020718E"/>
    <w:rsid w:val="00210338"/>
    <w:rsid w:val="002115FC"/>
    <w:rsid w:val="00212184"/>
    <w:rsid w:val="0021423C"/>
    <w:rsid w:val="00230D00"/>
    <w:rsid w:val="00231364"/>
    <w:rsid w:val="00231DF7"/>
    <w:rsid w:val="00231FD1"/>
    <w:rsid w:val="002339E0"/>
    <w:rsid w:val="00233CF8"/>
    <w:rsid w:val="0023575D"/>
    <w:rsid w:val="00237148"/>
    <w:rsid w:val="0024222D"/>
    <w:rsid w:val="00244B0E"/>
    <w:rsid w:val="00244F6C"/>
    <w:rsid w:val="002532C5"/>
    <w:rsid w:val="002546AE"/>
    <w:rsid w:val="00256F45"/>
    <w:rsid w:val="00260C03"/>
    <w:rsid w:val="0026540E"/>
    <w:rsid w:val="00275123"/>
    <w:rsid w:val="002805B6"/>
    <w:rsid w:val="00282240"/>
    <w:rsid w:val="00282FA7"/>
    <w:rsid w:val="00293DC9"/>
    <w:rsid w:val="002948AD"/>
    <w:rsid w:val="002951DC"/>
    <w:rsid w:val="00296AB1"/>
    <w:rsid w:val="0029739C"/>
    <w:rsid w:val="002A01CC"/>
    <w:rsid w:val="002A3E65"/>
    <w:rsid w:val="002A61B1"/>
    <w:rsid w:val="002A663C"/>
    <w:rsid w:val="002B444B"/>
    <w:rsid w:val="002B5887"/>
    <w:rsid w:val="002B7E83"/>
    <w:rsid w:val="002C0148"/>
    <w:rsid w:val="002C04FF"/>
    <w:rsid w:val="002C0E27"/>
    <w:rsid w:val="002C3040"/>
    <w:rsid w:val="002D022D"/>
    <w:rsid w:val="002D24BB"/>
    <w:rsid w:val="002E18C1"/>
    <w:rsid w:val="002F1CCB"/>
    <w:rsid w:val="002F29AA"/>
    <w:rsid w:val="002F2AF7"/>
    <w:rsid w:val="002F7E1C"/>
    <w:rsid w:val="00301A75"/>
    <w:rsid w:val="00302F70"/>
    <w:rsid w:val="0030336F"/>
    <w:rsid w:val="0030375E"/>
    <w:rsid w:val="00303985"/>
    <w:rsid w:val="0030660C"/>
    <w:rsid w:val="00312A30"/>
    <w:rsid w:val="00316323"/>
    <w:rsid w:val="00320F72"/>
    <w:rsid w:val="0032463E"/>
    <w:rsid w:val="00326224"/>
    <w:rsid w:val="00333633"/>
    <w:rsid w:val="00337EE4"/>
    <w:rsid w:val="00340FFD"/>
    <w:rsid w:val="003471AF"/>
    <w:rsid w:val="003475B2"/>
    <w:rsid w:val="003506B1"/>
    <w:rsid w:val="00351A6D"/>
    <w:rsid w:val="00356AC7"/>
    <w:rsid w:val="003609FA"/>
    <w:rsid w:val="00361D45"/>
    <w:rsid w:val="00367B4F"/>
    <w:rsid w:val="003710C8"/>
    <w:rsid w:val="003722CE"/>
    <w:rsid w:val="003750BE"/>
    <w:rsid w:val="00377F8E"/>
    <w:rsid w:val="00387B9D"/>
    <w:rsid w:val="00387DFB"/>
    <w:rsid w:val="0039364F"/>
    <w:rsid w:val="0039432A"/>
    <w:rsid w:val="00396686"/>
    <w:rsid w:val="0039778E"/>
    <w:rsid w:val="003A37B8"/>
    <w:rsid w:val="003A6F6E"/>
    <w:rsid w:val="003B4941"/>
    <w:rsid w:val="003B6A2E"/>
    <w:rsid w:val="003C5714"/>
    <w:rsid w:val="003C6B9F"/>
    <w:rsid w:val="003C6E2A"/>
    <w:rsid w:val="003D0299"/>
    <w:rsid w:val="003D32BE"/>
    <w:rsid w:val="003E3FE3"/>
    <w:rsid w:val="003E6D80"/>
    <w:rsid w:val="003E7A9C"/>
    <w:rsid w:val="003F05FA"/>
    <w:rsid w:val="003F244A"/>
    <w:rsid w:val="003F30B8"/>
    <w:rsid w:val="003F4C45"/>
    <w:rsid w:val="003F5F7B"/>
    <w:rsid w:val="003F7D64"/>
    <w:rsid w:val="00401F7D"/>
    <w:rsid w:val="00402ADA"/>
    <w:rsid w:val="0041177B"/>
    <w:rsid w:val="00414300"/>
    <w:rsid w:val="00417F25"/>
    <w:rsid w:val="00425C67"/>
    <w:rsid w:val="00427E7A"/>
    <w:rsid w:val="00431C07"/>
    <w:rsid w:val="004330BE"/>
    <w:rsid w:val="004344E6"/>
    <w:rsid w:val="00436C49"/>
    <w:rsid w:val="0044318F"/>
    <w:rsid w:val="00445366"/>
    <w:rsid w:val="00447F5B"/>
    <w:rsid w:val="00456549"/>
    <w:rsid w:val="004604A0"/>
    <w:rsid w:val="00461DB0"/>
    <w:rsid w:val="00463926"/>
    <w:rsid w:val="00464C9A"/>
    <w:rsid w:val="00465A5C"/>
    <w:rsid w:val="004718F1"/>
    <w:rsid w:val="00474F3D"/>
    <w:rsid w:val="00477E3A"/>
    <w:rsid w:val="004839C4"/>
    <w:rsid w:val="00483E5F"/>
    <w:rsid w:val="00484688"/>
    <w:rsid w:val="00484EA4"/>
    <w:rsid w:val="00485FF9"/>
    <w:rsid w:val="004907F0"/>
    <w:rsid w:val="0049140B"/>
    <w:rsid w:val="004923A5"/>
    <w:rsid w:val="00496197"/>
    <w:rsid w:val="00496BFB"/>
    <w:rsid w:val="004A15C7"/>
    <w:rsid w:val="004B013B"/>
    <w:rsid w:val="004B112B"/>
    <w:rsid w:val="004B3AD1"/>
    <w:rsid w:val="004B7308"/>
    <w:rsid w:val="004C01E4"/>
    <w:rsid w:val="004C086C"/>
    <w:rsid w:val="004C14C4"/>
    <w:rsid w:val="004C1A3F"/>
    <w:rsid w:val="004C1F56"/>
    <w:rsid w:val="004C27BC"/>
    <w:rsid w:val="004C5352"/>
    <w:rsid w:val="004D15F3"/>
    <w:rsid w:val="004D51C3"/>
    <w:rsid w:val="004D5311"/>
    <w:rsid w:val="004D5DCC"/>
    <w:rsid w:val="004E22F1"/>
    <w:rsid w:val="004F10AF"/>
    <w:rsid w:val="004F11A4"/>
    <w:rsid w:val="004F2389"/>
    <w:rsid w:val="004F304D"/>
    <w:rsid w:val="004F61BE"/>
    <w:rsid w:val="004F66B1"/>
    <w:rsid w:val="00503BCA"/>
    <w:rsid w:val="00507D17"/>
    <w:rsid w:val="00510D77"/>
    <w:rsid w:val="00511C07"/>
    <w:rsid w:val="00513B60"/>
    <w:rsid w:val="00516967"/>
    <w:rsid w:val="00516B59"/>
    <w:rsid w:val="005173A6"/>
    <w:rsid w:val="00520BAA"/>
    <w:rsid w:val="00520BC2"/>
    <w:rsid w:val="00522ABA"/>
    <w:rsid w:val="00525208"/>
    <w:rsid w:val="005257A5"/>
    <w:rsid w:val="005264C0"/>
    <w:rsid w:val="00526A8A"/>
    <w:rsid w:val="00531DF2"/>
    <w:rsid w:val="00537C79"/>
    <w:rsid w:val="005442EE"/>
    <w:rsid w:val="00547353"/>
    <w:rsid w:val="005474E7"/>
    <w:rsid w:val="005512A3"/>
    <w:rsid w:val="005578CE"/>
    <w:rsid w:val="00562781"/>
    <w:rsid w:val="005631B4"/>
    <w:rsid w:val="005632F0"/>
    <w:rsid w:val="00566E2B"/>
    <w:rsid w:val="0057271C"/>
    <w:rsid w:val="00572845"/>
    <w:rsid w:val="00576986"/>
    <w:rsid w:val="00592772"/>
    <w:rsid w:val="00592C8D"/>
    <w:rsid w:val="00594B9A"/>
    <w:rsid w:val="0059574A"/>
    <w:rsid w:val="005A1B9B"/>
    <w:rsid w:val="005A1CBA"/>
    <w:rsid w:val="005A6751"/>
    <w:rsid w:val="005B092E"/>
    <w:rsid w:val="005B152C"/>
    <w:rsid w:val="005B1EE0"/>
    <w:rsid w:val="005B2B24"/>
    <w:rsid w:val="005B4425"/>
    <w:rsid w:val="005B4B94"/>
    <w:rsid w:val="005C353F"/>
    <w:rsid w:val="005C3EE8"/>
    <w:rsid w:val="005C5494"/>
    <w:rsid w:val="005C6788"/>
    <w:rsid w:val="005D34F9"/>
    <w:rsid w:val="005D4190"/>
    <w:rsid w:val="005D67A3"/>
    <w:rsid w:val="005E2988"/>
    <w:rsid w:val="005E3085"/>
    <w:rsid w:val="005F51E1"/>
    <w:rsid w:val="00610F7A"/>
    <w:rsid w:val="00611C80"/>
    <w:rsid w:val="00613B21"/>
    <w:rsid w:val="00620692"/>
    <w:rsid w:val="00623B5A"/>
    <w:rsid w:val="006242CA"/>
    <w:rsid w:val="00627507"/>
    <w:rsid w:val="0063149D"/>
    <w:rsid w:val="00633717"/>
    <w:rsid w:val="006344E1"/>
    <w:rsid w:val="006361FD"/>
    <w:rsid w:val="006418F1"/>
    <w:rsid w:val="006545C4"/>
    <w:rsid w:val="00654B7E"/>
    <w:rsid w:val="00661971"/>
    <w:rsid w:val="00661CE8"/>
    <w:rsid w:val="006623D9"/>
    <w:rsid w:val="00662882"/>
    <w:rsid w:val="0066550C"/>
    <w:rsid w:val="006716F2"/>
    <w:rsid w:val="006779BD"/>
    <w:rsid w:val="00682BF2"/>
    <w:rsid w:val="006859CE"/>
    <w:rsid w:val="00687255"/>
    <w:rsid w:val="00691270"/>
    <w:rsid w:val="00694BA8"/>
    <w:rsid w:val="006A037C"/>
    <w:rsid w:val="006A2534"/>
    <w:rsid w:val="006A36F4"/>
    <w:rsid w:val="006A406F"/>
    <w:rsid w:val="006A5D3A"/>
    <w:rsid w:val="006C23D4"/>
    <w:rsid w:val="006C475E"/>
    <w:rsid w:val="006C7BB0"/>
    <w:rsid w:val="006D3237"/>
    <w:rsid w:val="006E2E37"/>
    <w:rsid w:val="006E3CF1"/>
    <w:rsid w:val="006E6B1D"/>
    <w:rsid w:val="006E7E80"/>
    <w:rsid w:val="006F158C"/>
    <w:rsid w:val="006F48CA"/>
    <w:rsid w:val="006F64DD"/>
    <w:rsid w:val="00710780"/>
    <w:rsid w:val="00715127"/>
    <w:rsid w:val="00715E8E"/>
    <w:rsid w:val="007172B0"/>
    <w:rsid w:val="00723580"/>
    <w:rsid w:val="00723755"/>
    <w:rsid w:val="00724AE2"/>
    <w:rsid w:val="00725F0B"/>
    <w:rsid w:val="00730B5C"/>
    <w:rsid w:val="0073136C"/>
    <w:rsid w:val="00731F0F"/>
    <w:rsid w:val="00733250"/>
    <w:rsid w:val="00735951"/>
    <w:rsid w:val="00741404"/>
    <w:rsid w:val="0074190F"/>
    <w:rsid w:val="007449E5"/>
    <w:rsid w:val="00747FF0"/>
    <w:rsid w:val="00751CF4"/>
    <w:rsid w:val="007612E2"/>
    <w:rsid w:val="00764D4E"/>
    <w:rsid w:val="00764DA7"/>
    <w:rsid w:val="00765A1F"/>
    <w:rsid w:val="00775B6D"/>
    <w:rsid w:val="00776D68"/>
    <w:rsid w:val="0078300D"/>
    <w:rsid w:val="007850EE"/>
    <w:rsid w:val="00785B95"/>
    <w:rsid w:val="00790AAD"/>
    <w:rsid w:val="00790E96"/>
    <w:rsid w:val="00793366"/>
    <w:rsid w:val="00794E99"/>
    <w:rsid w:val="007971FF"/>
    <w:rsid w:val="007A4070"/>
    <w:rsid w:val="007A716F"/>
    <w:rsid w:val="007A7A83"/>
    <w:rsid w:val="007B270A"/>
    <w:rsid w:val="007C0695"/>
    <w:rsid w:val="007C419A"/>
    <w:rsid w:val="007C4CC8"/>
    <w:rsid w:val="007C5426"/>
    <w:rsid w:val="007C5798"/>
    <w:rsid w:val="007D076E"/>
    <w:rsid w:val="007D4832"/>
    <w:rsid w:val="007E21B2"/>
    <w:rsid w:val="007E2C4E"/>
    <w:rsid w:val="007F1905"/>
    <w:rsid w:val="00801300"/>
    <w:rsid w:val="00802BC2"/>
    <w:rsid w:val="00802C64"/>
    <w:rsid w:val="0080523A"/>
    <w:rsid w:val="00805E52"/>
    <w:rsid w:val="008061D0"/>
    <w:rsid w:val="00810B38"/>
    <w:rsid w:val="008204C7"/>
    <w:rsid w:val="00820992"/>
    <w:rsid w:val="0082250E"/>
    <w:rsid w:val="00823602"/>
    <w:rsid w:val="008255F5"/>
    <w:rsid w:val="0083014E"/>
    <w:rsid w:val="0083214A"/>
    <w:rsid w:val="00834220"/>
    <w:rsid w:val="008369B3"/>
    <w:rsid w:val="0084508B"/>
    <w:rsid w:val="00845723"/>
    <w:rsid w:val="00847BA0"/>
    <w:rsid w:val="00851EF9"/>
    <w:rsid w:val="00853EA0"/>
    <w:rsid w:val="008577FD"/>
    <w:rsid w:val="00860B03"/>
    <w:rsid w:val="00860D8B"/>
    <w:rsid w:val="0086497A"/>
    <w:rsid w:val="00870CB3"/>
    <w:rsid w:val="008713A1"/>
    <w:rsid w:val="00873D9C"/>
    <w:rsid w:val="008748BE"/>
    <w:rsid w:val="008754AB"/>
    <w:rsid w:val="00876A02"/>
    <w:rsid w:val="00876F03"/>
    <w:rsid w:val="0088060C"/>
    <w:rsid w:val="00884261"/>
    <w:rsid w:val="00891107"/>
    <w:rsid w:val="00893576"/>
    <w:rsid w:val="00893E73"/>
    <w:rsid w:val="00893F30"/>
    <w:rsid w:val="00895F5B"/>
    <w:rsid w:val="008A046A"/>
    <w:rsid w:val="008B02DC"/>
    <w:rsid w:val="008B2698"/>
    <w:rsid w:val="008B57CE"/>
    <w:rsid w:val="008C26DE"/>
    <w:rsid w:val="008C4E75"/>
    <w:rsid w:val="008D093E"/>
    <w:rsid w:val="008D2225"/>
    <w:rsid w:val="008D4752"/>
    <w:rsid w:val="008D5658"/>
    <w:rsid w:val="008E095D"/>
    <w:rsid w:val="008E271C"/>
    <w:rsid w:val="008E418E"/>
    <w:rsid w:val="008E5BC6"/>
    <w:rsid w:val="008E6A25"/>
    <w:rsid w:val="008E7A1B"/>
    <w:rsid w:val="008F5193"/>
    <w:rsid w:val="009013A7"/>
    <w:rsid w:val="009017FB"/>
    <w:rsid w:val="009017FC"/>
    <w:rsid w:val="009020E3"/>
    <w:rsid w:val="00902601"/>
    <w:rsid w:val="0090506B"/>
    <w:rsid w:val="009050C9"/>
    <w:rsid w:val="009066FC"/>
    <w:rsid w:val="009140A3"/>
    <w:rsid w:val="009144A2"/>
    <w:rsid w:val="0091510C"/>
    <w:rsid w:val="00917E55"/>
    <w:rsid w:val="009259AC"/>
    <w:rsid w:val="00926F38"/>
    <w:rsid w:val="00934301"/>
    <w:rsid w:val="00936CD1"/>
    <w:rsid w:val="009375A5"/>
    <w:rsid w:val="00941747"/>
    <w:rsid w:val="00941EFB"/>
    <w:rsid w:val="00947AFB"/>
    <w:rsid w:val="00951D7D"/>
    <w:rsid w:val="00951E9E"/>
    <w:rsid w:val="00954AD6"/>
    <w:rsid w:val="00961E57"/>
    <w:rsid w:val="009630C7"/>
    <w:rsid w:val="00972B55"/>
    <w:rsid w:val="009743B7"/>
    <w:rsid w:val="00975039"/>
    <w:rsid w:val="00977227"/>
    <w:rsid w:val="0098228B"/>
    <w:rsid w:val="009828DA"/>
    <w:rsid w:val="009840A2"/>
    <w:rsid w:val="00985BAB"/>
    <w:rsid w:val="00986523"/>
    <w:rsid w:val="009B1B5F"/>
    <w:rsid w:val="009B6673"/>
    <w:rsid w:val="009B7BB8"/>
    <w:rsid w:val="009C191B"/>
    <w:rsid w:val="009C2BD6"/>
    <w:rsid w:val="009D2F52"/>
    <w:rsid w:val="009D6DE6"/>
    <w:rsid w:val="009E0E2A"/>
    <w:rsid w:val="009E16D2"/>
    <w:rsid w:val="009E1F32"/>
    <w:rsid w:val="009E776C"/>
    <w:rsid w:val="00A00672"/>
    <w:rsid w:val="00A065BF"/>
    <w:rsid w:val="00A10B43"/>
    <w:rsid w:val="00A132AD"/>
    <w:rsid w:val="00A15D75"/>
    <w:rsid w:val="00A1726E"/>
    <w:rsid w:val="00A204CF"/>
    <w:rsid w:val="00A21624"/>
    <w:rsid w:val="00A23D49"/>
    <w:rsid w:val="00A27004"/>
    <w:rsid w:val="00A30C29"/>
    <w:rsid w:val="00A34DD6"/>
    <w:rsid w:val="00A36819"/>
    <w:rsid w:val="00A36989"/>
    <w:rsid w:val="00A43628"/>
    <w:rsid w:val="00A43AA3"/>
    <w:rsid w:val="00A45145"/>
    <w:rsid w:val="00A4783F"/>
    <w:rsid w:val="00A54192"/>
    <w:rsid w:val="00A6035E"/>
    <w:rsid w:val="00A60C9B"/>
    <w:rsid w:val="00A6144C"/>
    <w:rsid w:val="00A61A71"/>
    <w:rsid w:val="00A66617"/>
    <w:rsid w:val="00A671F8"/>
    <w:rsid w:val="00A673A4"/>
    <w:rsid w:val="00A724AE"/>
    <w:rsid w:val="00A73329"/>
    <w:rsid w:val="00A75785"/>
    <w:rsid w:val="00A8094B"/>
    <w:rsid w:val="00A82359"/>
    <w:rsid w:val="00A865D2"/>
    <w:rsid w:val="00A94C20"/>
    <w:rsid w:val="00AA227F"/>
    <w:rsid w:val="00AA2590"/>
    <w:rsid w:val="00AA3BC7"/>
    <w:rsid w:val="00AA5E4E"/>
    <w:rsid w:val="00AA754A"/>
    <w:rsid w:val="00AB099E"/>
    <w:rsid w:val="00AB4328"/>
    <w:rsid w:val="00AB5628"/>
    <w:rsid w:val="00AC00C2"/>
    <w:rsid w:val="00AC5872"/>
    <w:rsid w:val="00AD1236"/>
    <w:rsid w:val="00AD2473"/>
    <w:rsid w:val="00AD37F6"/>
    <w:rsid w:val="00AD7E70"/>
    <w:rsid w:val="00AE0A2E"/>
    <w:rsid w:val="00AE354C"/>
    <w:rsid w:val="00AF4B07"/>
    <w:rsid w:val="00AF6186"/>
    <w:rsid w:val="00AF7A3A"/>
    <w:rsid w:val="00B009F4"/>
    <w:rsid w:val="00B01FDF"/>
    <w:rsid w:val="00B12C2B"/>
    <w:rsid w:val="00B15A18"/>
    <w:rsid w:val="00B160DB"/>
    <w:rsid w:val="00B20836"/>
    <w:rsid w:val="00B20F1A"/>
    <w:rsid w:val="00B235BB"/>
    <w:rsid w:val="00B25320"/>
    <w:rsid w:val="00B25943"/>
    <w:rsid w:val="00B25D3B"/>
    <w:rsid w:val="00B27A44"/>
    <w:rsid w:val="00B30BBF"/>
    <w:rsid w:val="00B33C03"/>
    <w:rsid w:val="00B35366"/>
    <w:rsid w:val="00B36168"/>
    <w:rsid w:val="00B44E56"/>
    <w:rsid w:val="00B46543"/>
    <w:rsid w:val="00B47D33"/>
    <w:rsid w:val="00B52BE0"/>
    <w:rsid w:val="00B54133"/>
    <w:rsid w:val="00B61130"/>
    <w:rsid w:val="00B701ED"/>
    <w:rsid w:val="00B721F3"/>
    <w:rsid w:val="00B751F4"/>
    <w:rsid w:val="00B80733"/>
    <w:rsid w:val="00B8086C"/>
    <w:rsid w:val="00B80E93"/>
    <w:rsid w:val="00B81079"/>
    <w:rsid w:val="00B840F7"/>
    <w:rsid w:val="00B861B4"/>
    <w:rsid w:val="00B86DFE"/>
    <w:rsid w:val="00B90990"/>
    <w:rsid w:val="00B922FF"/>
    <w:rsid w:val="00B9281E"/>
    <w:rsid w:val="00B93925"/>
    <w:rsid w:val="00B95187"/>
    <w:rsid w:val="00BA2D55"/>
    <w:rsid w:val="00BA3D7F"/>
    <w:rsid w:val="00BA71B1"/>
    <w:rsid w:val="00BB0637"/>
    <w:rsid w:val="00BB345F"/>
    <w:rsid w:val="00BB5CA3"/>
    <w:rsid w:val="00BB68EA"/>
    <w:rsid w:val="00BC1C27"/>
    <w:rsid w:val="00BC1F03"/>
    <w:rsid w:val="00BC3DDD"/>
    <w:rsid w:val="00BC6BBF"/>
    <w:rsid w:val="00BD1572"/>
    <w:rsid w:val="00BD6E56"/>
    <w:rsid w:val="00BE14E3"/>
    <w:rsid w:val="00BE3774"/>
    <w:rsid w:val="00BE41E5"/>
    <w:rsid w:val="00BF4109"/>
    <w:rsid w:val="00BF4B9C"/>
    <w:rsid w:val="00BF4CC3"/>
    <w:rsid w:val="00C00E59"/>
    <w:rsid w:val="00C054C7"/>
    <w:rsid w:val="00C057B5"/>
    <w:rsid w:val="00C149F0"/>
    <w:rsid w:val="00C22687"/>
    <w:rsid w:val="00C25983"/>
    <w:rsid w:val="00C32E4D"/>
    <w:rsid w:val="00C33257"/>
    <w:rsid w:val="00C333A0"/>
    <w:rsid w:val="00C36408"/>
    <w:rsid w:val="00C36A81"/>
    <w:rsid w:val="00C41974"/>
    <w:rsid w:val="00C45616"/>
    <w:rsid w:val="00C46FF1"/>
    <w:rsid w:val="00C51023"/>
    <w:rsid w:val="00C52208"/>
    <w:rsid w:val="00C538F4"/>
    <w:rsid w:val="00C53F4A"/>
    <w:rsid w:val="00C54125"/>
    <w:rsid w:val="00C55B54"/>
    <w:rsid w:val="00C6098E"/>
    <w:rsid w:val="00C6152C"/>
    <w:rsid w:val="00C61D3B"/>
    <w:rsid w:val="00C74810"/>
    <w:rsid w:val="00C761A1"/>
    <w:rsid w:val="00C81ACF"/>
    <w:rsid w:val="00C90D68"/>
    <w:rsid w:val="00C939FE"/>
    <w:rsid w:val="00CA4BDA"/>
    <w:rsid w:val="00CA7C61"/>
    <w:rsid w:val="00CB1F66"/>
    <w:rsid w:val="00CB2951"/>
    <w:rsid w:val="00CC06C7"/>
    <w:rsid w:val="00CD282B"/>
    <w:rsid w:val="00CD4C35"/>
    <w:rsid w:val="00CD7369"/>
    <w:rsid w:val="00CE0B0E"/>
    <w:rsid w:val="00CE3831"/>
    <w:rsid w:val="00CE57AB"/>
    <w:rsid w:val="00CE5FB4"/>
    <w:rsid w:val="00CF1F08"/>
    <w:rsid w:val="00D00ABB"/>
    <w:rsid w:val="00D01935"/>
    <w:rsid w:val="00D02781"/>
    <w:rsid w:val="00D02EEC"/>
    <w:rsid w:val="00D03551"/>
    <w:rsid w:val="00D06A63"/>
    <w:rsid w:val="00D07E0E"/>
    <w:rsid w:val="00D11478"/>
    <w:rsid w:val="00D15ED0"/>
    <w:rsid w:val="00D21B3E"/>
    <w:rsid w:val="00D21C26"/>
    <w:rsid w:val="00D21FED"/>
    <w:rsid w:val="00D24251"/>
    <w:rsid w:val="00D343E2"/>
    <w:rsid w:val="00D361A2"/>
    <w:rsid w:val="00D44C2E"/>
    <w:rsid w:val="00D45414"/>
    <w:rsid w:val="00D54FF1"/>
    <w:rsid w:val="00D55E2C"/>
    <w:rsid w:val="00D566BD"/>
    <w:rsid w:val="00D57A4D"/>
    <w:rsid w:val="00D60AA7"/>
    <w:rsid w:val="00D62A67"/>
    <w:rsid w:val="00D6435F"/>
    <w:rsid w:val="00D67F69"/>
    <w:rsid w:val="00D75E28"/>
    <w:rsid w:val="00D772C2"/>
    <w:rsid w:val="00D8008E"/>
    <w:rsid w:val="00D82C45"/>
    <w:rsid w:val="00D908A8"/>
    <w:rsid w:val="00D9589D"/>
    <w:rsid w:val="00D977B6"/>
    <w:rsid w:val="00DA3634"/>
    <w:rsid w:val="00DA4A31"/>
    <w:rsid w:val="00DA5374"/>
    <w:rsid w:val="00DA795C"/>
    <w:rsid w:val="00DA7B04"/>
    <w:rsid w:val="00DB36C2"/>
    <w:rsid w:val="00DB5CBD"/>
    <w:rsid w:val="00DC169B"/>
    <w:rsid w:val="00DC2AB9"/>
    <w:rsid w:val="00DC63F0"/>
    <w:rsid w:val="00DD10E5"/>
    <w:rsid w:val="00DD5382"/>
    <w:rsid w:val="00DD6EE5"/>
    <w:rsid w:val="00DE2362"/>
    <w:rsid w:val="00DE386C"/>
    <w:rsid w:val="00DE4D35"/>
    <w:rsid w:val="00DF098B"/>
    <w:rsid w:val="00DF11C4"/>
    <w:rsid w:val="00DF210C"/>
    <w:rsid w:val="00DF4B6A"/>
    <w:rsid w:val="00E02C09"/>
    <w:rsid w:val="00E04D59"/>
    <w:rsid w:val="00E05855"/>
    <w:rsid w:val="00E07DA1"/>
    <w:rsid w:val="00E123CB"/>
    <w:rsid w:val="00E162E3"/>
    <w:rsid w:val="00E20E13"/>
    <w:rsid w:val="00E21DBC"/>
    <w:rsid w:val="00E24B49"/>
    <w:rsid w:val="00E275D7"/>
    <w:rsid w:val="00E27DBE"/>
    <w:rsid w:val="00E32AB1"/>
    <w:rsid w:val="00E337E2"/>
    <w:rsid w:val="00E34B49"/>
    <w:rsid w:val="00E36C71"/>
    <w:rsid w:val="00E37E79"/>
    <w:rsid w:val="00E40404"/>
    <w:rsid w:val="00E459C6"/>
    <w:rsid w:val="00E47589"/>
    <w:rsid w:val="00E64915"/>
    <w:rsid w:val="00E661D4"/>
    <w:rsid w:val="00E70091"/>
    <w:rsid w:val="00E720F5"/>
    <w:rsid w:val="00E76D47"/>
    <w:rsid w:val="00E849F7"/>
    <w:rsid w:val="00E90302"/>
    <w:rsid w:val="00E97396"/>
    <w:rsid w:val="00EA185E"/>
    <w:rsid w:val="00EA592A"/>
    <w:rsid w:val="00EA6EEE"/>
    <w:rsid w:val="00EB14E4"/>
    <w:rsid w:val="00EB182B"/>
    <w:rsid w:val="00EB32A5"/>
    <w:rsid w:val="00EB34ED"/>
    <w:rsid w:val="00EB3882"/>
    <w:rsid w:val="00EB4A37"/>
    <w:rsid w:val="00EB6F5E"/>
    <w:rsid w:val="00EB7BE0"/>
    <w:rsid w:val="00EC1308"/>
    <w:rsid w:val="00EC315E"/>
    <w:rsid w:val="00EC58D1"/>
    <w:rsid w:val="00ED077C"/>
    <w:rsid w:val="00ED1190"/>
    <w:rsid w:val="00ED6544"/>
    <w:rsid w:val="00EE0277"/>
    <w:rsid w:val="00EE3E00"/>
    <w:rsid w:val="00EE5DD2"/>
    <w:rsid w:val="00EF34CB"/>
    <w:rsid w:val="00EF6E2D"/>
    <w:rsid w:val="00F00A79"/>
    <w:rsid w:val="00F00E86"/>
    <w:rsid w:val="00F07C1E"/>
    <w:rsid w:val="00F105DB"/>
    <w:rsid w:val="00F1088F"/>
    <w:rsid w:val="00F132BC"/>
    <w:rsid w:val="00F13D80"/>
    <w:rsid w:val="00F16AAA"/>
    <w:rsid w:val="00F21161"/>
    <w:rsid w:val="00F218EF"/>
    <w:rsid w:val="00F21BC7"/>
    <w:rsid w:val="00F25EFC"/>
    <w:rsid w:val="00F266A2"/>
    <w:rsid w:val="00F27D13"/>
    <w:rsid w:val="00F32269"/>
    <w:rsid w:val="00F50942"/>
    <w:rsid w:val="00F56A6F"/>
    <w:rsid w:val="00F5709C"/>
    <w:rsid w:val="00F61E6D"/>
    <w:rsid w:val="00F626DA"/>
    <w:rsid w:val="00F64EF1"/>
    <w:rsid w:val="00F659F3"/>
    <w:rsid w:val="00F77DAC"/>
    <w:rsid w:val="00F83589"/>
    <w:rsid w:val="00F8765F"/>
    <w:rsid w:val="00F90767"/>
    <w:rsid w:val="00F912E4"/>
    <w:rsid w:val="00F94531"/>
    <w:rsid w:val="00F9588E"/>
    <w:rsid w:val="00FA0688"/>
    <w:rsid w:val="00FA6428"/>
    <w:rsid w:val="00FA685B"/>
    <w:rsid w:val="00FB0C01"/>
    <w:rsid w:val="00FB3EF8"/>
    <w:rsid w:val="00FC04E5"/>
    <w:rsid w:val="00FC18F2"/>
    <w:rsid w:val="00FC39E5"/>
    <w:rsid w:val="00FC3A78"/>
    <w:rsid w:val="00FD1005"/>
    <w:rsid w:val="00FD340A"/>
    <w:rsid w:val="00FD61AA"/>
    <w:rsid w:val="00FD6C75"/>
    <w:rsid w:val="00FD7649"/>
    <w:rsid w:val="00FE0F0A"/>
    <w:rsid w:val="00FE71B3"/>
    <w:rsid w:val="00FF303C"/>
    <w:rsid w:val="00FF3271"/>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1F4AE"/>
  <w15:docId w15:val="{1709324F-34D6-4B19-9906-F6930A37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A10B43"/>
    <w:rPr>
      <w:sz w:val="24"/>
      <w:szCs w:val="24"/>
    </w:rPr>
  </w:style>
  <w:style w:type="paragraph" w:styleId="Heading1">
    <w:name w:val="heading 1"/>
    <w:basedOn w:val="Normal"/>
    <w:next w:val="Normal"/>
    <w:link w:val="Heading1Char"/>
    <w:uiPriority w:val="98"/>
    <w:semiHidden/>
    <w:rsid w:val="00AD37F6"/>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AD37F6"/>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AD37F6"/>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AD37F6"/>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AD37F6"/>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AD37F6"/>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AD37F6"/>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AD37F6"/>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AD37F6"/>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AD37F6"/>
    <w:rPr>
      <w:rFonts w:ascii="Tahoma" w:hAnsi="Tahoma" w:cs="Tahoma"/>
      <w:sz w:val="16"/>
      <w:szCs w:val="16"/>
    </w:rPr>
  </w:style>
  <w:style w:type="character" w:customStyle="1" w:styleId="BalloonTextChar">
    <w:name w:val="Balloon Text Char"/>
    <w:basedOn w:val="DefaultParagraphFont"/>
    <w:link w:val="BalloonText"/>
    <w:uiPriority w:val="98"/>
    <w:semiHidden/>
    <w:rsid w:val="00AD37F6"/>
    <w:rPr>
      <w:rFonts w:ascii="Tahoma" w:hAnsi="Tahoma" w:cs="Tahoma"/>
      <w:sz w:val="16"/>
      <w:szCs w:val="16"/>
      <w:lang w:val="bg-BG"/>
    </w:rPr>
  </w:style>
  <w:style w:type="character" w:styleId="BookTitle">
    <w:name w:val="Book Title"/>
    <w:uiPriority w:val="98"/>
    <w:semiHidden/>
    <w:qFormat/>
    <w:rsid w:val="00AD37F6"/>
    <w:rPr>
      <w:i/>
      <w:iCs/>
      <w:smallCaps/>
      <w:spacing w:val="5"/>
    </w:rPr>
  </w:style>
  <w:style w:type="paragraph" w:customStyle="1" w:styleId="JuHeader">
    <w:name w:val="Ju_Header"/>
    <w:aliases w:val="_Header"/>
    <w:basedOn w:val="Header"/>
    <w:uiPriority w:val="29"/>
    <w:qFormat/>
    <w:rsid w:val="00AD37F6"/>
    <w:pPr>
      <w:tabs>
        <w:tab w:val="clear" w:pos="4536"/>
        <w:tab w:val="clear" w:pos="9072"/>
      </w:tabs>
      <w:jc w:val="center"/>
    </w:pPr>
    <w:rPr>
      <w:sz w:val="18"/>
    </w:rPr>
  </w:style>
  <w:style w:type="paragraph" w:customStyle="1" w:styleId="DummyStyle">
    <w:name w:val="Dummy_Style"/>
    <w:aliases w:val="_Dummy"/>
    <w:basedOn w:val="Normal"/>
    <w:semiHidden/>
    <w:qFormat/>
    <w:rsid w:val="00AD37F6"/>
    <w:rPr>
      <w:color w:val="00B050"/>
      <w:sz w:val="22"/>
    </w:rPr>
  </w:style>
  <w:style w:type="character" w:styleId="Strong">
    <w:name w:val="Strong"/>
    <w:uiPriority w:val="98"/>
    <w:semiHidden/>
    <w:qFormat/>
    <w:rsid w:val="00AD37F6"/>
    <w:rPr>
      <w:b/>
      <w:bCs/>
    </w:rPr>
  </w:style>
  <w:style w:type="paragraph" w:styleId="NoSpacing">
    <w:name w:val="No Spacing"/>
    <w:basedOn w:val="Normal"/>
    <w:link w:val="NoSpacingChar"/>
    <w:uiPriority w:val="98"/>
    <w:semiHidden/>
    <w:qFormat/>
    <w:rsid w:val="00AD37F6"/>
  </w:style>
  <w:style w:type="character" w:customStyle="1" w:styleId="NoSpacingChar">
    <w:name w:val="No Spacing Char"/>
    <w:basedOn w:val="DefaultParagraphFont"/>
    <w:link w:val="NoSpacing"/>
    <w:uiPriority w:val="98"/>
    <w:semiHidden/>
    <w:rsid w:val="00AD37F6"/>
    <w:rPr>
      <w:sz w:val="24"/>
      <w:szCs w:val="24"/>
      <w:lang w:val="bg-BG"/>
    </w:rPr>
  </w:style>
  <w:style w:type="paragraph" w:customStyle="1" w:styleId="JuQuot">
    <w:name w:val="Ju_Quot"/>
    <w:aliases w:val="_Quote"/>
    <w:basedOn w:val="NormalJustified"/>
    <w:uiPriority w:val="20"/>
    <w:qFormat/>
    <w:rsid w:val="00AD37F6"/>
    <w:pPr>
      <w:spacing w:before="120" w:after="120"/>
      <w:ind w:left="425" w:firstLine="142"/>
    </w:pPr>
    <w:rPr>
      <w:sz w:val="20"/>
    </w:rPr>
  </w:style>
  <w:style w:type="paragraph" w:customStyle="1" w:styleId="JuList">
    <w:name w:val="Ju_List"/>
    <w:aliases w:val="_List_1"/>
    <w:basedOn w:val="NormalJustified"/>
    <w:uiPriority w:val="23"/>
    <w:qFormat/>
    <w:rsid w:val="00AD37F6"/>
    <w:pPr>
      <w:numPr>
        <w:numId w:val="19"/>
      </w:numPr>
      <w:spacing w:before="280" w:after="60"/>
    </w:pPr>
  </w:style>
  <w:style w:type="paragraph" w:customStyle="1" w:styleId="JuLista">
    <w:name w:val="Ju_List_a"/>
    <w:aliases w:val="_List_2"/>
    <w:basedOn w:val="NormalJustified"/>
    <w:uiPriority w:val="23"/>
    <w:rsid w:val="00AD37F6"/>
    <w:pPr>
      <w:numPr>
        <w:ilvl w:val="1"/>
        <w:numId w:val="19"/>
      </w:numPr>
    </w:pPr>
  </w:style>
  <w:style w:type="paragraph" w:customStyle="1" w:styleId="JuListi">
    <w:name w:val="Ju_List_i"/>
    <w:aliases w:val="_List_3"/>
    <w:basedOn w:val="NormalJustified"/>
    <w:uiPriority w:val="23"/>
    <w:rsid w:val="00AD37F6"/>
    <w:pPr>
      <w:numPr>
        <w:ilvl w:val="2"/>
        <w:numId w:val="19"/>
      </w:numPr>
    </w:pPr>
  </w:style>
  <w:style w:type="paragraph" w:customStyle="1" w:styleId="DecHTitle">
    <w:name w:val="Dec_H_Title"/>
    <w:aliases w:val="_Title_1"/>
    <w:basedOn w:val="JuPara"/>
    <w:next w:val="JuPara"/>
    <w:uiPriority w:val="38"/>
    <w:qFormat/>
    <w:rsid w:val="00AD37F6"/>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AD37F6"/>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AD37F6"/>
    <w:pPr>
      <w:keepNext/>
      <w:keepLines/>
      <w:tabs>
        <w:tab w:val="right" w:pos="7938"/>
      </w:tabs>
      <w:ind w:firstLine="0"/>
      <w:jc w:val="center"/>
    </w:pPr>
    <w:rPr>
      <w:i/>
    </w:rPr>
  </w:style>
  <w:style w:type="numbering" w:customStyle="1" w:styleId="ECHRA1StyleBulletedSquare">
    <w:name w:val="ECHR_A1_Style_Bulleted_Square"/>
    <w:basedOn w:val="NoList"/>
    <w:rsid w:val="00AD37F6"/>
    <w:pPr>
      <w:numPr>
        <w:numId w:val="18"/>
      </w:numPr>
    </w:pPr>
  </w:style>
  <w:style w:type="paragraph" w:customStyle="1" w:styleId="JuHHead">
    <w:name w:val="Ju_H_Head"/>
    <w:aliases w:val="_Head_1"/>
    <w:basedOn w:val="Heading1"/>
    <w:next w:val="JuPara"/>
    <w:uiPriority w:val="17"/>
    <w:qFormat/>
    <w:rsid w:val="00AD37F6"/>
    <w:pPr>
      <w:keepNext/>
      <w:keepLines/>
      <w:numPr>
        <w:numId w:val="17"/>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AD37F6"/>
    <w:pPr>
      <w:numPr>
        <w:numId w:val="1"/>
      </w:numPr>
    </w:pPr>
  </w:style>
  <w:style w:type="paragraph" w:customStyle="1" w:styleId="JuSigned">
    <w:name w:val="Ju_Signed"/>
    <w:aliases w:val="_Signature"/>
    <w:basedOn w:val="Normal"/>
    <w:next w:val="JuPara"/>
    <w:uiPriority w:val="31"/>
    <w:qFormat/>
    <w:rsid w:val="00AD37F6"/>
    <w:pPr>
      <w:tabs>
        <w:tab w:val="center" w:pos="1418"/>
        <w:tab w:val="center" w:pos="5954"/>
      </w:tabs>
      <w:spacing w:before="720"/>
    </w:pPr>
  </w:style>
  <w:style w:type="paragraph" w:styleId="Title">
    <w:name w:val="Title"/>
    <w:basedOn w:val="Normal"/>
    <w:next w:val="Normal"/>
    <w:link w:val="TitleChar"/>
    <w:uiPriority w:val="98"/>
    <w:semiHidden/>
    <w:qFormat/>
    <w:rsid w:val="00AD37F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AD37F6"/>
    <w:rPr>
      <w:rFonts w:asciiTheme="majorHAnsi" w:eastAsiaTheme="majorEastAsia" w:hAnsiTheme="majorHAnsi" w:cstheme="majorBidi"/>
      <w:spacing w:val="5"/>
      <w:sz w:val="52"/>
      <w:szCs w:val="52"/>
      <w:lang w:val="bg-BG" w:bidi="en-US"/>
    </w:rPr>
  </w:style>
  <w:style w:type="numbering" w:customStyle="1" w:styleId="ECHRA1StyleNumberedList">
    <w:name w:val="ECHR_A1_Style_Numbered_List"/>
    <w:basedOn w:val="NoList"/>
    <w:rsid w:val="00AD37F6"/>
    <w:pPr>
      <w:numPr>
        <w:numId w:val="20"/>
      </w:numPr>
    </w:pPr>
  </w:style>
  <w:style w:type="table" w:customStyle="1" w:styleId="ECHRTable2019">
    <w:name w:val="ECHR_Table_2019"/>
    <w:basedOn w:val="TableNormal"/>
    <w:uiPriority w:val="99"/>
    <w:rsid w:val="00AD37F6"/>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auto"/>
        <w:sz w:val="22"/>
      </w:rPr>
      <w:tblPr/>
      <w:tcPr>
        <w:shd w:val="clear" w:color="auto" w:fill="DDDDDD" w:themeFill="accent3" w:themeFillTint="3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EFEFEF" w:themeFill="text2" w:themeFillTint="33"/>
      </w:tcPr>
    </w:tblStylePr>
    <w:tblStylePr w:type="band2Horz">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l2br w:val="nil"/>
          <w:tr2bl w:val="nil"/>
        </w:tcBorders>
        <w:shd w:val="clear" w:color="auto" w:fill="EFEFEF"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32"/>
    <w:qFormat/>
    <w:rsid w:val="00AD37F6"/>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0"/>
    <w:qFormat/>
    <w:rsid w:val="00AD37F6"/>
    <w:pPr>
      <w:tabs>
        <w:tab w:val="center" w:pos="6407"/>
      </w:tabs>
      <w:spacing w:before="720"/>
      <w:jc w:val="right"/>
    </w:pPr>
  </w:style>
  <w:style w:type="paragraph" w:customStyle="1" w:styleId="JuHIRoman">
    <w:name w:val="Ju_H_I_Roman"/>
    <w:aliases w:val="_Head_2"/>
    <w:basedOn w:val="Heading2"/>
    <w:next w:val="JuPara"/>
    <w:uiPriority w:val="17"/>
    <w:qFormat/>
    <w:rsid w:val="00AD37F6"/>
    <w:pPr>
      <w:keepNext/>
      <w:keepLines/>
      <w:numPr>
        <w:ilvl w:val="1"/>
        <w:numId w:val="17"/>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AD37F6"/>
    <w:pPr>
      <w:keepNext/>
      <w:keepLines/>
      <w:numPr>
        <w:ilvl w:val="2"/>
        <w:numId w:val="17"/>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AD37F6"/>
    <w:pPr>
      <w:keepNext/>
      <w:keepLines/>
      <w:numPr>
        <w:ilvl w:val="3"/>
        <w:numId w:val="17"/>
      </w:numPr>
      <w:spacing w:before="100" w:beforeAutospacing="1" w:after="120"/>
      <w:jc w:val="both"/>
    </w:pPr>
    <w:rPr>
      <w:b w:val="0"/>
      <w:color w:val="auto"/>
      <w:sz w:val="24"/>
    </w:rPr>
  </w:style>
  <w:style w:type="paragraph" w:styleId="Header">
    <w:name w:val="header"/>
    <w:basedOn w:val="Normal"/>
    <w:link w:val="HeaderChar"/>
    <w:uiPriority w:val="98"/>
    <w:semiHidden/>
    <w:rsid w:val="00AD37F6"/>
    <w:pPr>
      <w:tabs>
        <w:tab w:val="center" w:pos="4536"/>
        <w:tab w:val="right" w:pos="9072"/>
      </w:tabs>
    </w:pPr>
  </w:style>
  <w:style w:type="character" w:customStyle="1" w:styleId="HeaderChar">
    <w:name w:val="Header Char"/>
    <w:basedOn w:val="DefaultParagraphFont"/>
    <w:link w:val="Header"/>
    <w:uiPriority w:val="98"/>
    <w:semiHidden/>
    <w:rsid w:val="00AD37F6"/>
    <w:rPr>
      <w:sz w:val="24"/>
      <w:szCs w:val="24"/>
      <w:lang w:val="bg-BG"/>
    </w:rPr>
  </w:style>
  <w:style w:type="character" w:customStyle="1" w:styleId="Heading1Char">
    <w:name w:val="Heading 1 Char"/>
    <w:basedOn w:val="DefaultParagraphFont"/>
    <w:link w:val="Heading1"/>
    <w:uiPriority w:val="98"/>
    <w:semiHidden/>
    <w:rsid w:val="00AD37F6"/>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AD37F6"/>
    <w:pPr>
      <w:keepNext/>
      <w:keepLines/>
      <w:numPr>
        <w:ilvl w:val="4"/>
        <w:numId w:val="17"/>
      </w:numPr>
      <w:spacing w:before="100" w:beforeAutospacing="1" w:after="120"/>
      <w:jc w:val="both"/>
    </w:pPr>
    <w:rPr>
      <w:color w:val="auto"/>
      <w:sz w:val="20"/>
    </w:rPr>
  </w:style>
  <w:style w:type="paragraph" w:customStyle="1" w:styleId="JuHi">
    <w:name w:val="Ju_H_i"/>
    <w:aliases w:val="_Head_6"/>
    <w:basedOn w:val="Heading6"/>
    <w:next w:val="JuPara"/>
    <w:uiPriority w:val="17"/>
    <w:rsid w:val="00AD37F6"/>
    <w:pPr>
      <w:keepNext/>
      <w:keepLines/>
      <w:numPr>
        <w:ilvl w:val="5"/>
        <w:numId w:val="17"/>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AD37F6"/>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AD37F6"/>
    <w:pPr>
      <w:keepNext/>
      <w:keepLines/>
      <w:numPr>
        <w:ilvl w:val="6"/>
        <w:numId w:val="17"/>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AD37F6"/>
    <w:pPr>
      <w:keepNext/>
      <w:keepLines/>
      <w:numPr>
        <w:ilvl w:val="7"/>
        <w:numId w:val="17"/>
      </w:numPr>
      <w:spacing w:before="100" w:beforeAutospacing="1" w:after="120"/>
      <w:jc w:val="both"/>
    </w:pPr>
    <w:rPr>
      <w:i/>
    </w:rPr>
  </w:style>
  <w:style w:type="character" w:customStyle="1" w:styleId="Heading3Char">
    <w:name w:val="Heading 3 Char"/>
    <w:basedOn w:val="DefaultParagraphFont"/>
    <w:link w:val="Heading3"/>
    <w:uiPriority w:val="98"/>
    <w:semiHidden/>
    <w:rsid w:val="00AD37F6"/>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AD37F6"/>
    <w:pPr>
      <w:keepNext/>
      <w:keepLines/>
      <w:spacing w:before="240" w:after="240"/>
      <w:ind w:firstLine="284"/>
    </w:pPr>
  </w:style>
  <w:style w:type="paragraph" w:customStyle="1" w:styleId="JuJudges">
    <w:name w:val="Ju_Judges"/>
    <w:aliases w:val="_Judges"/>
    <w:basedOn w:val="Normal"/>
    <w:uiPriority w:val="32"/>
    <w:qFormat/>
    <w:rsid w:val="00AD37F6"/>
    <w:pPr>
      <w:tabs>
        <w:tab w:val="left" w:pos="567"/>
        <w:tab w:val="left" w:pos="1134"/>
      </w:tabs>
    </w:pPr>
  </w:style>
  <w:style w:type="character" w:customStyle="1" w:styleId="Heading4Char">
    <w:name w:val="Heading 4 Char"/>
    <w:basedOn w:val="DefaultParagraphFont"/>
    <w:link w:val="Heading4"/>
    <w:uiPriority w:val="98"/>
    <w:semiHidden/>
    <w:rsid w:val="00AD37F6"/>
    <w:rPr>
      <w:rFonts w:asciiTheme="majorHAnsi" w:eastAsiaTheme="majorEastAsia" w:hAnsiTheme="majorHAnsi" w:cstheme="majorBidi"/>
      <w:b/>
      <w:bCs/>
      <w:i/>
      <w:iCs/>
      <w:color w:val="777777"/>
      <w:lang w:val="bg-BG"/>
    </w:rPr>
  </w:style>
  <w:style w:type="character" w:customStyle="1" w:styleId="JuITMark">
    <w:name w:val="Ju_ITMark"/>
    <w:aliases w:val="_ITMark"/>
    <w:basedOn w:val="DefaultParagraphFont"/>
    <w:uiPriority w:val="54"/>
    <w:qFormat/>
    <w:rsid w:val="00AD37F6"/>
    <w:rPr>
      <w:vanish w:val="0"/>
      <w:color w:val="auto"/>
      <w:sz w:val="14"/>
      <w:bdr w:val="none" w:sz="0" w:space="0" w:color="auto"/>
      <w:shd w:val="clear" w:color="auto" w:fill="FFFFFF" w:themeFill="background1" w:themeFillTint="33"/>
    </w:rPr>
  </w:style>
  <w:style w:type="character" w:customStyle="1" w:styleId="Heading5Char">
    <w:name w:val="Heading 5 Char"/>
    <w:basedOn w:val="DefaultParagraphFont"/>
    <w:link w:val="Heading5"/>
    <w:uiPriority w:val="98"/>
    <w:semiHidden/>
    <w:rsid w:val="00AD37F6"/>
    <w:rPr>
      <w:rFonts w:asciiTheme="majorHAnsi" w:eastAsiaTheme="majorEastAsia" w:hAnsiTheme="majorHAnsi" w:cstheme="majorBidi"/>
      <w:b/>
      <w:bCs/>
      <w:color w:val="808080"/>
      <w:lang w:val="bg-BG"/>
    </w:rPr>
  </w:style>
  <w:style w:type="character" w:customStyle="1" w:styleId="JUNAMES">
    <w:name w:val="JU_NAMES"/>
    <w:aliases w:val="_Ju_Names"/>
    <w:uiPriority w:val="33"/>
    <w:qFormat/>
    <w:rsid w:val="00AD37F6"/>
    <w:rPr>
      <w:caps w:val="0"/>
      <w:smallCaps/>
    </w:rPr>
  </w:style>
  <w:style w:type="paragraph" w:customStyle="1" w:styleId="NormalJustified">
    <w:name w:val="Normal_Justified"/>
    <w:basedOn w:val="Normal"/>
    <w:semiHidden/>
    <w:rsid w:val="00AD37F6"/>
    <w:pPr>
      <w:jc w:val="both"/>
    </w:pPr>
  </w:style>
  <w:style w:type="character" w:styleId="SubtleEmphasis">
    <w:name w:val="Subtle Emphasis"/>
    <w:uiPriority w:val="98"/>
    <w:semiHidden/>
    <w:qFormat/>
    <w:rsid w:val="00AD37F6"/>
    <w:rPr>
      <w:i/>
      <w:iCs/>
    </w:rPr>
  </w:style>
  <w:style w:type="table" w:customStyle="1" w:styleId="ECHRTable">
    <w:name w:val="ECHR_Table"/>
    <w:basedOn w:val="TableNormal"/>
    <w:rsid w:val="00AD37F6"/>
    <w:rPr>
      <w:rFonts w:eastAsia="Times New Roman" w:cs="Times New Roman"/>
      <w:sz w:val="20"/>
      <w:szCs w:val="20"/>
    </w:rPr>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AD37F6"/>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95959" w:themeColor="accent3"/>
      </w:rPr>
    </w:tblStylePr>
  </w:style>
  <w:style w:type="character" w:styleId="Emphasis">
    <w:name w:val="Emphasis"/>
    <w:uiPriority w:val="98"/>
    <w:semiHidden/>
    <w:qFormat/>
    <w:rsid w:val="00AD37F6"/>
    <w:rPr>
      <w:b/>
      <w:bCs/>
      <w:i/>
      <w:iCs/>
      <w:spacing w:val="10"/>
      <w:bdr w:val="none" w:sz="0" w:space="0" w:color="auto"/>
      <w:shd w:val="clear" w:color="auto" w:fill="auto"/>
    </w:rPr>
  </w:style>
  <w:style w:type="paragraph" w:styleId="Footer0">
    <w:name w:val="footer"/>
    <w:basedOn w:val="Normal"/>
    <w:link w:val="FooterChar"/>
    <w:uiPriority w:val="98"/>
    <w:semiHidden/>
    <w:rsid w:val="00AD37F6"/>
    <w:pPr>
      <w:tabs>
        <w:tab w:val="center" w:pos="3686"/>
        <w:tab w:val="right" w:pos="7371"/>
      </w:tabs>
    </w:pPr>
  </w:style>
  <w:style w:type="character" w:customStyle="1" w:styleId="FooterChar">
    <w:name w:val="Footer Char"/>
    <w:basedOn w:val="DefaultParagraphFont"/>
    <w:link w:val="Footer0"/>
    <w:uiPriority w:val="98"/>
    <w:semiHidden/>
    <w:rsid w:val="00AD37F6"/>
    <w:rPr>
      <w:sz w:val="24"/>
      <w:szCs w:val="24"/>
      <w:lang w:val="bg-BG"/>
    </w:rPr>
  </w:style>
  <w:style w:type="character" w:styleId="FootnoteReference">
    <w:name w:val="footnote reference"/>
    <w:basedOn w:val="DefaultParagraphFont"/>
    <w:uiPriority w:val="98"/>
    <w:semiHidden/>
    <w:rsid w:val="00AD37F6"/>
    <w:rPr>
      <w:vertAlign w:val="superscript"/>
    </w:rPr>
  </w:style>
  <w:style w:type="paragraph" w:styleId="FootnoteText">
    <w:name w:val="footnote text"/>
    <w:basedOn w:val="NormalJustified"/>
    <w:link w:val="FootnoteTextChar"/>
    <w:uiPriority w:val="98"/>
    <w:semiHidden/>
    <w:rsid w:val="00AD37F6"/>
    <w:rPr>
      <w:sz w:val="20"/>
      <w:szCs w:val="20"/>
    </w:rPr>
  </w:style>
  <w:style w:type="character" w:customStyle="1" w:styleId="FootnoteTextChar">
    <w:name w:val="Footnote Text Char"/>
    <w:basedOn w:val="DefaultParagraphFont"/>
    <w:link w:val="FootnoteText"/>
    <w:uiPriority w:val="98"/>
    <w:semiHidden/>
    <w:rsid w:val="00AD37F6"/>
    <w:rPr>
      <w:sz w:val="20"/>
      <w:szCs w:val="20"/>
      <w:lang w:val="bg-BG"/>
    </w:rPr>
  </w:style>
  <w:style w:type="character" w:customStyle="1" w:styleId="Heading6Char">
    <w:name w:val="Heading 6 Char"/>
    <w:basedOn w:val="DefaultParagraphFont"/>
    <w:link w:val="Heading6"/>
    <w:uiPriority w:val="98"/>
    <w:semiHidden/>
    <w:rsid w:val="00AD37F6"/>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AD37F6"/>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AD37F6"/>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AD37F6"/>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AD37F6"/>
    <w:rPr>
      <w:color w:val="0072BC" w:themeColor="hyperlink"/>
      <w:u w:val="single"/>
    </w:rPr>
  </w:style>
  <w:style w:type="character" w:styleId="IntenseEmphasis">
    <w:name w:val="Intense Emphasis"/>
    <w:uiPriority w:val="98"/>
    <w:semiHidden/>
    <w:qFormat/>
    <w:rsid w:val="00AD37F6"/>
    <w:rPr>
      <w:b/>
      <w:bCs/>
    </w:rPr>
  </w:style>
  <w:style w:type="paragraph" w:styleId="IntenseQuote">
    <w:name w:val="Intense Quote"/>
    <w:basedOn w:val="Normal"/>
    <w:next w:val="Normal"/>
    <w:link w:val="IntenseQuoteChar"/>
    <w:uiPriority w:val="98"/>
    <w:semiHidden/>
    <w:qFormat/>
    <w:rsid w:val="00AD37F6"/>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AD37F6"/>
    <w:rPr>
      <w:b/>
      <w:bCs/>
      <w:i/>
      <w:iCs/>
      <w:sz w:val="24"/>
      <w:szCs w:val="24"/>
      <w:lang w:val="bg-BG" w:bidi="en-US"/>
    </w:rPr>
  </w:style>
  <w:style w:type="character" w:styleId="IntenseReference">
    <w:name w:val="Intense Reference"/>
    <w:uiPriority w:val="98"/>
    <w:semiHidden/>
    <w:qFormat/>
    <w:rsid w:val="00AD37F6"/>
    <w:rPr>
      <w:smallCaps/>
      <w:spacing w:val="5"/>
      <w:u w:val="single"/>
    </w:rPr>
  </w:style>
  <w:style w:type="paragraph" w:styleId="ListParagraph">
    <w:name w:val="List Paragraph"/>
    <w:basedOn w:val="Normal"/>
    <w:uiPriority w:val="98"/>
    <w:semiHidden/>
    <w:qFormat/>
    <w:rsid w:val="00AD37F6"/>
    <w:pPr>
      <w:ind w:left="720"/>
      <w:contextualSpacing/>
    </w:pPr>
  </w:style>
  <w:style w:type="table" w:customStyle="1" w:styleId="LtrTableAddress">
    <w:name w:val="Ltr_Table_Address"/>
    <w:aliases w:val="ECHR_Ltr_Table_Address"/>
    <w:basedOn w:val="TableNormal"/>
    <w:uiPriority w:val="99"/>
    <w:rsid w:val="00AD37F6"/>
    <w:rPr>
      <w:sz w:val="24"/>
      <w:szCs w:val="24"/>
    </w:rPr>
    <w:tblPr>
      <w:tblInd w:w="5103" w:type="dxa"/>
    </w:tblPr>
  </w:style>
  <w:style w:type="paragraph" w:styleId="Quote">
    <w:name w:val="Quote"/>
    <w:basedOn w:val="Normal"/>
    <w:next w:val="Normal"/>
    <w:link w:val="QuoteChar"/>
    <w:uiPriority w:val="98"/>
    <w:semiHidden/>
    <w:qFormat/>
    <w:rsid w:val="00AD37F6"/>
    <w:pPr>
      <w:spacing w:before="200"/>
      <w:ind w:left="360" w:right="360"/>
    </w:pPr>
    <w:rPr>
      <w:i/>
      <w:iCs/>
      <w:lang w:bidi="en-US"/>
    </w:rPr>
  </w:style>
  <w:style w:type="character" w:customStyle="1" w:styleId="QuoteChar">
    <w:name w:val="Quote Char"/>
    <w:basedOn w:val="DefaultParagraphFont"/>
    <w:link w:val="Quote"/>
    <w:uiPriority w:val="98"/>
    <w:semiHidden/>
    <w:rsid w:val="00AD37F6"/>
    <w:rPr>
      <w:i/>
      <w:iCs/>
      <w:sz w:val="24"/>
      <w:szCs w:val="24"/>
      <w:lang w:val="bg-BG" w:bidi="en-US"/>
    </w:rPr>
  </w:style>
  <w:style w:type="character" w:styleId="SubtleReference">
    <w:name w:val="Subtle Reference"/>
    <w:uiPriority w:val="98"/>
    <w:semiHidden/>
    <w:qFormat/>
    <w:rsid w:val="00AD37F6"/>
    <w:rPr>
      <w:smallCaps/>
    </w:rPr>
  </w:style>
  <w:style w:type="table" w:styleId="TableGrid">
    <w:name w:val="Table Grid"/>
    <w:basedOn w:val="TableNormal"/>
    <w:uiPriority w:val="59"/>
    <w:semiHidden/>
    <w:rsid w:val="00AD37F6"/>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AD37F6"/>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AD37F6"/>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AD37F6"/>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AD37F6"/>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AD37F6"/>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AD37F6"/>
    <w:pPr>
      <w:keepNext/>
      <w:keepLines/>
      <w:spacing w:before="240"/>
      <w:contextualSpacing/>
      <w:jc w:val="center"/>
    </w:pPr>
    <w:rPr>
      <w:rFonts w:asciiTheme="majorHAnsi" w:hAnsiTheme="majorHAnsi"/>
      <w:b/>
      <w:color w:val="424242" w:themeColor="accent3" w:themeShade="BF"/>
      <w:sz w:val="28"/>
    </w:rPr>
  </w:style>
  <w:style w:type="table" w:customStyle="1" w:styleId="UGTable">
    <w:name w:val="UG_Table"/>
    <w:aliases w:val="ECHR_UG_Table"/>
    <w:basedOn w:val="TableNormal"/>
    <w:uiPriority w:val="99"/>
    <w:rsid w:val="00AD37F6"/>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AD37F6"/>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AD37F6"/>
    <w:rPr>
      <w:color w:val="000000" w:themeColor="text1"/>
      <w:sz w:val="18"/>
      <w:szCs w:val="24"/>
    </w:rPr>
    <w:tblPr>
      <w:tblBorders>
        <w:top w:val="single" w:sz="8" w:space="0" w:color="9B9B9B" w:themeColor="accent3" w:themeTint="99"/>
        <w:left w:val="single" w:sz="8" w:space="0" w:color="9B9B9B" w:themeColor="accent3" w:themeTint="99"/>
        <w:bottom w:val="single" w:sz="8" w:space="0" w:color="9B9B9B" w:themeColor="accent3" w:themeTint="99"/>
        <w:right w:val="single" w:sz="8" w:space="0" w:color="9B9B9B" w:themeColor="accent3" w:themeTint="99"/>
        <w:insideH w:val="single" w:sz="8" w:space="0" w:color="9B9B9B" w:themeColor="accent3" w:themeTint="99"/>
        <w:insideV w:val="single" w:sz="8" w:space="0" w:color="9B9B9B"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AD37F6"/>
    <w:rPr>
      <w:color w:val="000000" w:themeColor="text1"/>
      <w:sz w:val="24"/>
      <w:szCs w:val="24"/>
    </w:rPr>
    <w:tblPr>
      <w:tblInd w:w="-680" w:type="dxa"/>
      <w:tblBorders>
        <w:insideH w:val="single" w:sz="4" w:space="0" w:color="B0B0B0" w:themeColor="text2"/>
        <w:insideV w:val="single" w:sz="4" w:space="0" w:color="B0B0B0" w:themeColor="text2"/>
      </w:tblBorders>
      <w:tblCellMar>
        <w:top w:w="142" w:type="dxa"/>
        <w:bottom w:w="142" w:type="dxa"/>
      </w:tblCellMar>
    </w:tblPr>
    <w:trPr>
      <w:cantSplit/>
    </w:trPr>
  </w:style>
  <w:style w:type="table" w:customStyle="1" w:styleId="ECHRTableMemo">
    <w:name w:val="ECHR_Table_Memo"/>
    <w:basedOn w:val="TableNormal"/>
    <w:uiPriority w:val="99"/>
    <w:rsid w:val="00AD37F6"/>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838383" w:themeColor="text2" w:themeShade="BF"/>
          <w:right w:val="nil"/>
          <w:insideH w:val="nil"/>
          <w:insideV w:val="nil"/>
          <w:tl2br w:val="nil"/>
          <w:tr2bl w:val="nil"/>
        </w:tcBorders>
      </w:tcPr>
    </w:tblStylePr>
  </w:style>
  <w:style w:type="table" w:customStyle="1" w:styleId="ECHRDNTable">
    <w:name w:val="ECHR_DN_Table"/>
    <w:basedOn w:val="TableNormal"/>
    <w:uiPriority w:val="99"/>
    <w:rsid w:val="00AD37F6"/>
    <w:rPr>
      <w:sz w:val="24"/>
      <w:szCs w:val="24"/>
    </w:rPr>
    <w:tblPr>
      <w:jc w:val="center"/>
      <w:tblBorders>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nil"/>
          <w:right w:val="single" w:sz="4" w:space="0" w:color="838383"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AD37F6"/>
    <w:pPr>
      <w:keepNext/>
      <w:keepLines/>
      <w:spacing w:before="240"/>
      <w:contextualSpacing/>
      <w:jc w:val="center"/>
    </w:pPr>
    <w:rPr>
      <w:rFonts w:asciiTheme="majorHAnsi" w:eastAsiaTheme="majorEastAsia" w:hAnsiTheme="majorHAnsi" w:cstheme="majorBidi"/>
      <w:b/>
      <w:bCs/>
      <w:color w:val="424242" w:themeColor="accent3" w:themeShade="BF"/>
      <w:sz w:val="28"/>
    </w:rPr>
  </w:style>
  <w:style w:type="paragraph" w:styleId="Subtitle">
    <w:name w:val="Subtitle"/>
    <w:basedOn w:val="Normal"/>
    <w:next w:val="Normal"/>
    <w:link w:val="SubtitleChar"/>
    <w:uiPriority w:val="98"/>
    <w:semiHidden/>
    <w:qFormat/>
    <w:rsid w:val="00AD37F6"/>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AD37F6"/>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AD37F6"/>
    <w:pPr>
      <w:numPr>
        <w:numId w:val="4"/>
      </w:numPr>
    </w:pPr>
  </w:style>
  <w:style w:type="paragraph" w:customStyle="1" w:styleId="JuPara">
    <w:name w:val="Ju_Para"/>
    <w:aliases w:val="_Para"/>
    <w:basedOn w:val="NormalJustified"/>
    <w:link w:val="JuParaChar"/>
    <w:uiPriority w:val="4"/>
    <w:qFormat/>
    <w:rsid w:val="00AD37F6"/>
    <w:pPr>
      <w:ind w:firstLine="284"/>
    </w:pPr>
  </w:style>
  <w:style w:type="numbering" w:styleId="1ai">
    <w:name w:val="Outline List 1"/>
    <w:basedOn w:val="NoList"/>
    <w:uiPriority w:val="99"/>
    <w:semiHidden/>
    <w:unhideWhenUsed/>
    <w:rsid w:val="00AD37F6"/>
    <w:pPr>
      <w:numPr>
        <w:numId w:val="5"/>
      </w:numPr>
    </w:pPr>
  </w:style>
  <w:style w:type="table" w:customStyle="1" w:styleId="ECHRTableSimpleBox">
    <w:name w:val="ECHR_Table_Simple_Box"/>
    <w:basedOn w:val="TableNormal"/>
    <w:uiPriority w:val="99"/>
    <w:rsid w:val="00AD37F6"/>
    <w:rPr>
      <w:sz w:val="24"/>
      <w:szCs w:val="24"/>
    </w:rPr>
    <w:tblPr>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tblBorders>
      <w:tblCellMar>
        <w:top w:w="113" w:type="dxa"/>
        <w:bottom w:w="113" w:type="dxa"/>
      </w:tblCellMar>
    </w:tblPr>
  </w:style>
  <w:style w:type="table" w:customStyle="1" w:styleId="ECHRTableNoLines">
    <w:name w:val="ECHR_Table_No_Lines"/>
    <w:basedOn w:val="TableNormal"/>
    <w:uiPriority w:val="99"/>
    <w:rsid w:val="00AD37F6"/>
    <w:rPr>
      <w:sz w:val="24"/>
      <w:szCs w:val="24"/>
    </w:rPr>
    <w:tblPr>
      <w:tblCellMar>
        <w:top w:w="85" w:type="dxa"/>
        <w:left w:w="142" w:type="dxa"/>
        <w:bottom w:w="28" w:type="dxa"/>
        <w:right w:w="142" w:type="dxa"/>
      </w:tblCellMar>
    </w:tblPr>
    <w:tblStylePr w:type="firstRow">
      <w:rPr>
        <w:rFonts w:asciiTheme="majorHAnsi" w:hAnsiTheme="majorHAnsi"/>
        <w:b/>
        <w:i w:val="0"/>
        <w:color w:val="424242" w:themeColor="accent3" w:themeShade="BF"/>
        <w:sz w:val="24"/>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tcPr>
    </w:tblStylePr>
  </w:style>
  <w:style w:type="numbering" w:styleId="ArticleSection">
    <w:name w:val="Outline List 3"/>
    <w:basedOn w:val="NoList"/>
    <w:uiPriority w:val="99"/>
    <w:semiHidden/>
    <w:unhideWhenUsed/>
    <w:rsid w:val="00AD37F6"/>
    <w:pPr>
      <w:numPr>
        <w:numId w:val="6"/>
      </w:numPr>
    </w:pPr>
  </w:style>
  <w:style w:type="table" w:customStyle="1" w:styleId="ECHRTableForInternalUse">
    <w:name w:val="ECHR_Table_For_Internal_Use"/>
    <w:basedOn w:val="TableNormal"/>
    <w:uiPriority w:val="99"/>
    <w:rsid w:val="00AD37F6"/>
    <w:rPr>
      <w:color w:val="585858"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tblStylePr w:type="band1Vert">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l2br w:val="nil"/>
          <w:tr2bl w:val="nil"/>
        </w:tcBorders>
      </w:tcPr>
    </w:tblStylePr>
  </w:style>
  <w:style w:type="table" w:customStyle="1" w:styleId="ECHRListTable">
    <w:name w:val="ECHR_List_Table"/>
    <w:basedOn w:val="TableNormal"/>
    <w:uiPriority w:val="99"/>
    <w:rsid w:val="00AD37F6"/>
    <w:rPr>
      <w:sz w:val="24"/>
      <w:szCs w:val="24"/>
    </w:rPr>
    <w:tblPr>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b/>
        <w:color w:val="424242" w:themeColor="accent3" w:themeShade="BF"/>
      </w:rPr>
      <w:tblPr/>
      <w:trPr>
        <w:tblHeader/>
      </w:tr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AD37F6"/>
  </w:style>
  <w:style w:type="paragraph" w:styleId="BlockText">
    <w:name w:val="Block Text"/>
    <w:basedOn w:val="Normal"/>
    <w:uiPriority w:val="98"/>
    <w:semiHidden/>
    <w:rsid w:val="00AD37F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AD37F6"/>
    <w:rPr>
      <w:sz w:val="24"/>
      <w:szCs w:val="24"/>
    </w:rPr>
    <w:tblPr>
      <w:tblInd w:w="-1474" w:type="dxa"/>
      <w:tblBorders>
        <w:bottom w:val="single" w:sz="6" w:space="0" w:color="838383"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AD37F6"/>
    <w:pPr>
      <w:spacing w:after="120"/>
    </w:pPr>
  </w:style>
  <w:style w:type="character" w:customStyle="1" w:styleId="BodyTextChar">
    <w:name w:val="Body Text Char"/>
    <w:basedOn w:val="DefaultParagraphFont"/>
    <w:link w:val="BodyText"/>
    <w:uiPriority w:val="98"/>
    <w:semiHidden/>
    <w:rsid w:val="00AD37F6"/>
    <w:rPr>
      <w:sz w:val="24"/>
      <w:szCs w:val="24"/>
      <w:lang w:val="bg-BG"/>
    </w:rPr>
  </w:style>
  <w:style w:type="table" w:customStyle="1" w:styleId="ECHRTableOddBanded">
    <w:name w:val="ECHR_Table_Odd_Banded"/>
    <w:basedOn w:val="TableNormal"/>
    <w:uiPriority w:val="99"/>
    <w:rsid w:val="00AD37F6"/>
    <w:tblPr>
      <w:tblStyleRowBandSize w:val="1"/>
      <w:tblStyleColBandSize w:val="1"/>
      <w:tbl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single" w:sz="4" w:space="0" w:color="838383" w:themeColor="text2" w:themeShade="BF"/>
        <w:insideV w:val="single" w:sz="4" w:space="0" w:color="838383" w:themeColor="text2" w:themeShade="BF"/>
      </w:tblBorders>
      <w:tblCellMar>
        <w:top w:w="28" w:type="dxa"/>
        <w:bottom w:w="28" w:type="dxa"/>
      </w:tblCellMar>
    </w:tblPr>
    <w:tblStylePr w:type="firstRow">
      <w:rPr>
        <w:rFonts w:asciiTheme="majorHAnsi" w:hAnsiTheme="majorHAnsi"/>
        <w:b/>
        <w:i w:val="0"/>
        <w:color w:val="424242" w:themeColor="accent3" w:themeShade="BF"/>
        <w:sz w:val="22"/>
      </w:rPr>
      <w:tblPr/>
      <w:tcPr>
        <w:tcBorders>
          <w:top w:val="single" w:sz="4" w:space="0" w:color="838383" w:themeColor="text2" w:themeShade="BF"/>
          <w:left w:val="single" w:sz="4" w:space="0" w:color="838383" w:themeColor="text2" w:themeShade="BF"/>
          <w:bottom w:val="single" w:sz="4" w:space="0" w:color="838383" w:themeColor="text2" w:themeShade="BF"/>
          <w:right w:val="single" w:sz="4" w:space="0" w:color="838383" w:themeColor="text2" w:themeShade="BF"/>
          <w:insideH w:val="nil"/>
          <w:insideV w:val="single" w:sz="4" w:space="0" w:color="838383"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AD37F6"/>
    <w:pPr>
      <w:spacing w:after="120" w:line="480" w:lineRule="auto"/>
    </w:pPr>
  </w:style>
  <w:style w:type="table" w:customStyle="1" w:styleId="ECHRHeaderTableReduced">
    <w:name w:val="ECHR_Header_Table_Reduced"/>
    <w:basedOn w:val="TableNormal"/>
    <w:uiPriority w:val="99"/>
    <w:rsid w:val="00AD37F6"/>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838383" w:themeColor="text2" w:themeShade="BF"/>
          <w:right w:val="nil"/>
          <w:insideH w:val="nil"/>
          <w:insideV w:val="nil"/>
          <w:tl2br w:val="nil"/>
          <w:tr2bl w:val="nil"/>
        </w:tcBorders>
      </w:tcPr>
    </w:tblStylePr>
    <w:tblStylePr w:type="lastRow">
      <w:pPr>
        <w:jc w:val="right"/>
      </w:pPr>
      <w:tblPr/>
      <w:tcPr>
        <w:tcBorders>
          <w:top w:val="single" w:sz="6" w:space="0" w:color="838383"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AD37F6"/>
    <w:pPr>
      <w:ind w:firstLine="284"/>
    </w:pPr>
    <w:rPr>
      <w:b/>
    </w:rPr>
  </w:style>
  <w:style w:type="character" w:styleId="PageNumber">
    <w:name w:val="page number"/>
    <w:uiPriority w:val="98"/>
    <w:semiHidden/>
    <w:rsid w:val="00AD37F6"/>
    <w:rPr>
      <w:sz w:val="18"/>
    </w:rPr>
  </w:style>
  <w:style w:type="paragraph" w:styleId="ListBullet2">
    <w:name w:val="List Bullet 2"/>
    <w:basedOn w:val="Normal"/>
    <w:uiPriority w:val="98"/>
    <w:semiHidden/>
    <w:rsid w:val="00AD37F6"/>
    <w:pPr>
      <w:numPr>
        <w:numId w:val="8"/>
      </w:numPr>
      <w:contextualSpacing/>
    </w:pPr>
  </w:style>
  <w:style w:type="character" w:customStyle="1" w:styleId="BodyText2Char">
    <w:name w:val="Body Text 2 Char"/>
    <w:basedOn w:val="DefaultParagraphFont"/>
    <w:link w:val="BodyText2"/>
    <w:uiPriority w:val="98"/>
    <w:semiHidden/>
    <w:rsid w:val="00AD37F6"/>
    <w:rPr>
      <w:sz w:val="24"/>
      <w:szCs w:val="24"/>
      <w:lang w:val="bg-BG"/>
    </w:rPr>
  </w:style>
  <w:style w:type="paragraph" w:styleId="BodyText3">
    <w:name w:val="Body Text 3"/>
    <w:basedOn w:val="Normal"/>
    <w:link w:val="BodyText3Char"/>
    <w:uiPriority w:val="98"/>
    <w:semiHidden/>
    <w:rsid w:val="00AD37F6"/>
    <w:pPr>
      <w:spacing w:after="120"/>
    </w:pPr>
    <w:rPr>
      <w:sz w:val="16"/>
      <w:szCs w:val="16"/>
    </w:rPr>
  </w:style>
  <w:style w:type="character" w:customStyle="1" w:styleId="BodyText3Char">
    <w:name w:val="Body Text 3 Char"/>
    <w:basedOn w:val="DefaultParagraphFont"/>
    <w:link w:val="BodyText3"/>
    <w:uiPriority w:val="98"/>
    <w:semiHidden/>
    <w:rsid w:val="00AD37F6"/>
    <w:rPr>
      <w:sz w:val="16"/>
      <w:szCs w:val="16"/>
      <w:lang w:val="bg-BG"/>
    </w:rPr>
  </w:style>
  <w:style w:type="paragraph" w:styleId="BodyTextFirstIndent">
    <w:name w:val="Body Text First Indent"/>
    <w:basedOn w:val="BodyText"/>
    <w:link w:val="BodyTextFirstIndentChar"/>
    <w:uiPriority w:val="98"/>
    <w:semiHidden/>
    <w:rsid w:val="00AD37F6"/>
    <w:pPr>
      <w:spacing w:after="0"/>
      <w:ind w:firstLine="360"/>
    </w:pPr>
  </w:style>
  <w:style w:type="character" w:customStyle="1" w:styleId="BodyTextFirstIndentChar">
    <w:name w:val="Body Text First Indent Char"/>
    <w:basedOn w:val="BodyTextChar"/>
    <w:link w:val="BodyTextFirstIndent"/>
    <w:uiPriority w:val="98"/>
    <w:semiHidden/>
    <w:rsid w:val="00AD37F6"/>
    <w:rPr>
      <w:sz w:val="24"/>
      <w:szCs w:val="24"/>
      <w:lang w:val="bg-BG"/>
    </w:rPr>
  </w:style>
  <w:style w:type="paragraph" w:styleId="BodyTextIndent">
    <w:name w:val="Body Text Indent"/>
    <w:basedOn w:val="Normal"/>
    <w:link w:val="BodyTextIndentChar"/>
    <w:uiPriority w:val="98"/>
    <w:semiHidden/>
    <w:rsid w:val="00AD37F6"/>
    <w:pPr>
      <w:spacing w:after="120"/>
      <w:ind w:left="283"/>
    </w:pPr>
  </w:style>
  <w:style w:type="character" w:customStyle="1" w:styleId="BodyTextIndentChar">
    <w:name w:val="Body Text Indent Char"/>
    <w:basedOn w:val="DefaultParagraphFont"/>
    <w:link w:val="BodyTextIndent"/>
    <w:uiPriority w:val="98"/>
    <w:semiHidden/>
    <w:rsid w:val="00AD37F6"/>
    <w:rPr>
      <w:sz w:val="24"/>
      <w:szCs w:val="24"/>
      <w:lang w:val="bg-BG"/>
    </w:rPr>
  </w:style>
  <w:style w:type="paragraph" w:styleId="BodyTextFirstIndent2">
    <w:name w:val="Body Text First Indent 2"/>
    <w:basedOn w:val="BodyTextIndent"/>
    <w:link w:val="BodyTextFirstIndent2Char"/>
    <w:uiPriority w:val="98"/>
    <w:semiHidden/>
    <w:rsid w:val="00AD37F6"/>
    <w:pPr>
      <w:spacing w:after="0"/>
      <w:ind w:left="360" w:firstLine="360"/>
    </w:pPr>
  </w:style>
  <w:style w:type="character" w:customStyle="1" w:styleId="BodyTextFirstIndent2Char">
    <w:name w:val="Body Text First Indent 2 Char"/>
    <w:basedOn w:val="BodyTextIndentChar"/>
    <w:link w:val="BodyTextFirstIndent2"/>
    <w:uiPriority w:val="98"/>
    <w:semiHidden/>
    <w:rsid w:val="00AD37F6"/>
    <w:rPr>
      <w:sz w:val="24"/>
      <w:szCs w:val="24"/>
      <w:lang w:val="bg-BG"/>
    </w:rPr>
  </w:style>
  <w:style w:type="paragraph" w:styleId="BodyTextIndent2">
    <w:name w:val="Body Text Indent 2"/>
    <w:basedOn w:val="Normal"/>
    <w:link w:val="BodyTextIndent2Char"/>
    <w:uiPriority w:val="98"/>
    <w:semiHidden/>
    <w:rsid w:val="00AD37F6"/>
    <w:pPr>
      <w:spacing w:after="120" w:line="480" w:lineRule="auto"/>
      <w:ind w:left="283"/>
    </w:pPr>
  </w:style>
  <w:style w:type="character" w:customStyle="1" w:styleId="BodyTextIndent2Char">
    <w:name w:val="Body Text Indent 2 Char"/>
    <w:basedOn w:val="DefaultParagraphFont"/>
    <w:link w:val="BodyTextIndent2"/>
    <w:uiPriority w:val="98"/>
    <w:semiHidden/>
    <w:rsid w:val="00AD37F6"/>
    <w:rPr>
      <w:sz w:val="24"/>
      <w:szCs w:val="24"/>
      <w:lang w:val="bg-BG"/>
    </w:rPr>
  </w:style>
  <w:style w:type="paragraph" w:styleId="BodyTextIndent3">
    <w:name w:val="Body Text Indent 3"/>
    <w:basedOn w:val="Normal"/>
    <w:link w:val="BodyTextIndent3Char"/>
    <w:uiPriority w:val="98"/>
    <w:semiHidden/>
    <w:rsid w:val="00AD37F6"/>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AD37F6"/>
    <w:rPr>
      <w:sz w:val="16"/>
      <w:szCs w:val="16"/>
      <w:lang w:val="bg-BG"/>
    </w:rPr>
  </w:style>
  <w:style w:type="paragraph" w:styleId="Caption">
    <w:name w:val="caption"/>
    <w:basedOn w:val="Normal"/>
    <w:next w:val="Normal"/>
    <w:uiPriority w:val="98"/>
    <w:semiHidden/>
    <w:qFormat/>
    <w:rsid w:val="00AD37F6"/>
    <w:pPr>
      <w:spacing w:after="200"/>
    </w:pPr>
    <w:rPr>
      <w:b/>
      <w:bCs/>
      <w:color w:val="0072BC" w:themeColor="accent1"/>
      <w:sz w:val="18"/>
      <w:szCs w:val="18"/>
    </w:rPr>
  </w:style>
  <w:style w:type="paragraph" w:styleId="Closing">
    <w:name w:val="Closing"/>
    <w:basedOn w:val="Normal"/>
    <w:link w:val="ClosingChar"/>
    <w:uiPriority w:val="98"/>
    <w:semiHidden/>
    <w:rsid w:val="00AD37F6"/>
    <w:pPr>
      <w:ind w:left="4252"/>
    </w:pPr>
  </w:style>
  <w:style w:type="character" w:customStyle="1" w:styleId="ClosingChar">
    <w:name w:val="Closing Char"/>
    <w:basedOn w:val="DefaultParagraphFont"/>
    <w:link w:val="Closing"/>
    <w:uiPriority w:val="98"/>
    <w:semiHidden/>
    <w:rsid w:val="00AD37F6"/>
    <w:rPr>
      <w:sz w:val="24"/>
      <w:szCs w:val="24"/>
      <w:lang w:val="bg-BG"/>
    </w:rPr>
  </w:style>
  <w:style w:type="table" w:styleId="ColorfulGrid">
    <w:name w:val="Colorful Grid"/>
    <w:basedOn w:val="TableNormal"/>
    <w:uiPriority w:val="73"/>
    <w:semiHidden/>
    <w:rsid w:val="00AD37F6"/>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D37F6"/>
    <w:rPr>
      <w:color w:val="000000" w:themeColor="text1"/>
      <w:sz w:val="24"/>
      <w:szCs w:val="24"/>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FFFFFF" w:themeColor="background1"/>
      </w:rPr>
      <w:tblPr/>
      <w:tcPr>
        <w:shd w:val="clear" w:color="auto" w:fill="00548C" w:themeFill="accent1" w:themeFillShade="BF"/>
      </w:tcPr>
    </w:tblStylePr>
    <w:tblStylePr w:type="lastCol">
      <w:rPr>
        <w:color w:val="FFFFFF"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AD37F6"/>
    <w:rPr>
      <w:color w:val="000000" w:themeColor="text1"/>
      <w:sz w:val="24"/>
      <w:szCs w:val="24"/>
    </w:rPr>
    <w:tblPr>
      <w:tblStyleRowBandSize w:val="1"/>
      <w:tblStyleColBandSize w:val="1"/>
      <w:tblBorders>
        <w:insideH w:val="single" w:sz="4" w:space="0" w:color="FFFFFF"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FFFFFF" w:themeColor="background1"/>
      </w:rPr>
      <w:tblPr/>
      <w:tcPr>
        <w:shd w:val="clear" w:color="auto" w:fill="8F0000" w:themeFill="accent2" w:themeFillShade="BF"/>
      </w:tcPr>
    </w:tblStylePr>
    <w:tblStylePr w:type="lastCol">
      <w:rPr>
        <w:color w:val="FFFFFF"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AD37F6"/>
    <w:rPr>
      <w:color w:val="000000" w:themeColor="text1"/>
      <w:sz w:val="24"/>
      <w:szCs w:val="24"/>
    </w:rPr>
    <w:tblPr>
      <w:tblStyleRowBandSize w:val="1"/>
      <w:tblStyleColBandSize w:val="1"/>
      <w:tblBorders>
        <w:insideH w:val="single" w:sz="4" w:space="0" w:color="FFFFFF" w:themeColor="background1"/>
      </w:tblBorders>
    </w:tblPr>
    <w:tcPr>
      <w:shd w:val="clear" w:color="auto" w:fill="DDDDDD" w:themeFill="accent3" w:themeFillTint="33"/>
    </w:tcPr>
    <w:tblStylePr w:type="firstRow">
      <w:rPr>
        <w:b/>
        <w:bCs/>
      </w:rPr>
      <w:tblPr/>
      <w:tcPr>
        <w:shd w:val="clear" w:color="auto" w:fill="BCBCBC" w:themeFill="accent3" w:themeFillTint="66"/>
      </w:tcPr>
    </w:tblStylePr>
    <w:tblStylePr w:type="lastRow">
      <w:rPr>
        <w:b/>
        <w:bCs/>
        <w:color w:val="000000" w:themeColor="text1"/>
      </w:rPr>
      <w:tblPr/>
      <w:tcPr>
        <w:shd w:val="clear" w:color="auto" w:fill="BCBCBC" w:themeFill="accent3" w:themeFillTint="66"/>
      </w:tcPr>
    </w:tblStylePr>
    <w:tblStylePr w:type="firstCol">
      <w:rPr>
        <w:color w:val="FFFFFF" w:themeColor="background1"/>
      </w:rPr>
      <w:tblPr/>
      <w:tcPr>
        <w:shd w:val="clear" w:color="auto" w:fill="424242" w:themeFill="accent3" w:themeFillShade="BF"/>
      </w:tcPr>
    </w:tblStylePr>
    <w:tblStylePr w:type="lastCol">
      <w:rPr>
        <w:color w:val="FFFFFF" w:themeColor="background1"/>
      </w:rPr>
      <w:tblPr/>
      <w:tcPr>
        <w:shd w:val="clear" w:color="auto" w:fill="424242" w:themeFill="accent3" w:themeFillShade="BF"/>
      </w:tc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ColorfulGrid-Accent4">
    <w:name w:val="Colorful Grid Accent 4"/>
    <w:basedOn w:val="TableNormal"/>
    <w:uiPriority w:val="73"/>
    <w:semiHidden/>
    <w:rsid w:val="00AD37F6"/>
    <w:rPr>
      <w:color w:val="000000" w:themeColor="text1"/>
      <w:sz w:val="24"/>
      <w:szCs w:val="24"/>
    </w:rPr>
    <w:tblPr>
      <w:tblStyleRowBandSize w:val="1"/>
      <w:tblStyleColBandSize w:val="1"/>
      <w:tblBorders>
        <w:insideH w:val="single" w:sz="4" w:space="0" w:color="FFFFFF"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FFFFFF" w:themeColor="background1"/>
      </w:rPr>
      <w:tblPr/>
      <w:tcPr>
        <w:shd w:val="clear" w:color="auto" w:fill="707070" w:themeFill="accent4" w:themeFillShade="BF"/>
      </w:tcPr>
    </w:tblStylePr>
    <w:tblStylePr w:type="lastCol">
      <w:rPr>
        <w:color w:val="FFFFFF"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AD37F6"/>
    <w:rPr>
      <w:color w:val="000000" w:themeColor="text1"/>
      <w:sz w:val="24"/>
      <w:szCs w:val="24"/>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AD37F6"/>
    <w:rPr>
      <w:color w:val="000000" w:themeColor="text1"/>
      <w:sz w:val="24"/>
      <w:szCs w:val="24"/>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AD37F6"/>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D37F6"/>
    <w:rPr>
      <w:color w:val="000000" w:themeColor="text1"/>
      <w:sz w:val="24"/>
      <w:szCs w:val="24"/>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AD37F6"/>
    <w:rPr>
      <w:color w:val="000000" w:themeColor="text1"/>
      <w:sz w:val="24"/>
      <w:szCs w:val="24"/>
    </w:rPr>
    <w:tblPr>
      <w:tblStyleRowBandSize w:val="1"/>
      <w:tblStyleColBandSize w:val="1"/>
    </w:tblPr>
    <w:tcPr>
      <w:shd w:val="clear" w:color="auto" w:fill="FFDFDF" w:themeFill="accent2" w:themeFillTint="19"/>
    </w:tcPr>
    <w:tblStylePr w:type="firstRow">
      <w:rPr>
        <w:b/>
        <w:bCs/>
        <w:color w:val="FFFFFF" w:themeColor="background1"/>
      </w:rPr>
      <w:tblPr/>
      <w:tcPr>
        <w:tcBorders>
          <w:bottom w:val="single" w:sz="12" w:space="0" w:color="FFFFFF"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AD37F6"/>
    <w:rPr>
      <w:color w:val="000000" w:themeColor="text1"/>
      <w:sz w:val="24"/>
      <w:szCs w:val="24"/>
    </w:rPr>
    <w:tblPr>
      <w:tblStyleRowBandSize w:val="1"/>
      <w:tblStyleColBandSize w:val="1"/>
    </w:tblPr>
    <w:tcPr>
      <w:shd w:val="clear" w:color="auto" w:fill="EEEEEE" w:themeFill="accent3" w:themeFillTint="19"/>
    </w:tcPr>
    <w:tblStylePr w:type="firstRow">
      <w:rPr>
        <w:b/>
        <w:bCs/>
        <w:color w:val="FFFFFF" w:themeColor="background1"/>
      </w:rPr>
      <w:tblPr/>
      <w:tcPr>
        <w:tcBorders>
          <w:bottom w:val="single" w:sz="12" w:space="0" w:color="FFFFFF"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3" w:themeFillTint="3F"/>
      </w:tcPr>
    </w:tblStylePr>
    <w:tblStylePr w:type="band1Horz">
      <w:tblPr/>
      <w:tcPr>
        <w:shd w:val="clear" w:color="auto" w:fill="DDDDDD" w:themeFill="accent3" w:themeFillTint="33"/>
      </w:tcPr>
    </w:tblStylePr>
  </w:style>
  <w:style w:type="table" w:styleId="ColorfulList-Accent4">
    <w:name w:val="Colorful List Accent 4"/>
    <w:basedOn w:val="TableNormal"/>
    <w:uiPriority w:val="72"/>
    <w:semiHidden/>
    <w:rsid w:val="00AD37F6"/>
    <w:rPr>
      <w:color w:val="000000" w:themeColor="text1"/>
      <w:sz w:val="24"/>
      <w:szCs w:val="24"/>
    </w:rPr>
    <w:tblPr>
      <w:tblStyleRowBandSize w:val="1"/>
      <w:tblStyleColBandSize w:val="1"/>
    </w:tblPr>
    <w:tcPr>
      <w:shd w:val="clear" w:color="auto" w:fill="F4F4F4" w:themeFill="accent4" w:themeFillTint="19"/>
    </w:tcPr>
    <w:tblStylePr w:type="firstRow">
      <w:rPr>
        <w:b/>
        <w:bCs/>
        <w:color w:val="FFFFFF" w:themeColor="background1"/>
      </w:rPr>
      <w:tblPr/>
      <w:tcPr>
        <w:tcBorders>
          <w:bottom w:val="single" w:sz="12" w:space="0" w:color="FFFFFF" w:themeColor="background1"/>
        </w:tcBorders>
        <w:shd w:val="clear" w:color="auto" w:fill="474747" w:themeFill="accent3" w:themeFillShade="CC"/>
      </w:tcPr>
    </w:tblStylePr>
    <w:tblStylePr w:type="lastRow">
      <w:rPr>
        <w:b/>
        <w:bCs/>
        <w:color w:val="4747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AD37F6"/>
    <w:rPr>
      <w:color w:val="000000" w:themeColor="text1"/>
      <w:sz w:val="24"/>
      <w:szCs w:val="24"/>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AD37F6"/>
    <w:rPr>
      <w:color w:val="000000" w:themeColor="text1"/>
      <w:sz w:val="24"/>
      <w:szCs w:val="24"/>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AD37F6"/>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D37F6"/>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0" w:themeFill="accent1" w:themeFillShade="99"/>
      </w:tcPr>
    </w:tblStylePr>
    <w:tblStylePr w:type="firstCol">
      <w:rPr>
        <w:color w:val="FFFFFF"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D37F6"/>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FFFFFF" w:themeColor="background1"/>
        <w:insideV w:val="single" w:sz="4" w:space="0" w:color="FFFFFF"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2" w:themeFillShade="99"/>
      </w:tcPr>
    </w:tblStylePr>
    <w:tblStylePr w:type="firstCol">
      <w:rPr>
        <w:color w:val="FFFFFF"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D37F6"/>
    <w:rPr>
      <w:color w:val="000000" w:themeColor="text1"/>
      <w:sz w:val="24"/>
      <w:szCs w:val="24"/>
    </w:rPr>
    <w:tblPr>
      <w:tblStyleRowBandSize w:val="1"/>
      <w:tblStyleColBandSize w:val="1"/>
      <w:tblBorders>
        <w:top w:val="single" w:sz="24" w:space="0" w:color="969696" w:themeColor="accent4"/>
        <w:left w:val="single" w:sz="4" w:space="0" w:color="595959" w:themeColor="accent3"/>
        <w:bottom w:val="single" w:sz="4" w:space="0" w:color="595959" w:themeColor="accent3"/>
        <w:right w:val="single" w:sz="4" w:space="0" w:color="595959" w:themeColor="accent3"/>
        <w:insideH w:val="single" w:sz="4" w:space="0" w:color="FFFFFF" w:themeColor="background1"/>
        <w:insideV w:val="single" w:sz="4" w:space="0" w:color="FFFFFF" w:themeColor="background1"/>
      </w:tblBorders>
    </w:tblPr>
    <w:tcPr>
      <w:shd w:val="clear" w:color="auto" w:fill="EEEEEE"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3535" w:themeFill="accent3" w:themeFillShade="99"/>
      </w:tcPr>
    </w:tblStylePr>
    <w:tblStylePr w:type="firstCol">
      <w:rPr>
        <w:color w:val="FFFFFF" w:themeColor="background1"/>
      </w:rPr>
      <w:tblPr/>
      <w:tcPr>
        <w:tcBorders>
          <w:top w:val="nil"/>
          <w:left w:val="nil"/>
          <w:bottom w:val="nil"/>
          <w:right w:val="nil"/>
          <w:insideH w:val="single" w:sz="4" w:space="0" w:color="353535" w:themeColor="accent3" w:themeShade="99"/>
          <w:insideV w:val="nil"/>
        </w:tcBorders>
        <w:shd w:val="clear" w:color="auto" w:fill="353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53535" w:themeFill="accent3" w:themeFillShade="99"/>
      </w:tcPr>
    </w:tblStylePr>
    <w:tblStylePr w:type="band1Vert">
      <w:tblPr/>
      <w:tcPr>
        <w:shd w:val="clear" w:color="auto" w:fill="BCBCBC" w:themeFill="accent3" w:themeFillTint="66"/>
      </w:tcPr>
    </w:tblStylePr>
    <w:tblStylePr w:type="band1Horz">
      <w:tblPr/>
      <w:tcPr>
        <w:shd w:val="clear" w:color="auto" w:fill="ACACAC" w:themeFill="accent3" w:themeFillTint="7F"/>
      </w:tcPr>
    </w:tblStylePr>
  </w:style>
  <w:style w:type="table" w:styleId="ColorfulShading-Accent4">
    <w:name w:val="Colorful Shading Accent 4"/>
    <w:basedOn w:val="TableNormal"/>
    <w:uiPriority w:val="71"/>
    <w:semiHidden/>
    <w:rsid w:val="00AD37F6"/>
    <w:rPr>
      <w:color w:val="000000" w:themeColor="text1"/>
      <w:sz w:val="24"/>
      <w:szCs w:val="24"/>
    </w:rPr>
    <w:tblPr>
      <w:tblStyleRowBandSize w:val="1"/>
      <w:tblStyleColBandSize w:val="1"/>
      <w:tblBorders>
        <w:top w:val="single" w:sz="24" w:space="0" w:color="595959" w:themeColor="accent3"/>
        <w:left w:val="single" w:sz="4" w:space="0" w:color="969696" w:themeColor="accent4"/>
        <w:bottom w:val="single" w:sz="4" w:space="0" w:color="969696" w:themeColor="accent4"/>
        <w:right w:val="single" w:sz="4" w:space="0" w:color="969696" w:themeColor="accent4"/>
        <w:insideH w:val="single" w:sz="4" w:space="0" w:color="FFFFFF" w:themeColor="background1"/>
        <w:insideV w:val="single" w:sz="4" w:space="0" w:color="FFFFFF" w:themeColor="background1"/>
      </w:tblBorders>
    </w:tblPr>
    <w:tcPr>
      <w:shd w:val="clear" w:color="auto" w:fill="F4F4F4" w:themeFill="accent4" w:themeFillTint="19"/>
    </w:tcPr>
    <w:tblStylePr w:type="firstRow">
      <w:rPr>
        <w:b/>
        <w:bCs/>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4" w:themeFillShade="99"/>
      </w:tcPr>
    </w:tblStylePr>
    <w:tblStylePr w:type="firstCol">
      <w:rPr>
        <w:color w:val="FFFFFF"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D37F6"/>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D37F6"/>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AD37F6"/>
    <w:rPr>
      <w:sz w:val="16"/>
      <w:szCs w:val="16"/>
    </w:rPr>
  </w:style>
  <w:style w:type="paragraph" w:styleId="CommentText">
    <w:name w:val="annotation text"/>
    <w:basedOn w:val="Normal"/>
    <w:link w:val="CommentTextChar"/>
    <w:uiPriority w:val="98"/>
    <w:semiHidden/>
    <w:rsid w:val="00AD37F6"/>
    <w:rPr>
      <w:sz w:val="20"/>
      <w:szCs w:val="20"/>
    </w:rPr>
  </w:style>
  <w:style w:type="character" w:customStyle="1" w:styleId="CommentTextChar">
    <w:name w:val="Comment Text Char"/>
    <w:basedOn w:val="DefaultParagraphFont"/>
    <w:link w:val="CommentText"/>
    <w:uiPriority w:val="98"/>
    <w:semiHidden/>
    <w:rsid w:val="00AD37F6"/>
    <w:rPr>
      <w:sz w:val="20"/>
      <w:szCs w:val="20"/>
      <w:lang w:val="bg-BG"/>
    </w:rPr>
  </w:style>
  <w:style w:type="paragraph" w:styleId="CommentSubject">
    <w:name w:val="annotation subject"/>
    <w:basedOn w:val="CommentText"/>
    <w:next w:val="CommentText"/>
    <w:link w:val="CommentSubjectChar"/>
    <w:uiPriority w:val="98"/>
    <w:semiHidden/>
    <w:rsid w:val="00AD37F6"/>
    <w:rPr>
      <w:b/>
      <w:bCs/>
    </w:rPr>
  </w:style>
  <w:style w:type="character" w:customStyle="1" w:styleId="CommentSubjectChar">
    <w:name w:val="Comment Subject Char"/>
    <w:basedOn w:val="CommentTextChar"/>
    <w:link w:val="CommentSubject"/>
    <w:uiPriority w:val="98"/>
    <w:semiHidden/>
    <w:rsid w:val="00AD37F6"/>
    <w:rPr>
      <w:b/>
      <w:bCs/>
      <w:sz w:val="20"/>
      <w:szCs w:val="20"/>
      <w:lang w:val="bg-BG"/>
    </w:rPr>
  </w:style>
  <w:style w:type="table" w:styleId="DarkList">
    <w:name w:val="Dark List"/>
    <w:basedOn w:val="TableNormal"/>
    <w:uiPriority w:val="70"/>
    <w:semiHidden/>
    <w:rsid w:val="00AD37F6"/>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D37F6"/>
    <w:rPr>
      <w:color w:val="FFFFFF"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4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AD37F6"/>
    <w:rPr>
      <w:color w:val="FFFFFF"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AD37F6"/>
    <w:rPr>
      <w:color w:val="FFFFFF" w:themeColor="background1"/>
      <w:sz w:val="24"/>
      <w:szCs w:val="24"/>
    </w:rPr>
    <w:tblPr>
      <w:tblStyleRowBandSize w:val="1"/>
      <w:tblStyleColBandSize w:val="1"/>
    </w:tblPr>
    <w:tcPr>
      <w:shd w:val="clear" w:color="auto" w:fill="5959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3" w:themeFillShade="BF"/>
      </w:tcPr>
    </w:tblStylePr>
    <w:tblStylePr w:type="band1Vert">
      <w:tblPr/>
      <w:tcPr>
        <w:tcBorders>
          <w:top w:val="nil"/>
          <w:left w:val="nil"/>
          <w:bottom w:val="nil"/>
          <w:right w:val="nil"/>
          <w:insideH w:val="nil"/>
          <w:insideV w:val="nil"/>
        </w:tcBorders>
        <w:shd w:val="clear" w:color="auto" w:fill="424242" w:themeFill="accent3" w:themeFillShade="BF"/>
      </w:tcPr>
    </w:tblStylePr>
    <w:tblStylePr w:type="band1Horz">
      <w:tblPr/>
      <w:tcPr>
        <w:tcBorders>
          <w:top w:val="nil"/>
          <w:left w:val="nil"/>
          <w:bottom w:val="nil"/>
          <w:right w:val="nil"/>
          <w:insideH w:val="nil"/>
          <w:insideV w:val="nil"/>
        </w:tcBorders>
        <w:shd w:val="clear" w:color="auto" w:fill="424242" w:themeFill="accent3" w:themeFillShade="BF"/>
      </w:tcPr>
    </w:tblStylePr>
  </w:style>
  <w:style w:type="table" w:styleId="DarkList-Accent4">
    <w:name w:val="Dark List Accent 4"/>
    <w:basedOn w:val="TableNormal"/>
    <w:uiPriority w:val="70"/>
    <w:semiHidden/>
    <w:rsid w:val="00AD37F6"/>
    <w:rPr>
      <w:color w:val="FFFFFF"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AD37F6"/>
    <w:rPr>
      <w:color w:val="FFFFFF"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AD37F6"/>
    <w:rPr>
      <w:color w:val="FFFFFF"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AD37F6"/>
  </w:style>
  <w:style w:type="character" w:customStyle="1" w:styleId="DateChar">
    <w:name w:val="Date Char"/>
    <w:basedOn w:val="DefaultParagraphFont"/>
    <w:link w:val="Date"/>
    <w:uiPriority w:val="98"/>
    <w:semiHidden/>
    <w:rsid w:val="00AD37F6"/>
    <w:rPr>
      <w:sz w:val="24"/>
      <w:szCs w:val="24"/>
      <w:lang w:val="bg-BG"/>
    </w:rPr>
  </w:style>
  <w:style w:type="paragraph" w:styleId="DocumentMap">
    <w:name w:val="Document Map"/>
    <w:basedOn w:val="Normal"/>
    <w:link w:val="DocumentMapChar"/>
    <w:uiPriority w:val="98"/>
    <w:semiHidden/>
    <w:rsid w:val="00AD37F6"/>
    <w:rPr>
      <w:rFonts w:ascii="Tahoma" w:hAnsi="Tahoma" w:cs="Tahoma"/>
      <w:sz w:val="16"/>
      <w:szCs w:val="16"/>
    </w:rPr>
  </w:style>
  <w:style w:type="character" w:customStyle="1" w:styleId="DocumentMapChar">
    <w:name w:val="Document Map Char"/>
    <w:basedOn w:val="DefaultParagraphFont"/>
    <w:link w:val="DocumentMap"/>
    <w:uiPriority w:val="98"/>
    <w:semiHidden/>
    <w:rsid w:val="00AD37F6"/>
    <w:rPr>
      <w:rFonts w:ascii="Tahoma" w:hAnsi="Tahoma" w:cs="Tahoma"/>
      <w:sz w:val="16"/>
      <w:szCs w:val="16"/>
      <w:lang w:val="bg-BG"/>
    </w:rPr>
  </w:style>
  <w:style w:type="paragraph" w:styleId="E-mailSignature">
    <w:name w:val="E-mail Signature"/>
    <w:basedOn w:val="Normal"/>
    <w:link w:val="E-mailSignatureChar"/>
    <w:uiPriority w:val="98"/>
    <w:semiHidden/>
    <w:rsid w:val="00AD37F6"/>
  </w:style>
  <w:style w:type="character" w:customStyle="1" w:styleId="E-mailSignatureChar">
    <w:name w:val="E-mail Signature Char"/>
    <w:basedOn w:val="DefaultParagraphFont"/>
    <w:link w:val="E-mailSignature"/>
    <w:uiPriority w:val="98"/>
    <w:semiHidden/>
    <w:rsid w:val="00AD37F6"/>
    <w:rPr>
      <w:sz w:val="24"/>
      <w:szCs w:val="24"/>
      <w:lang w:val="bg-BG"/>
    </w:rPr>
  </w:style>
  <w:style w:type="character" w:styleId="EndnoteReference">
    <w:name w:val="endnote reference"/>
    <w:basedOn w:val="DefaultParagraphFont"/>
    <w:uiPriority w:val="98"/>
    <w:semiHidden/>
    <w:rsid w:val="00AD37F6"/>
    <w:rPr>
      <w:vertAlign w:val="superscript"/>
    </w:rPr>
  </w:style>
  <w:style w:type="paragraph" w:styleId="EndnoteText">
    <w:name w:val="endnote text"/>
    <w:basedOn w:val="Normal"/>
    <w:link w:val="EndnoteTextChar"/>
    <w:uiPriority w:val="98"/>
    <w:semiHidden/>
    <w:rsid w:val="00AD37F6"/>
    <w:rPr>
      <w:sz w:val="20"/>
      <w:szCs w:val="20"/>
    </w:rPr>
  </w:style>
  <w:style w:type="character" w:customStyle="1" w:styleId="EndnoteTextChar">
    <w:name w:val="Endnote Text Char"/>
    <w:basedOn w:val="DefaultParagraphFont"/>
    <w:link w:val="EndnoteText"/>
    <w:uiPriority w:val="98"/>
    <w:semiHidden/>
    <w:rsid w:val="00AD37F6"/>
    <w:rPr>
      <w:sz w:val="20"/>
      <w:szCs w:val="20"/>
      <w:lang w:val="bg-BG"/>
    </w:rPr>
  </w:style>
  <w:style w:type="paragraph" w:styleId="EnvelopeAddress">
    <w:name w:val="envelope address"/>
    <w:basedOn w:val="Normal"/>
    <w:uiPriority w:val="98"/>
    <w:semiHidden/>
    <w:rsid w:val="00AD37F6"/>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AD37F6"/>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AD37F6"/>
    <w:rPr>
      <w:color w:val="7030A0" w:themeColor="followedHyperlink"/>
      <w:u w:val="single"/>
    </w:rPr>
  </w:style>
  <w:style w:type="character" w:styleId="HTMLAcronym">
    <w:name w:val="HTML Acronym"/>
    <w:basedOn w:val="DefaultParagraphFont"/>
    <w:uiPriority w:val="98"/>
    <w:semiHidden/>
    <w:rsid w:val="00AD37F6"/>
  </w:style>
  <w:style w:type="paragraph" w:styleId="HTMLAddress">
    <w:name w:val="HTML Address"/>
    <w:basedOn w:val="Normal"/>
    <w:link w:val="HTMLAddressChar"/>
    <w:uiPriority w:val="98"/>
    <w:semiHidden/>
    <w:rsid w:val="00AD37F6"/>
    <w:rPr>
      <w:i/>
      <w:iCs/>
    </w:rPr>
  </w:style>
  <w:style w:type="character" w:customStyle="1" w:styleId="HTMLAddressChar">
    <w:name w:val="HTML Address Char"/>
    <w:basedOn w:val="DefaultParagraphFont"/>
    <w:link w:val="HTMLAddress"/>
    <w:uiPriority w:val="98"/>
    <w:semiHidden/>
    <w:rsid w:val="00AD37F6"/>
    <w:rPr>
      <w:i/>
      <w:iCs/>
      <w:sz w:val="24"/>
      <w:szCs w:val="24"/>
      <w:lang w:val="bg-BG"/>
    </w:rPr>
  </w:style>
  <w:style w:type="character" w:styleId="HTMLCite">
    <w:name w:val="HTML Cite"/>
    <w:basedOn w:val="DefaultParagraphFont"/>
    <w:uiPriority w:val="98"/>
    <w:semiHidden/>
    <w:rsid w:val="00AD37F6"/>
    <w:rPr>
      <w:i/>
      <w:iCs/>
    </w:rPr>
  </w:style>
  <w:style w:type="character" w:styleId="HTMLCode">
    <w:name w:val="HTML Code"/>
    <w:basedOn w:val="DefaultParagraphFont"/>
    <w:uiPriority w:val="98"/>
    <w:semiHidden/>
    <w:rsid w:val="00AD37F6"/>
    <w:rPr>
      <w:rFonts w:ascii="Consolas" w:hAnsi="Consolas" w:cs="Consolas"/>
      <w:sz w:val="20"/>
      <w:szCs w:val="20"/>
    </w:rPr>
  </w:style>
  <w:style w:type="character" w:styleId="HTMLDefinition">
    <w:name w:val="HTML Definition"/>
    <w:basedOn w:val="DefaultParagraphFont"/>
    <w:uiPriority w:val="98"/>
    <w:semiHidden/>
    <w:rsid w:val="00AD37F6"/>
    <w:rPr>
      <w:i/>
      <w:iCs/>
    </w:rPr>
  </w:style>
  <w:style w:type="character" w:styleId="HTMLKeyboard">
    <w:name w:val="HTML Keyboard"/>
    <w:basedOn w:val="DefaultParagraphFont"/>
    <w:uiPriority w:val="98"/>
    <w:semiHidden/>
    <w:rsid w:val="00AD37F6"/>
    <w:rPr>
      <w:rFonts w:ascii="Consolas" w:hAnsi="Consolas" w:cs="Consolas"/>
      <w:sz w:val="20"/>
      <w:szCs w:val="20"/>
    </w:rPr>
  </w:style>
  <w:style w:type="paragraph" w:styleId="HTMLPreformatted">
    <w:name w:val="HTML Preformatted"/>
    <w:basedOn w:val="Normal"/>
    <w:link w:val="HTMLPreformattedChar"/>
    <w:uiPriority w:val="98"/>
    <w:semiHidden/>
    <w:rsid w:val="00AD37F6"/>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AD37F6"/>
    <w:rPr>
      <w:rFonts w:ascii="Consolas" w:hAnsi="Consolas" w:cs="Consolas"/>
      <w:sz w:val="20"/>
      <w:szCs w:val="20"/>
      <w:lang w:val="bg-BG"/>
    </w:rPr>
  </w:style>
  <w:style w:type="character" w:styleId="HTMLSample">
    <w:name w:val="HTML Sample"/>
    <w:basedOn w:val="DefaultParagraphFont"/>
    <w:uiPriority w:val="98"/>
    <w:semiHidden/>
    <w:rsid w:val="00AD37F6"/>
    <w:rPr>
      <w:rFonts w:ascii="Consolas" w:hAnsi="Consolas" w:cs="Consolas"/>
      <w:sz w:val="24"/>
      <w:szCs w:val="24"/>
    </w:rPr>
  </w:style>
  <w:style w:type="character" w:styleId="HTMLTypewriter">
    <w:name w:val="HTML Typewriter"/>
    <w:basedOn w:val="DefaultParagraphFont"/>
    <w:uiPriority w:val="98"/>
    <w:semiHidden/>
    <w:rsid w:val="00AD37F6"/>
    <w:rPr>
      <w:rFonts w:ascii="Consolas" w:hAnsi="Consolas" w:cs="Consolas"/>
      <w:sz w:val="20"/>
      <w:szCs w:val="20"/>
    </w:rPr>
  </w:style>
  <w:style w:type="character" w:styleId="HTMLVariable">
    <w:name w:val="HTML Variable"/>
    <w:basedOn w:val="DefaultParagraphFont"/>
    <w:uiPriority w:val="98"/>
    <w:semiHidden/>
    <w:rsid w:val="00AD37F6"/>
    <w:rPr>
      <w:i/>
      <w:iCs/>
    </w:rPr>
  </w:style>
  <w:style w:type="paragraph" w:styleId="Index1">
    <w:name w:val="index 1"/>
    <w:basedOn w:val="Normal"/>
    <w:next w:val="Normal"/>
    <w:autoRedefine/>
    <w:uiPriority w:val="98"/>
    <w:semiHidden/>
    <w:rsid w:val="00AD37F6"/>
    <w:pPr>
      <w:ind w:left="240" w:hanging="240"/>
    </w:pPr>
  </w:style>
  <w:style w:type="paragraph" w:styleId="Index2">
    <w:name w:val="index 2"/>
    <w:basedOn w:val="Normal"/>
    <w:next w:val="Normal"/>
    <w:autoRedefine/>
    <w:uiPriority w:val="98"/>
    <w:semiHidden/>
    <w:rsid w:val="00AD37F6"/>
    <w:pPr>
      <w:ind w:left="480" w:hanging="240"/>
    </w:pPr>
  </w:style>
  <w:style w:type="paragraph" w:styleId="Index3">
    <w:name w:val="index 3"/>
    <w:basedOn w:val="Normal"/>
    <w:next w:val="Normal"/>
    <w:autoRedefine/>
    <w:uiPriority w:val="98"/>
    <w:semiHidden/>
    <w:rsid w:val="00AD37F6"/>
    <w:pPr>
      <w:ind w:left="720" w:hanging="240"/>
    </w:pPr>
  </w:style>
  <w:style w:type="paragraph" w:styleId="Index4">
    <w:name w:val="index 4"/>
    <w:basedOn w:val="Normal"/>
    <w:next w:val="Normal"/>
    <w:autoRedefine/>
    <w:uiPriority w:val="98"/>
    <w:semiHidden/>
    <w:rsid w:val="00AD37F6"/>
    <w:pPr>
      <w:ind w:left="960" w:hanging="240"/>
    </w:pPr>
  </w:style>
  <w:style w:type="paragraph" w:styleId="Index5">
    <w:name w:val="index 5"/>
    <w:basedOn w:val="Normal"/>
    <w:next w:val="Normal"/>
    <w:autoRedefine/>
    <w:uiPriority w:val="98"/>
    <w:semiHidden/>
    <w:rsid w:val="00AD37F6"/>
    <w:pPr>
      <w:ind w:left="1200" w:hanging="240"/>
    </w:pPr>
  </w:style>
  <w:style w:type="paragraph" w:styleId="Index6">
    <w:name w:val="index 6"/>
    <w:basedOn w:val="Normal"/>
    <w:next w:val="Normal"/>
    <w:autoRedefine/>
    <w:uiPriority w:val="98"/>
    <w:semiHidden/>
    <w:rsid w:val="00AD37F6"/>
    <w:pPr>
      <w:ind w:left="1440" w:hanging="240"/>
    </w:pPr>
  </w:style>
  <w:style w:type="paragraph" w:styleId="Index7">
    <w:name w:val="index 7"/>
    <w:basedOn w:val="Normal"/>
    <w:next w:val="Normal"/>
    <w:autoRedefine/>
    <w:uiPriority w:val="98"/>
    <w:semiHidden/>
    <w:rsid w:val="00AD37F6"/>
    <w:pPr>
      <w:ind w:left="1680" w:hanging="240"/>
    </w:pPr>
  </w:style>
  <w:style w:type="paragraph" w:styleId="Index8">
    <w:name w:val="index 8"/>
    <w:basedOn w:val="Normal"/>
    <w:next w:val="Normal"/>
    <w:autoRedefine/>
    <w:uiPriority w:val="98"/>
    <w:semiHidden/>
    <w:rsid w:val="00AD37F6"/>
    <w:pPr>
      <w:ind w:left="1920" w:hanging="240"/>
    </w:pPr>
  </w:style>
  <w:style w:type="paragraph" w:styleId="Index9">
    <w:name w:val="index 9"/>
    <w:basedOn w:val="Normal"/>
    <w:next w:val="Normal"/>
    <w:autoRedefine/>
    <w:uiPriority w:val="98"/>
    <w:semiHidden/>
    <w:rsid w:val="00AD37F6"/>
    <w:pPr>
      <w:ind w:left="2160" w:hanging="240"/>
    </w:pPr>
  </w:style>
  <w:style w:type="paragraph" w:styleId="IndexHeading">
    <w:name w:val="index heading"/>
    <w:basedOn w:val="Normal"/>
    <w:next w:val="Index1"/>
    <w:uiPriority w:val="98"/>
    <w:semiHidden/>
    <w:rsid w:val="00AD37F6"/>
    <w:rPr>
      <w:rFonts w:asciiTheme="majorHAnsi" w:eastAsiaTheme="majorEastAsia" w:hAnsiTheme="majorHAnsi" w:cstheme="majorBidi"/>
      <w:b/>
      <w:bCs/>
    </w:rPr>
  </w:style>
  <w:style w:type="table" w:styleId="LightGrid">
    <w:name w:val="Light Grid"/>
    <w:basedOn w:val="TableNormal"/>
    <w:uiPriority w:val="62"/>
    <w:semiHidden/>
    <w:rsid w:val="00AD37F6"/>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D37F6"/>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AD37F6"/>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AD37F6"/>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18" w:space="0" w:color="595959" w:themeColor="accent3"/>
          <w:right w:val="single" w:sz="8" w:space="0" w:color="595959" w:themeColor="accent3"/>
          <w:insideH w:val="nil"/>
          <w:insideV w:val="single" w:sz="8" w:space="0" w:color="5959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insideH w:val="nil"/>
          <w:insideV w:val="single" w:sz="8" w:space="0" w:color="5959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shd w:val="clear" w:color="auto" w:fill="D5D5D5" w:themeFill="accent3" w:themeFillTint="3F"/>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shd w:val="clear" w:color="auto" w:fill="D5D5D5" w:themeFill="accent3" w:themeFillTint="3F"/>
      </w:tcPr>
    </w:tblStylePr>
    <w:tblStylePr w:type="band2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insideV w:val="single" w:sz="8" w:space="0" w:color="595959" w:themeColor="accent3"/>
        </w:tcBorders>
      </w:tcPr>
    </w:tblStylePr>
  </w:style>
  <w:style w:type="table" w:styleId="LightGrid-Accent4">
    <w:name w:val="Light Grid Accent 4"/>
    <w:basedOn w:val="TableNormal"/>
    <w:uiPriority w:val="62"/>
    <w:semiHidden/>
    <w:rsid w:val="00AD37F6"/>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AD37F6"/>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AD37F6"/>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AD37F6"/>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D37F6"/>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FFFFFF"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AD37F6"/>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FFFFFF"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AD37F6"/>
    <w:rPr>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pPr>
        <w:spacing w:before="0" w:after="0" w:line="240" w:lineRule="auto"/>
      </w:pPr>
      <w:rPr>
        <w:b/>
        <w:bCs/>
        <w:color w:val="FFFFFF" w:themeColor="background1"/>
      </w:rPr>
      <w:tblPr/>
      <w:tcPr>
        <w:shd w:val="clear" w:color="auto" w:fill="595959" w:themeFill="accent3"/>
      </w:tcPr>
    </w:tblStylePr>
    <w:tblStylePr w:type="lastRow">
      <w:pPr>
        <w:spacing w:before="0" w:after="0" w:line="240" w:lineRule="auto"/>
      </w:pPr>
      <w:rPr>
        <w:b/>
        <w:bCs/>
      </w:rPr>
      <w:tblPr/>
      <w:tcPr>
        <w:tcBorders>
          <w:top w:val="double" w:sz="6" w:space="0" w:color="595959" w:themeColor="accent3"/>
          <w:left w:val="single" w:sz="8" w:space="0" w:color="595959" w:themeColor="accent3"/>
          <w:bottom w:val="single" w:sz="8" w:space="0" w:color="595959" w:themeColor="accent3"/>
          <w:right w:val="single" w:sz="8" w:space="0" w:color="595959" w:themeColor="accent3"/>
        </w:tcBorders>
      </w:tcPr>
    </w:tblStylePr>
    <w:tblStylePr w:type="firstCol">
      <w:rPr>
        <w:b/>
        <w:bCs/>
      </w:rPr>
    </w:tblStylePr>
    <w:tblStylePr w:type="lastCol">
      <w:rPr>
        <w:b/>
        <w:bCs/>
      </w:rPr>
    </w:tblStylePr>
    <w:tblStylePr w:type="band1Vert">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tblStylePr w:type="band1Horz">
      <w:tblPr/>
      <w:tcPr>
        <w:tcBorders>
          <w:top w:val="single" w:sz="8" w:space="0" w:color="595959" w:themeColor="accent3"/>
          <w:left w:val="single" w:sz="8" w:space="0" w:color="595959" w:themeColor="accent3"/>
          <w:bottom w:val="single" w:sz="8" w:space="0" w:color="595959" w:themeColor="accent3"/>
          <w:right w:val="single" w:sz="8" w:space="0" w:color="595959" w:themeColor="accent3"/>
        </w:tcBorders>
      </w:tcPr>
    </w:tblStylePr>
  </w:style>
  <w:style w:type="table" w:styleId="LightList-Accent4">
    <w:name w:val="Light List Accent 4"/>
    <w:basedOn w:val="TableNormal"/>
    <w:uiPriority w:val="61"/>
    <w:semiHidden/>
    <w:rsid w:val="00AD37F6"/>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FFFFFF"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AD37F6"/>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AD37F6"/>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AD37F6"/>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D37F6"/>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AD37F6"/>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AD37F6"/>
    <w:rPr>
      <w:color w:val="424242" w:themeColor="accent3" w:themeShade="BF"/>
      <w:sz w:val="24"/>
      <w:szCs w:val="24"/>
    </w:rPr>
    <w:tblPr>
      <w:tblStyleRowBandSize w:val="1"/>
      <w:tblStyleColBandSize w:val="1"/>
      <w:tblBorders>
        <w:top w:val="single" w:sz="8" w:space="0" w:color="595959" w:themeColor="accent3"/>
        <w:bottom w:val="single" w:sz="8" w:space="0" w:color="595959" w:themeColor="accent3"/>
      </w:tblBorders>
    </w:tblPr>
    <w:tblStylePr w:type="fir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lastRow">
      <w:pPr>
        <w:spacing w:before="0" w:after="0" w:line="240" w:lineRule="auto"/>
      </w:pPr>
      <w:rPr>
        <w:b/>
        <w:bCs/>
      </w:rPr>
      <w:tblPr/>
      <w:tcPr>
        <w:tcBorders>
          <w:top w:val="single" w:sz="8" w:space="0" w:color="595959" w:themeColor="accent3"/>
          <w:left w:val="nil"/>
          <w:bottom w:val="single" w:sz="8" w:space="0" w:color="5959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left w:val="nil"/>
          <w:right w:val="nil"/>
          <w:insideH w:val="nil"/>
          <w:insideV w:val="nil"/>
        </w:tcBorders>
        <w:shd w:val="clear" w:color="auto" w:fill="D5D5D5" w:themeFill="accent3" w:themeFillTint="3F"/>
      </w:tcPr>
    </w:tblStylePr>
  </w:style>
  <w:style w:type="table" w:styleId="LightShading-Accent4">
    <w:name w:val="Light Shading Accent 4"/>
    <w:basedOn w:val="TableNormal"/>
    <w:uiPriority w:val="60"/>
    <w:semiHidden/>
    <w:rsid w:val="00AD37F6"/>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AD37F6"/>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AD37F6"/>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AD37F6"/>
  </w:style>
  <w:style w:type="paragraph" w:styleId="List">
    <w:name w:val="List"/>
    <w:basedOn w:val="Normal"/>
    <w:uiPriority w:val="98"/>
    <w:semiHidden/>
    <w:rsid w:val="00AD37F6"/>
    <w:pPr>
      <w:ind w:left="283" w:hanging="283"/>
      <w:contextualSpacing/>
    </w:pPr>
  </w:style>
  <w:style w:type="paragraph" w:styleId="List2">
    <w:name w:val="List 2"/>
    <w:basedOn w:val="Normal"/>
    <w:uiPriority w:val="98"/>
    <w:semiHidden/>
    <w:rsid w:val="00AD37F6"/>
    <w:pPr>
      <w:ind w:left="566" w:hanging="283"/>
      <w:contextualSpacing/>
    </w:pPr>
  </w:style>
  <w:style w:type="paragraph" w:styleId="List3">
    <w:name w:val="List 3"/>
    <w:basedOn w:val="Normal"/>
    <w:uiPriority w:val="98"/>
    <w:semiHidden/>
    <w:rsid w:val="00AD37F6"/>
    <w:pPr>
      <w:ind w:left="849" w:hanging="283"/>
      <w:contextualSpacing/>
    </w:pPr>
  </w:style>
  <w:style w:type="paragraph" w:styleId="List4">
    <w:name w:val="List 4"/>
    <w:basedOn w:val="Normal"/>
    <w:uiPriority w:val="98"/>
    <w:semiHidden/>
    <w:rsid w:val="00AD37F6"/>
    <w:pPr>
      <w:ind w:left="1132" w:hanging="283"/>
      <w:contextualSpacing/>
    </w:pPr>
  </w:style>
  <w:style w:type="paragraph" w:styleId="List5">
    <w:name w:val="List 5"/>
    <w:basedOn w:val="Normal"/>
    <w:uiPriority w:val="98"/>
    <w:semiHidden/>
    <w:rsid w:val="00AD37F6"/>
    <w:pPr>
      <w:ind w:left="1415" w:hanging="283"/>
      <w:contextualSpacing/>
    </w:pPr>
  </w:style>
  <w:style w:type="paragraph" w:styleId="ListBullet">
    <w:name w:val="List Bullet"/>
    <w:basedOn w:val="Normal"/>
    <w:uiPriority w:val="98"/>
    <w:semiHidden/>
    <w:rsid w:val="00AD37F6"/>
    <w:pPr>
      <w:numPr>
        <w:numId w:val="7"/>
      </w:numPr>
    </w:pPr>
  </w:style>
  <w:style w:type="paragraph" w:styleId="ListBullet3">
    <w:name w:val="List Bullet 3"/>
    <w:basedOn w:val="Normal"/>
    <w:uiPriority w:val="98"/>
    <w:semiHidden/>
    <w:rsid w:val="00AD37F6"/>
    <w:pPr>
      <w:numPr>
        <w:numId w:val="9"/>
      </w:numPr>
      <w:contextualSpacing/>
    </w:pPr>
  </w:style>
  <w:style w:type="paragraph" w:styleId="ListBullet4">
    <w:name w:val="List Bullet 4"/>
    <w:basedOn w:val="Normal"/>
    <w:uiPriority w:val="98"/>
    <w:semiHidden/>
    <w:rsid w:val="00AD37F6"/>
    <w:pPr>
      <w:numPr>
        <w:numId w:val="10"/>
      </w:numPr>
      <w:contextualSpacing/>
    </w:pPr>
  </w:style>
  <w:style w:type="paragraph" w:styleId="ListBullet5">
    <w:name w:val="List Bullet 5"/>
    <w:basedOn w:val="Normal"/>
    <w:uiPriority w:val="98"/>
    <w:semiHidden/>
    <w:rsid w:val="00AD37F6"/>
    <w:pPr>
      <w:numPr>
        <w:numId w:val="11"/>
      </w:numPr>
      <w:contextualSpacing/>
    </w:pPr>
  </w:style>
  <w:style w:type="paragraph" w:styleId="ListContinue">
    <w:name w:val="List Continue"/>
    <w:basedOn w:val="Normal"/>
    <w:uiPriority w:val="98"/>
    <w:semiHidden/>
    <w:rsid w:val="00AD37F6"/>
    <w:pPr>
      <w:spacing w:after="120"/>
      <w:ind w:left="283"/>
      <w:contextualSpacing/>
    </w:pPr>
  </w:style>
  <w:style w:type="paragraph" w:styleId="ListContinue2">
    <w:name w:val="List Continue 2"/>
    <w:basedOn w:val="Normal"/>
    <w:uiPriority w:val="98"/>
    <w:semiHidden/>
    <w:rsid w:val="00AD37F6"/>
    <w:pPr>
      <w:spacing w:after="120"/>
      <w:ind w:left="566"/>
      <w:contextualSpacing/>
    </w:pPr>
  </w:style>
  <w:style w:type="paragraph" w:styleId="ListContinue3">
    <w:name w:val="List Continue 3"/>
    <w:basedOn w:val="Normal"/>
    <w:uiPriority w:val="98"/>
    <w:semiHidden/>
    <w:rsid w:val="00AD37F6"/>
    <w:pPr>
      <w:spacing w:after="120"/>
      <w:ind w:left="849"/>
      <w:contextualSpacing/>
    </w:pPr>
  </w:style>
  <w:style w:type="paragraph" w:styleId="ListContinue4">
    <w:name w:val="List Continue 4"/>
    <w:basedOn w:val="Normal"/>
    <w:uiPriority w:val="98"/>
    <w:semiHidden/>
    <w:rsid w:val="00AD37F6"/>
    <w:pPr>
      <w:spacing w:after="120"/>
      <w:ind w:left="1132"/>
      <w:contextualSpacing/>
    </w:pPr>
  </w:style>
  <w:style w:type="paragraph" w:styleId="ListContinue5">
    <w:name w:val="List Continue 5"/>
    <w:basedOn w:val="Normal"/>
    <w:uiPriority w:val="98"/>
    <w:semiHidden/>
    <w:rsid w:val="00AD37F6"/>
    <w:pPr>
      <w:spacing w:after="120"/>
      <w:ind w:left="1415"/>
      <w:contextualSpacing/>
    </w:pPr>
  </w:style>
  <w:style w:type="paragraph" w:styleId="ListNumber">
    <w:name w:val="List Number"/>
    <w:basedOn w:val="Normal"/>
    <w:uiPriority w:val="98"/>
    <w:semiHidden/>
    <w:rsid w:val="00AD37F6"/>
    <w:pPr>
      <w:numPr>
        <w:numId w:val="12"/>
      </w:numPr>
      <w:contextualSpacing/>
    </w:pPr>
  </w:style>
  <w:style w:type="paragraph" w:styleId="ListNumber2">
    <w:name w:val="List Number 2"/>
    <w:basedOn w:val="Normal"/>
    <w:uiPriority w:val="98"/>
    <w:semiHidden/>
    <w:rsid w:val="00AD37F6"/>
    <w:pPr>
      <w:numPr>
        <w:numId w:val="13"/>
      </w:numPr>
      <w:contextualSpacing/>
    </w:pPr>
  </w:style>
  <w:style w:type="paragraph" w:styleId="ListNumber3">
    <w:name w:val="List Number 3"/>
    <w:basedOn w:val="Normal"/>
    <w:uiPriority w:val="98"/>
    <w:semiHidden/>
    <w:rsid w:val="00AD37F6"/>
    <w:pPr>
      <w:numPr>
        <w:numId w:val="14"/>
      </w:numPr>
      <w:contextualSpacing/>
    </w:pPr>
  </w:style>
  <w:style w:type="paragraph" w:styleId="ListNumber4">
    <w:name w:val="List Number 4"/>
    <w:basedOn w:val="Normal"/>
    <w:uiPriority w:val="98"/>
    <w:semiHidden/>
    <w:rsid w:val="00AD37F6"/>
    <w:pPr>
      <w:numPr>
        <w:numId w:val="15"/>
      </w:numPr>
      <w:contextualSpacing/>
    </w:pPr>
  </w:style>
  <w:style w:type="paragraph" w:styleId="ListNumber5">
    <w:name w:val="List Number 5"/>
    <w:basedOn w:val="Normal"/>
    <w:uiPriority w:val="98"/>
    <w:semiHidden/>
    <w:rsid w:val="00AD37F6"/>
    <w:pPr>
      <w:numPr>
        <w:numId w:val="16"/>
      </w:numPr>
      <w:contextualSpacing/>
    </w:pPr>
  </w:style>
  <w:style w:type="paragraph" w:styleId="MacroText">
    <w:name w:val="macro"/>
    <w:link w:val="MacroTextChar"/>
    <w:uiPriority w:val="98"/>
    <w:semiHidden/>
    <w:rsid w:val="00AD37F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AD37F6"/>
    <w:rPr>
      <w:rFonts w:ascii="Consolas" w:eastAsiaTheme="minorEastAsia" w:hAnsi="Consolas" w:cs="Consolas"/>
      <w:sz w:val="20"/>
      <w:szCs w:val="20"/>
    </w:rPr>
  </w:style>
  <w:style w:type="table" w:styleId="MediumGrid1">
    <w:name w:val="Medium Grid 1"/>
    <w:basedOn w:val="TableNormal"/>
    <w:uiPriority w:val="67"/>
    <w:semiHidden/>
    <w:rsid w:val="00AD37F6"/>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D37F6"/>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AD37F6"/>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AD37F6"/>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insideV w:val="single" w:sz="8" w:space="0" w:color="828282" w:themeColor="accent3" w:themeTint="BF"/>
      </w:tblBorders>
    </w:tblPr>
    <w:tcPr>
      <w:shd w:val="clear" w:color="auto" w:fill="D5D5D5" w:themeFill="accent3" w:themeFillTint="3F"/>
    </w:tcPr>
    <w:tblStylePr w:type="firstRow">
      <w:rPr>
        <w:b/>
        <w:bCs/>
      </w:rPr>
    </w:tblStylePr>
    <w:tblStylePr w:type="lastRow">
      <w:rPr>
        <w:b/>
        <w:bCs/>
      </w:rPr>
      <w:tblPr/>
      <w:tcPr>
        <w:tcBorders>
          <w:top w:val="single" w:sz="18" w:space="0" w:color="828282" w:themeColor="accent3" w:themeTint="BF"/>
        </w:tcBorders>
      </w:tcPr>
    </w:tblStylePr>
    <w:tblStylePr w:type="firstCol">
      <w:rPr>
        <w:b/>
        <w:bCs/>
      </w:rPr>
    </w:tblStylePr>
    <w:tblStylePr w:type="lastCol">
      <w:rPr>
        <w:b/>
        <w:bCs/>
      </w:rPr>
    </w:tblStylePr>
    <w:tblStylePr w:type="band1Vert">
      <w:tblPr/>
      <w:tcPr>
        <w:shd w:val="clear" w:color="auto" w:fill="ACACAC" w:themeFill="accent3" w:themeFillTint="7F"/>
      </w:tcPr>
    </w:tblStylePr>
    <w:tblStylePr w:type="band1Horz">
      <w:tblPr/>
      <w:tcPr>
        <w:shd w:val="clear" w:color="auto" w:fill="ACACAC" w:themeFill="accent3" w:themeFillTint="7F"/>
      </w:tcPr>
    </w:tblStylePr>
  </w:style>
  <w:style w:type="table" w:styleId="MediumGrid1-Accent4">
    <w:name w:val="Medium Grid 1 Accent 4"/>
    <w:basedOn w:val="TableNormal"/>
    <w:uiPriority w:val="67"/>
    <w:semiHidden/>
    <w:rsid w:val="00AD37F6"/>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AD37F6"/>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AD37F6"/>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insideH w:val="single" w:sz="8" w:space="0" w:color="595959" w:themeColor="accent3"/>
        <w:insideV w:val="single" w:sz="8" w:space="0" w:color="595959" w:themeColor="accent3"/>
      </w:tblBorders>
    </w:tblPr>
    <w:tcPr>
      <w:shd w:val="clear" w:color="auto" w:fill="D5D5D5" w:themeFill="accent3" w:themeFillTint="3F"/>
    </w:tcPr>
    <w:tblStylePr w:type="firstRow">
      <w:rPr>
        <w:b/>
        <w:bCs/>
        <w:color w:val="000000" w:themeColor="text1"/>
      </w:rPr>
      <w:tblPr/>
      <w:tcPr>
        <w:shd w:val="clear" w:color="auto" w:fill="EE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3" w:themeFillTint="33"/>
      </w:tcPr>
    </w:tblStylePr>
    <w:tblStylePr w:type="band1Vert">
      <w:tblPr/>
      <w:tcPr>
        <w:shd w:val="clear" w:color="auto" w:fill="ACACAC" w:themeFill="accent3" w:themeFillTint="7F"/>
      </w:tcPr>
    </w:tblStylePr>
    <w:tblStylePr w:type="band1Horz">
      <w:tblPr/>
      <w:tcPr>
        <w:tcBorders>
          <w:insideH w:val="single" w:sz="6" w:space="0" w:color="595959" w:themeColor="accent3"/>
          <w:insideV w:val="single" w:sz="6" w:space="0" w:color="595959" w:themeColor="accent3"/>
        </w:tcBorders>
        <w:shd w:val="clear" w:color="auto" w:fill="ACAC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D37F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D37F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FFF" w:themeFill="accent1" w:themeFillTint="7F"/>
      </w:tcPr>
    </w:tblStylePr>
  </w:style>
  <w:style w:type="table" w:styleId="MediumGrid3-Accent2">
    <w:name w:val="Medium Grid 3 Accent 2"/>
    <w:basedOn w:val="TableNormal"/>
    <w:uiPriority w:val="69"/>
    <w:semiHidden/>
    <w:rsid w:val="00AD37F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2" w:themeFillTint="7F"/>
      </w:tcPr>
    </w:tblStylePr>
  </w:style>
  <w:style w:type="table" w:styleId="MediumGrid3-Accent3">
    <w:name w:val="Medium Grid 3 Accent 3"/>
    <w:basedOn w:val="TableNormal"/>
    <w:uiPriority w:val="69"/>
    <w:semiHidden/>
    <w:rsid w:val="00AD37F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59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59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59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AC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ACAC" w:themeFill="accent3" w:themeFillTint="7F"/>
      </w:tcPr>
    </w:tblStylePr>
  </w:style>
  <w:style w:type="table" w:styleId="MediumGrid3-Accent4">
    <w:name w:val="Medium Grid 3 Accent 4"/>
    <w:basedOn w:val="TableNormal"/>
    <w:uiPriority w:val="69"/>
    <w:semiHidden/>
    <w:rsid w:val="00AD37F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4" w:themeFillTint="7F"/>
      </w:tcPr>
    </w:tblStylePr>
  </w:style>
  <w:style w:type="table" w:styleId="MediumGrid3-Accent5">
    <w:name w:val="Medium Grid 3 Accent 5"/>
    <w:basedOn w:val="TableNormal"/>
    <w:uiPriority w:val="69"/>
    <w:semiHidden/>
    <w:rsid w:val="00AD37F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rsid w:val="00AD37F6"/>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rsid w:val="00AD37F6"/>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0B0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D37F6"/>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B0B0B0"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AD37F6"/>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B0B0B0"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AD37F6"/>
    <w:rPr>
      <w:color w:val="000000" w:themeColor="text1"/>
      <w:sz w:val="24"/>
      <w:szCs w:val="24"/>
    </w:rPr>
    <w:tblPr>
      <w:tblStyleRowBandSize w:val="1"/>
      <w:tblStyleColBandSize w:val="1"/>
      <w:tblBorders>
        <w:top w:val="single" w:sz="8" w:space="0" w:color="595959" w:themeColor="accent3"/>
        <w:bottom w:val="single" w:sz="8" w:space="0" w:color="595959" w:themeColor="accent3"/>
      </w:tblBorders>
    </w:tblPr>
    <w:tblStylePr w:type="firstRow">
      <w:rPr>
        <w:rFonts w:asciiTheme="majorHAnsi" w:eastAsiaTheme="majorEastAsia" w:hAnsiTheme="majorHAnsi" w:cstheme="majorBidi"/>
      </w:rPr>
      <w:tblPr/>
      <w:tcPr>
        <w:tcBorders>
          <w:top w:val="nil"/>
          <w:bottom w:val="single" w:sz="8" w:space="0" w:color="595959" w:themeColor="accent3"/>
        </w:tcBorders>
      </w:tcPr>
    </w:tblStylePr>
    <w:tblStylePr w:type="lastRow">
      <w:rPr>
        <w:b/>
        <w:bCs/>
        <w:color w:val="B0B0B0" w:themeColor="text2"/>
      </w:rPr>
      <w:tblPr/>
      <w:tcPr>
        <w:tcBorders>
          <w:top w:val="single" w:sz="8" w:space="0" w:color="595959" w:themeColor="accent3"/>
          <w:bottom w:val="single" w:sz="8" w:space="0" w:color="595959" w:themeColor="accent3"/>
        </w:tcBorders>
      </w:tcPr>
    </w:tblStylePr>
    <w:tblStylePr w:type="firstCol">
      <w:rPr>
        <w:b/>
        <w:bCs/>
      </w:rPr>
    </w:tblStylePr>
    <w:tblStylePr w:type="lastCol">
      <w:rPr>
        <w:b/>
        <w:bCs/>
      </w:rPr>
      <w:tblPr/>
      <w:tcPr>
        <w:tcBorders>
          <w:top w:val="single" w:sz="8" w:space="0" w:color="595959" w:themeColor="accent3"/>
          <w:bottom w:val="single" w:sz="8" w:space="0" w:color="595959" w:themeColor="accent3"/>
        </w:tcBorders>
      </w:tcPr>
    </w:tblStylePr>
    <w:tblStylePr w:type="band1Vert">
      <w:tblPr/>
      <w:tcPr>
        <w:shd w:val="clear" w:color="auto" w:fill="D5D5D5" w:themeFill="accent3" w:themeFillTint="3F"/>
      </w:tcPr>
    </w:tblStylePr>
    <w:tblStylePr w:type="band1Horz">
      <w:tblPr/>
      <w:tcPr>
        <w:shd w:val="clear" w:color="auto" w:fill="D5D5D5" w:themeFill="accent3" w:themeFillTint="3F"/>
      </w:tcPr>
    </w:tblStylePr>
  </w:style>
  <w:style w:type="table" w:styleId="MediumList1-Accent4">
    <w:name w:val="Medium List 1 Accent 4"/>
    <w:basedOn w:val="TableNormal"/>
    <w:uiPriority w:val="65"/>
    <w:semiHidden/>
    <w:rsid w:val="00AD37F6"/>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B0B0B0"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AD37F6"/>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B0B0B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AD37F6"/>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B0B0B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FFFFFF" w:themeFill="background1"/>
      </w:tcPr>
    </w:tblStylePr>
    <w:tblStylePr w:type="lastRow">
      <w:tblPr/>
      <w:tcPr>
        <w:tcBorders>
          <w:top w:val="single" w:sz="8" w:space="0" w:color="0072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BC" w:themeColor="accent1"/>
          <w:insideH w:val="nil"/>
          <w:insideV w:val="nil"/>
        </w:tcBorders>
        <w:shd w:val="clear" w:color="auto" w:fill="FFFFFF" w:themeFill="background1"/>
      </w:tcPr>
    </w:tblStylePr>
    <w:tblStylePr w:type="lastCol">
      <w:tblPr/>
      <w:tcPr>
        <w:tcBorders>
          <w:top w:val="nil"/>
          <w:left w:val="single" w:sz="8" w:space="0" w:color="0072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FFFFFF" w:themeFill="background1"/>
      </w:tcPr>
    </w:tblStylePr>
    <w:tblStylePr w:type="lastRow">
      <w:tblPr/>
      <w:tcPr>
        <w:tcBorders>
          <w:top w:val="single" w:sz="8" w:space="0" w:color="C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2"/>
          <w:insideH w:val="nil"/>
          <w:insideV w:val="nil"/>
        </w:tcBorders>
        <w:shd w:val="clear" w:color="auto" w:fill="FFFFFF" w:themeFill="background1"/>
      </w:tcPr>
    </w:tblStylePr>
    <w:tblStylePr w:type="lastCol">
      <w:tblPr/>
      <w:tcPr>
        <w:tcBorders>
          <w:top w:val="nil"/>
          <w:left w:val="single" w:sz="8" w:space="0" w:color="C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595959" w:themeColor="accent3"/>
        <w:left w:val="single" w:sz="8" w:space="0" w:color="595959" w:themeColor="accent3"/>
        <w:bottom w:val="single" w:sz="8" w:space="0" w:color="595959" w:themeColor="accent3"/>
        <w:right w:val="single" w:sz="8" w:space="0" w:color="595959" w:themeColor="accent3"/>
      </w:tblBorders>
    </w:tblPr>
    <w:tblStylePr w:type="firstRow">
      <w:rPr>
        <w:sz w:val="24"/>
        <w:szCs w:val="24"/>
      </w:rPr>
      <w:tblPr/>
      <w:tcPr>
        <w:tcBorders>
          <w:top w:val="nil"/>
          <w:left w:val="nil"/>
          <w:bottom w:val="single" w:sz="24" w:space="0" w:color="595959" w:themeColor="accent3"/>
          <w:right w:val="nil"/>
          <w:insideH w:val="nil"/>
          <w:insideV w:val="nil"/>
        </w:tcBorders>
        <w:shd w:val="clear" w:color="auto" w:fill="FFFFFF" w:themeFill="background1"/>
      </w:tcPr>
    </w:tblStylePr>
    <w:tblStylePr w:type="lastRow">
      <w:tblPr/>
      <w:tcPr>
        <w:tcBorders>
          <w:top w:val="single" w:sz="8" w:space="0" w:color="5959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5959" w:themeColor="accent3"/>
          <w:insideH w:val="nil"/>
          <w:insideV w:val="nil"/>
        </w:tcBorders>
        <w:shd w:val="clear" w:color="auto" w:fill="FFFFFF" w:themeFill="background1"/>
      </w:tcPr>
    </w:tblStylePr>
    <w:tblStylePr w:type="lastCol">
      <w:tblPr/>
      <w:tcPr>
        <w:tcBorders>
          <w:top w:val="nil"/>
          <w:left w:val="single" w:sz="8" w:space="0" w:color="5959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3" w:themeFillTint="3F"/>
      </w:tcPr>
    </w:tblStylePr>
    <w:tblStylePr w:type="band1Horz">
      <w:tblPr/>
      <w:tcPr>
        <w:tcBorders>
          <w:top w:val="nil"/>
          <w:bottom w:val="nil"/>
          <w:insideH w:val="nil"/>
          <w:insideV w:val="nil"/>
        </w:tcBorders>
        <w:shd w:val="clear" w:color="auto" w:fill="D5D5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FFFFFF" w:themeFill="background1"/>
      </w:tcPr>
    </w:tblStylePr>
    <w:tblStylePr w:type="lastRow">
      <w:tblPr/>
      <w:tcPr>
        <w:tcBorders>
          <w:top w:val="single" w:sz="8" w:space="0" w:color="96969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4"/>
          <w:insideH w:val="nil"/>
          <w:insideV w:val="nil"/>
        </w:tcBorders>
        <w:shd w:val="clear" w:color="auto" w:fill="FFFFFF" w:themeFill="background1"/>
      </w:tcPr>
    </w:tblStylePr>
    <w:tblStylePr w:type="lastCol">
      <w:tblPr/>
      <w:tcPr>
        <w:tcBorders>
          <w:top w:val="nil"/>
          <w:left w:val="single" w:sz="8" w:space="0" w:color="9696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D37F6"/>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D37F6"/>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D37F6"/>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FFFFFF"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D37F6"/>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FFFFFF"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D37F6"/>
    <w:rPr>
      <w:sz w:val="24"/>
      <w:szCs w:val="24"/>
    </w:rPr>
    <w:tblPr>
      <w:tblStyleRowBandSize w:val="1"/>
      <w:tblStyleColBandSize w:val="1"/>
      <w:tbl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single" w:sz="8" w:space="0" w:color="828282" w:themeColor="accent3" w:themeTint="BF"/>
      </w:tblBorders>
    </w:tblPr>
    <w:tblStylePr w:type="firstRow">
      <w:pPr>
        <w:spacing w:before="0" w:after="0" w:line="240" w:lineRule="auto"/>
      </w:pPr>
      <w:rPr>
        <w:b/>
        <w:bCs/>
        <w:color w:val="FFFFFF" w:themeColor="background1"/>
      </w:rPr>
      <w:tblPr/>
      <w:tcPr>
        <w:tcBorders>
          <w:top w:val="single" w:sz="8"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shd w:val="clear" w:color="auto" w:fill="595959" w:themeFill="accent3"/>
      </w:tcPr>
    </w:tblStylePr>
    <w:tblStylePr w:type="lastRow">
      <w:pPr>
        <w:spacing w:before="0" w:after="0" w:line="240" w:lineRule="auto"/>
      </w:pPr>
      <w:rPr>
        <w:b/>
        <w:bCs/>
      </w:rPr>
      <w:tblPr/>
      <w:tcPr>
        <w:tcBorders>
          <w:top w:val="double" w:sz="6" w:space="0" w:color="828282" w:themeColor="accent3" w:themeTint="BF"/>
          <w:left w:val="single" w:sz="8" w:space="0" w:color="828282" w:themeColor="accent3" w:themeTint="BF"/>
          <w:bottom w:val="single" w:sz="8" w:space="0" w:color="828282" w:themeColor="accent3" w:themeTint="BF"/>
          <w:right w:val="single" w:sz="8" w:space="0" w:color="8282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3" w:themeFillTint="3F"/>
      </w:tcPr>
    </w:tblStylePr>
    <w:tblStylePr w:type="band1Horz">
      <w:tblPr/>
      <w:tcPr>
        <w:tcBorders>
          <w:insideH w:val="nil"/>
          <w:insideV w:val="nil"/>
        </w:tcBorders>
        <w:shd w:val="clear" w:color="auto" w:fill="D5D5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D37F6"/>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FFFFFF"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D37F6"/>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D37F6"/>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D37F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D37F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FFFFFF"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D37F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FFFFFF"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D37F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59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5959" w:themeFill="accent3"/>
      </w:tcPr>
    </w:tblStylePr>
    <w:tblStylePr w:type="lastCol">
      <w:rPr>
        <w:b/>
        <w:bCs/>
        <w:color w:val="FFFFFF" w:themeColor="background1"/>
      </w:rPr>
      <w:tblPr/>
      <w:tcPr>
        <w:tcBorders>
          <w:left w:val="nil"/>
          <w:right w:val="nil"/>
          <w:insideH w:val="nil"/>
          <w:insideV w:val="nil"/>
        </w:tcBorders>
        <w:shd w:val="clear" w:color="auto" w:fill="5959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D37F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FFFFFF"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D37F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D37F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AD37F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AD37F6"/>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AD37F6"/>
    <w:rPr>
      <w:rFonts w:ascii="Times New Roman" w:hAnsi="Times New Roman" w:cs="Times New Roman"/>
    </w:rPr>
  </w:style>
  <w:style w:type="paragraph" w:styleId="NormalIndent">
    <w:name w:val="Normal Indent"/>
    <w:basedOn w:val="Normal"/>
    <w:uiPriority w:val="98"/>
    <w:semiHidden/>
    <w:rsid w:val="00AD37F6"/>
    <w:pPr>
      <w:ind w:left="720"/>
    </w:pPr>
  </w:style>
  <w:style w:type="paragraph" w:styleId="NoteHeading">
    <w:name w:val="Note Heading"/>
    <w:basedOn w:val="Normal"/>
    <w:next w:val="Normal"/>
    <w:link w:val="NoteHeadingChar"/>
    <w:uiPriority w:val="98"/>
    <w:semiHidden/>
    <w:rsid w:val="00AD37F6"/>
  </w:style>
  <w:style w:type="character" w:customStyle="1" w:styleId="NoteHeadingChar">
    <w:name w:val="Note Heading Char"/>
    <w:basedOn w:val="DefaultParagraphFont"/>
    <w:link w:val="NoteHeading"/>
    <w:uiPriority w:val="98"/>
    <w:semiHidden/>
    <w:rsid w:val="00AD37F6"/>
    <w:rPr>
      <w:sz w:val="24"/>
      <w:szCs w:val="24"/>
      <w:lang w:val="bg-BG"/>
    </w:rPr>
  </w:style>
  <w:style w:type="character" w:styleId="PlaceholderText">
    <w:name w:val="Placeholder Text"/>
    <w:basedOn w:val="DefaultParagraphFont"/>
    <w:uiPriority w:val="98"/>
    <w:semiHidden/>
    <w:rsid w:val="00AD37F6"/>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AD37F6"/>
    <w:rPr>
      <w:rFonts w:ascii="Consolas" w:hAnsi="Consolas" w:cs="Consolas"/>
      <w:sz w:val="21"/>
      <w:szCs w:val="21"/>
    </w:rPr>
  </w:style>
  <w:style w:type="character" w:customStyle="1" w:styleId="PlainTextChar">
    <w:name w:val="Plain Text Char"/>
    <w:basedOn w:val="DefaultParagraphFont"/>
    <w:link w:val="PlainText"/>
    <w:uiPriority w:val="98"/>
    <w:semiHidden/>
    <w:rsid w:val="00AD37F6"/>
    <w:rPr>
      <w:rFonts w:ascii="Consolas" w:hAnsi="Consolas" w:cs="Consolas"/>
      <w:sz w:val="21"/>
      <w:szCs w:val="21"/>
      <w:lang w:val="bg-BG"/>
    </w:rPr>
  </w:style>
  <w:style w:type="paragraph" w:styleId="Salutation">
    <w:name w:val="Salutation"/>
    <w:basedOn w:val="Normal"/>
    <w:next w:val="Normal"/>
    <w:link w:val="SalutationChar"/>
    <w:uiPriority w:val="98"/>
    <w:semiHidden/>
    <w:rsid w:val="00AD37F6"/>
  </w:style>
  <w:style w:type="character" w:customStyle="1" w:styleId="SalutationChar">
    <w:name w:val="Salutation Char"/>
    <w:basedOn w:val="DefaultParagraphFont"/>
    <w:link w:val="Salutation"/>
    <w:uiPriority w:val="98"/>
    <w:semiHidden/>
    <w:rsid w:val="00AD37F6"/>
    <w:rPr>
      <w:sz w:val="24"/>
      <w:szCs w:val="24"/>
      <w:lang w:val="bg-BG"/>
    </w:rPr>
  </w:style>
  <w:style w:type="paragraph" w:styleId="Signature">
    <w:name w:val="Signature"/>
    <w:basedOn w:val="Normal"/>
    <w:link w:val="SignatureChar"/>
    <w:uiPriority w:val="98"/>
    <w:semiHidden/>
    <w:rsid w:val="00AD37F6"/>
    <w:pPr>
      <w:ind w:left="4252"/>
    </w:pPr>
  </w:style>
  <w:style w:type="character" w:customStyle="1" w:styleId="SignatureChar">
    <w:name w:val="Signature Char"/>
    <w:basedOn w:val="DefaultParagraphFont"/>
    <w:link w:val="Signature"/>
    <w:uiPriority w:val="98"/>
    <w:semiHidden/>
    <w:rsid w:val="00AD37F6"/>
    <w:rPr>
      <w:sz w:val="24"/>
      <w:szCs w:val="24"/>
      <w:lang w:val="bg-BG"/>
    </w:rPr>
  </w:style>
  <w:style w:type="table" w:styleId="Table3Deffects1">
    <w:name w:val="Table 3D effects 1"/>
    <w:basedOn w:val="TableNormal"/>
    <w:uiPriority w:val="99"/>
    <w:semiHidden/>
    <w:unhideWhenUsed/>
    <w:rsid w:val="00AD37F6"/>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D37F6"/>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D37F6"/>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D37F6"/>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D37F6"/>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D37F6"/>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D37F6"/>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D37F6"/>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D37F6"/>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D37F6"/>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D37F6"/>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D37F6"/>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D37F6"/>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D37F6"/>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D37F6"/>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D37F6"/>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D37F6"/>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D37F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D37F6"/>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D37F6"/>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D37F6"/>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D37F6"/>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D37F6"/>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D37F6"/>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D37F6"/>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D37F6"/>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D37F6"/>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D37F6"/>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D37F6"/>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D37F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D37F6"/>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D37F6"/>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D37F6"/>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AD37F6"/>
    <w:pPr>
      <w:ind w:left="240" w:hanging="240"/>
    </w:pPr>
  </w:style>
  <w:style w:type="paragraph" w:styleId="TableofFigures">
    <w:name w:val="table of figures"/>
    <w:basedOn w:val="Normal"/>
    <w:next w:val="Normal"/>
    <w:uiPriority w:val="98"/>
    <w:semiHidden/>
    <w:rsid w:val="00AD37F6"/>
  </w:style>
  <w:style w:type="table" w:styleId="TableProfessional">
    <w:name w:val="Table Professional"/>
    <w:basedOn w:val="TableNormal"/>
    <w:uiPriority w:val="99"/>
    <w:semiHidden/>
    <w:unhideWhenUsed/>
    <w:rsid w:val="00AD37F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D37F6"/>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D37F6"/>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D37F6"/>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D37F6"/>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D37F6"/>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D37F6"/>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D37F6"/>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D37F6"/>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D37F6"/>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AD37F6"/>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AD37F6"/>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AD37F6"/>
    <w:pPr>
      <w:spacing w:after="100"/>
      <w:ind w:left="1680"/>
    </w:pPr>
  </w:style>
  <w:style w:type="paragraph" w:styleId="TOC9">
    <w:name w:val="toc 9"/>
    <w:basedOn w:val="Normal"/>
    <w:next w:val="Normal"/>
    <w:autoRedefine/>
    <w:uiPriority w:val="98"/>
    <w:semiHidden/>
    <w:rsid w:val="00AD37F6"/>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
    <w:basedOn w:val="Normal"/>
    <w:next w:val="Normal"/>
    <w:uiPriority w:val="29"/>
    <w:semiHidden/>
    <w:rsid w:val="00AD37F6"/>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AD37F6"/>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AD37F6"/>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AD37F6"/>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AD37F6"/>
    <w:pPr>
      <w:numPr>
        <w:numId w:val="18"/>
      </w:numPr>
      <w:spacing w:before="60" w:after="60"/>
    </w:pPr>
  </w:style>
  <w:style w:type="paragraph" w:customStyle="1" w:styleId="ECHRBullet2">
    <w:name w:val="ECHR_Bullet_2"/>
    <w:aliases w:val="_Bul_2"/>
    <w:basedOn w:val="ECHRBullet1"/>
    <w:uiPriority w:val="23"/>
    <w:semiHidden/>
    <w:rsid w:val="00AD37F6"/>
    <w:pPr>
      <w:numPr>
        <w:ilvl w:val="1"/>
      </w:numPr>
    </w:pPr>
  </w:style>
  <w:style w:type="paragraph" w:customStyle="1" w:styleId="ECHRBullet3">
    <w:name w:val="ECHR_Bullet_3"/>
    <w:aliases w:val="_Bul_3"/>
    <w:basedOn w:val="ECHRBullet2"/>
    <w:uiPriority w:val="23"/>
    <w:semiHidden/>
    <w:rsid w:val="00AD37F6"/>
    <w:pPr>
      <w:numPr>
        <w:ilvl w:val="2"/>
      </w:numPr>
    </w:pPr>
  </w:style>
  <w:style w:type="paragraph" w:customStyle="1" w:styleId="ECHRBullet4">
    <w:name w:val="ECHR_Bullet_4"/>
    <w:aliases w:val="_Bul_4"/>
    <w:basedOn w:val="ECHRBullet3"/>
    <w:uiPriority w:val="23"/>
    <w:semiHidden/>
    <w:rsid w:val="00AD37F6"/>
    <w:pPr>
      <w:numPr>
        <w:ilvl w:val="3"/>
      </w:numPr>
    </w:pPr>
  </w:style>
  <w:style w:type="paragraph" w:customStyle="1" w:styleId="ECHRConfidential">
    <w:name w:val="ECHR_Confidential"/>
    <w:aliases w:val="_Confidential"/>
    <w:basedOn w:val="Normal"/>
    <w:next w:val="Normal"/>
    <w:uiPriority w:val="42"/>
    <w:semiHidden/>
    <w:qFormat/>
    <w:rsid w:val="00AD37F6"/>
    <w:pPr>
      <w:jc w:val="right"/>
    </w:pPr>
    <w:rPr>
      <w:color w:val="C00000"/>
      <w:sz w:val="20"/>
    </w:rPr>
  </w:style>
  <w:style w:type="paragraph" w:customStyle="1" w:styleId="ECHRDecisionBody">
    <w:name w:val="ECHR_Decision_Body"/>
    <w:aliases w:val="_Decision_Body"/>
    <w:basedOn w:val="NormalJustified"/>
    <w:uiPriority w:val="54"/>
    <w:semiHidden/>
    <w:rsid w:val="00AD37F6"/>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AD37F6"/>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AD37F6"/>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29"/>
    <w:semiHidden/>
    <w:rsid w:val="00AD37F6"/>
    <w:pPr>
      <w:pBdr>
        <w:top w:val="single" w:sz="8" w:space="1" w:color="7F7F7F" w:themeColor="text1" w:themeTint="80"/>
      </w:pBdr>
      <w:tabs>
        <w:tab w:val="center" w:pos="6146"/>
        <w:tab w:val="right" w:pos="12293"/>
      </w:tabs>
      <w:ind w:left="-1474" w:right="-1474"/>
    </w:pPr>
    <w:rPr>
      <w:color w:val="424242" w:themeColor="accent3" w:themeShade="BF"/>
      <w:sz w:val="22"/>
    </w:rPr>
  </w:style>
  <w:style w:type="paragraph" w:customStyle="1" w:styleId="ECHRHeaderDate">
    <w:name w:val="ECHR_Header_Date"/>
    <w:aliases w:val="_Ref_Date"/>
    <w:basedOn w:val="Normal"/>
    <w:uiPriority w:val="44"/>
    <w:semiHidden/>
    <w:qFormat/>
    <w:rsid w:val="00AD37F6"/>
    <w:pPr>
      <w:jc w:val="right"/>
    </w:pPr>
    <w:rPr>
      <w:sz w:val="20"/>
    </w:rPr>
  </w:style>
  <w:style w:type="paragraph" w:customStyle="1" w:styleId="ECHRHeaderRefIt">
    <w:name w:val="ECHR_Header_Ref_It"/>
    <w:aliases w:val="_Ref_Ital"/>
    <w:basedOn w:val="Normal"/>
    <w:next w:val="ECHRHeaderDate"/>
    <w:uiPriority w:val="43"/>
    <w:qFormat/>
    <w:rsid w:val="00AD37F6"/>
    <w:pPr>
      <w:jc w:val="right"/>
    </w:pPr>
    <w:rPr>
      <w:i/>
      <w:sz w:val="20"/>
    </w:rPr>
  </w:style>
  <w:style w:type="paragraph" w:customStyle="1" w:styleId="ECHRHeading9">
    <w:name w:val="ECHR_Heading_9"/>
    <w:aliases w:val="_Head_9"/>
    <w:basedOn w:val="Heading9"/>
    <w:uiPriority w:val="17"/>
    <w:semiHidden/>
    <w:rsid w:val="00AD37F6"/>
    <w:pPr>
      <w:keepNext/>
      <w:keepLines/>
      <w:numPr>
        <w:ilvl w:val="8"/>
        <w:numId w:val="17"/>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AD37F6"/>
    <w:pPr>
      <w:pBdr>
        <w:bottom w:val="single" w:sz="12" w:space="1" w:color="838383"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AD37F6"/>
    <w:pPr>
      <w:numPr>
        <w:numId w:val="20"/>
      </w:numPr>
      <w:spacing w:before="60" w:after="60"/>
    </w:pPr>
  </w:style>
  <w:style w:type="paragraph" w:customStyle="1" w:styleId="ECHRNumberedList2">
    <w:name w:val="ECHR_Numbered_List_2"/>
    <w:aliases w:val="_Num_2"/>
    <w:basedOn w:val="ECHRNumberedList1"/>
    <w:uiPriority w:val="23"/>
    <w:semiHidden/>
    <w:rsid w:val="00AD37F6"/>
    <w:pPr>
      <w:numPr>
        <w:ilvl w:val="1"/>
      </w:numPr>
    </w:pPr>
  </w:style>
  <w:style w:type="paragraph" w:customStyle="1" w:styleId="ECHRNumberedList3">
    <w:name w:val="ECHR_Numbered_List_3"/>
    <w:aliases w:val="_Num_3"/>
    <w:basedOn w:val="ECHRNumberedList2"/>
    <w:uiPriority w:val="23"/>
    <w:semiHidden/>
    <w:rsid w:val="00AD37F6"/>
    <w:pPr>
      <w:numPr>
        <w:ilvl w:val="2"/>
      </w:numPr>
    </w:pPr>
  </w:style>
  <w:style w:type="paragraph" w:customStyle="1" w:styleId="ECHRParaHanging">
    <w:name w:val="ECHR_Para_Hanging"/>
    <w:aliases w:val="_Hanging"/>
    <w:basedOn w:val="NormalJustified"/>
    <w:uiPriority w:val="8"/>
    <w:semiHidden/>
    <w:qFormat/>
    <w:rsid w:val="00AD37F6"/>
    <w:pPr>
      <w:ind w:left="567" w:hanging="567"/>
    </w:pPr>
  </w:style>
  <w:style w:type="paragraph" w:customStyle="1" w:styleId="ECHRParaIndent">
    <w:name w:val="ECHR_Para_Indent"/>
    <w:aliases w:val="_Indent"/>
    <w:basedOn w:val="NormalJustified"/>
    <w:uiPriority w:val="7"/>
    <w:semiHidden/>
    <w:qFormat/>
    <w:rsid w:val="00AD37F6"/>
    <w:pPr>
      <w:spacing w:before="120" w:after="120"/>
      <w:ind w:left="567"/>
    </w:pPr>
  </w:style>
  <w:style w:type="character" w:customStyle="1" w:styleId="ECHRRed">
    <w:name w:val="ECHR_Red"/>
    <w:aliases w:val="_Red"/>
    <w:basedOn w:val="DefaultParagraphFont"/>
    <w:uiPriority w:val="15"/>
    <w:semiHidden/>
    <w:qFormat/>
    <w:rsid w:val="00AD37F6"/>
    <w:rPr>
      <w:color w:val="C00000" w:themeColor="accent2"/>
    </w:rPr>
  </w:style>
  <w:style w:type="paragraph" w:customStyle="1" w:styleId="DecList">
    <w:name w:val="Dec_List"/>
    <w:aliases w:val="_List"/>
    <w:basedOn w:val="JuList"/>
    <w:uiPriority w:val="22"/>
    <w:rsid w:val="00AD37F6"/>
    <w:pPr>
      <w:numPr>
        <w:numId w:val="0"/>
      </w:numPr>
      <w:ind w:left="284"/>
    </w:pPr>
  </w:style>
  <w:style w:type="table" w:customStyle="1" w:styleId="ECHRTable2">
    <w:name w:val="ECHR_Table_2"/>
    <w:basedOn w:val="TableNormal"/>
    <w:uiPriority w:val="99"/>
    <w:rsid w:val="00AD37F6"/>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AD37F6"/>
    <w:rPr>
      <w:sz w:val="24"/>
      <w:szCs w:val="24"/>
    </w:rPr>
    <w:tblPr>
      <w:tblStyleRowBandSize w:val="1"/>
      <w:tblStyleColBandSize w:val="1"/>
      <w:jc w:val="center"/>
      <w:tbl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595959"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single" w:sz="4" w:space="0" w:color="595959" w:themeColor="accent3"/>
          <w:insideV w:val="single" w:sz="4" w:space="0" w:color="F8F8F8" w:themeColor="background2"/>
          <w:tl2br w:val="nil"/>
          <w:tr2bl w:val="nil"/>
        </w:tcBorders>
        <w:shd w:val="clear" w:color="auto" w:fill="595959" w:themeFill="accent3"/>
      </w:tcPr>
    </w:tblStylePr>
    <w:tblStylePr w:type="lastRow">
      <w:rPr>
        <w:b/>
        <w:i w:val="0"/>
      </w:rPr>
      <w:tblPr/>
      <w:tcPr>
        <w:tcBorders>
          <w:top w:val="single" w:sz="8" w:space="0" w:color="595959" w:themeColor="accent3"/>
          <w:left w:val="single" w:sz="4" w:space="0" w:color="595959" w:themeColor="accent3"/>
          <w:bottom w:val="single" w:sz="8" w:space="0" w:color="595959" w:themeColor="accent3"/>
          <w:right w:val="single" w:sz="4" w:space="0" w:color="595959" w:themeColor="accent3"/>
          <w:insideH w:val="nil"/>
          <w:insideV w:val="single" w:sz="4" w:space="0" w:color="595959"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lastCol">
      <w:rPr>
        <w:b/>
        <w:i w:val="0"/>
      </w:rPr>
    </w:tblStylePr>
    <w:tblStylePr w:type="band2Vert">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l2br w:val="nil"/>
          <w:tr2bl w:val="nil"/>
        </w:tcBorders>
        <w:shd w:val="clear" w:color="auto" w:fill="DFDFDF"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DFDFDF" w:themeFill="text2" w:themeFillTint="66"/>
      </w:tcPr>
    </w:tblStylePr>
  </w:style>
  <w:style w:type="paragraph" w:customStyle="1" w:styleId="ECHRTitle1">
    <w:name w:val="ECHR_Title_1"/>
    <w:aliases w:val="_Title_L_1"/>
    <w:basedOn w:val="Normal"/>
    <w:next w:val="Normal"/>
    <w:uiPriority w:val="28"/>
    <w:semiHidden/>
    <w:qFormat/>
    <w:rsid w:val="00AD37F6"/>
    <w:pPr>
      <w:keepNext/>
      <w:keepLines/>
      <w:spacing w:before="240"/>
      <w:contextualSpacing/>
    </w:pPr>
    <w:rPr>
      <w:rFonts w:asciiTheme="majorHAnsi" w:hAnsiTheme="majorHAnsi"/>
      <w:b/>
      <w:color w:val="2C2C2C" w:themeColor="accent3" w:themeShade="80"/>
      <w:sz w:val="32"/>
    </w:rPr>
  </w:style>
  <w:style w:type="paragraph" w:customStyle="1" w:styleId="ECHRTitle2">
    <w:name w:val="ECHR_Title_2"/>
    <w:aliases w:val="_Title_L_2"/>
    <w:basedOn w:val="Normal"/>
    <w:next w:val="Normal"/>
    <w:uiPriority w:val="28"/>
    <w:semiHidden/>
    <w:qFormat/>
    <w:rsid w:val="00AD37F6"/>
    <w:pPr>
      <w:keepNext/>
      <w:keepLines/>
      <w:spacing w:before="240"/>
      <w:contextualSpacing/>
    </w:pPr>
    <w:rPr>
      <w:rFonts w:asciiTheme="majorHAnsi" w:hAnsiTheme="majorHAnsi"/>
      <w:b/>
      <w:color w:val="424242" w:themeColor="accent3" w:themeShade="BF"/>
      <w:sz w:val="28"/>
    </w:rPr>
  </w:style>
  <w:style w:type="paragraph" w:customStyle="1" w:styleId="ECHRTitle3">
    <w:name w:val="ECHR_Title_3"/>
    <w:aliases w:val="_Title_L_3"/>
    <w:basedOn w:val="Normal"/>
    <w:next w:val="Normal"/>
    <w:uiPriority w:val="28"/>
    <w:semiHidden/>
    <w:qFormat/>
    <w:rsid w:val="00AD37F6"/>
    <w:pPr>
      <w:keepNext/>
      <w:keepLines/>
      <w:spacing w:before="240"/>
      <w:contextualSpacing/>
    </w:pPr>
    <w:rPr>
      <w:rFonts w:asciiTheme="majorHAnsi" w:hAnsiTheme="majorHAnsi"/>
      <w:b/>
      <w:color w:val="424242" w:themeColor="accent3" w:themeShade="BF"/>
    </w:rPr>
  </w:style>
  <w:style w:type="paragraph" w:customStyle="1" w:styleId="ECHRTitleCentre1">
    <w:name w:val="ECHR_Title_Centre_1"/>
    <w:aliases w:val="_Title_C_1"/>
    <w:basedOn w:val="Normal"/>
    <w:next w:val="Normal"/>
    <w:uiPriority w:val="26"/>
    <w:semiHidden/>
    <w:qFormat/>
    <w:rsid w:val="00AD37F6"/>
    <w:pPr>
      <w:keepNext/>
      <w:keepLines/>
      <w:spacing w:before="240"/>
      <w:contextualSpacing/>
      <w:jc w:val="center"/>
    </w:pPr>
    <w:rPr>
      <w:rFonts w:asciiTheme="majorHAnsi" w:hAnsiTheme="majorHAnsi"/>
      <w:b/>
      <w:color w:val="2C2C2C" w:themeColor="accent3" w:themeShade="80"/>
      <w:sz w:val="32"/>
    </w:rPr>
  </w:style>
  <w:style w:type="paragraph" w:customStyle="1" w:styleId="ECHRTitleCentre2">
    <w:name w:val="ECHR_Title_Centre_2"/>
    <w:aliases w:val="_Title_C_2"/>
    <w:basedOn w:val="Normal"/>
    <w:next w:val="Normal"/>
    <w:uiPriority w:val="26"/>
    <w:semiHidden/>
    <w:qFormat/>
    <w:rsid w:val="00AD37F6"/>
    <w:pPr>
      <w:keepNext/>
      <w:keepLines/>
      <w:spacing w:before="240"/>
      <w:contextualSpacing/>
      <w:jc w:val="center"/>
    </w:pPr>
    <w:rPr>
      <w:rFonts w:asciiTheme="majorHAnsi" w:hAnsiTheme="majorHAnsi"/>
      <w:b/>
      <w:color w:val="424242" w:themeColor="accent3" w:themeShade="BF"/>
      <w:sz w:val="28"/>
    </w:rPr>
  </w:style>
  <w:style w:type="paragraph" w:customStyle="1" w:styleId="ECHRTitleCentre3">
    <w:name w:val="ECHR_Title_Centre_3"/>
    <w:aliases w:val="_Title_C_3"/>
    <w:basedOn w:val="Normal"/>
    <w:next w:val="Normal"/>
    <w:uiPriority w:val="26"/>
    <w:semiHidden/>
    <w:qFormat/>
    <w:rsid w:val="00AD37F6"/>
    <w:pPr>
      <w:keepNext/>
      <w:keepLines/>
      <w:spacing w:before="240"/>
      <w:contextualSpacing/>
      <w:jc w:val="center"/>
    </w:pPr>
    <w:rPr>
      <w:rFonts w:asciiTheme="majorHAnsi" w:hAnsiTheme="majorHAnsi"/>
      <w:b/>
      <w:color w:val="424242" w:themeColor="accent3" w:themeShade="BF"/>
    </w:rPr>
  </w:style>
  <w:style w:type="paragraph" w:customStyle="1" w:styleId="ECHRTitleCentreTOC1">
    <w:name w:val="ECHR_Title_Centre_TOC_1"/>
    <w:aliases w:val="_Title_C_TOC"/>
    <w:basedOn w:val="ECHRTitleCentre1"/>
    <w:next w:val="Normal"/>
    <w:uiPriority w:val="25"/>
    <w:semiHidden/>
    <w:qFormat/>
    <w:rsid w:val="00AD37F6"/>
    <w:pPr>
      <w:outlineLvl w:val="0"/>
    </w:pPr>
  </w:style>
  <w:style w:type="paragraph" w:customStyle="1" w:styleId="ECHRTitleTOC1">
    <w:name w:val="ECHR_Title_TOC_1"/>
    <w:aliases w:val="_Title_L_TOC"/>
    <w:basedOn w:val="ECHRTitle1"/>
    <w:next w:val="Normal"/>
    <w:uiPriority w:val="27"/>
    <w:semiHidden/>
    <w:qFormat/>
    <w:rsid w:val="00AD37F6"/>
    <w:pPr>
      <w:outlineLvl w:val="0"/>
    </w:pPr>
  </w:style>
  <w:style w:type="paragraph" w:customStyle="1" w:styleId="ECHRPlaceholder">
    <w:name w:val="ECHR_Placeholder"/>
    <w:aliases w:val="_Placeholder"/>
    <w:basedOn w:val="JuSigned"/>
    <w:uiPriority w:val="31"/>
    <w:rsid w:val="00AD37F6"/>
    <w:rPr>
      <w:color w:val="FFFFFF"/>
    </w:rPr>
  </w:style>
  <w:style w:type="paragraph" w:customStyle="1" w:styleId="ECHRSpacer">
    <w:name w:val="ECHR_Spacer"/>
    <w:aliases w:val="_Spacer"/>
    <w:basedOn w:val="Normal"/>
    <w:uiPriority w:val="45"/>
    <w:semiHidden/>
    <w:rsid w:val="00AD37F6"/>
    <w:rPr>
      <w:sz w:val="4"/>
    </w:rPr>
  </w:style>
  <w:style w:type="table" w:customStyle="1" w:styleId="ECHRTableGrey">
    <w:name w:val="ECHR_Table_Grey"/>
    <w:basedOn w:val="TableNormal"/>
    <w:uiPriority w:val="99"/>
    <w:rsid w:val="00AD37F6"/>
    <w:pPr>
      <w:tabs>
        <w:tab w:val="left" w:pos="397"/>
      </w:tabs>
    </w:pPr>
    <w:tblPr>
      <w:jc w:val="center"/>
      <w:tblBorders>
        <w:top w:val="single" w:sz="4" w:space="0" w:color="585858" w:themeColor="text2" w:themeShade="80"/>
        <w:left w:val="single" w:sz="4" w:space="0" w:color="585858" w:themeColor="text2" w:themeShade="80"/>
        <w:bottom w:val="single" w:sz="4" w:space="0" w:color="585858" w:themeColor="text2" w:themeShade="80"/>
        <w:right w:val="single" w:sz="4" w:space="0" w:color="585858"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884261"/>
    <w:rPr>
      <w:color w:val="605E5C"/>
      <w:shd w:val="clear" w:color="auto" w:fill="E1DFDD"/>
    </w:rPr>
  </w:style>
  <w:style w:type="character" w:customStyle="1" w:styleId="JuParaChar">
    <w:name w:val="Ju_Para Char"/>
    <w:aliases w:val="_Para Char"/>
    <w:link w:val="JuPara"/>
    <w:uiPriority w:val="4"/>
    <w:rsid w:val="00FD340A"/>
    <w:rPr>
      <w:sz w:val="24"/>
      <w:szCs w:val="24"/>
      <w:lang w:val="bg-BG"/>
    </w:rPr>
  </w:style>
  <w:style w:type="character" w:customStyle="1" w:styleId="JuNames0">
    <w:name w:val="Ju_Names"/>
    <w:rsid w:val="00FD340A"/>
    <w:rPr>
      <w:smallCaps/>
    </w:rPr>
  </w:style>
  <w:style w:type="paragraph" w:customStyle="1" w:styleId="JuList4">
    <w:name w:val="Ju_List_4"/>
    <w:aliases w:val="N_Bul_4"/>
    <w:basedOn w:val="JuListi"/>
    <w:uiPriority w:val="19"/>
    <w:rsid w:val="00FD340A"/>
    <w:pPr>
      <w:numPr>
        <w:ilvl w:val="0"/>
        <w:numId w:val="0"/>
      </w:numPr>
      <w:tabs>
        <w:tab w:val="num" w:pos="1701"/>
      </w:tabs>
      <w:spacing w:before="60" w:after="60" w:line="240" w:lineRule="exact"/>
      <w:ind w:left="1703" w:hanging="284"/>
      <w:contextualSpacing/>
    </w:pPr>
    <w:rPr>
      <w:sz w:val="22"/>
      <w:lang w:eastAsia="fr-FR"/>
    </w:rPr>
  </w:style>
  <w:style w:type="table" w:styleId="GridTable1Light">
    <w:name w:val="Grid Table 1 Light"/>
    <w:basedOn w:val="TableNormal"/>
    <w:uiPriority w:val="46"/>
    <w:semiHidden/>
    <w:rsid w:val="00FD340A"/>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D340A"/>
    <w:rPr>
      <w:sz w:val="24"/>
      <w:szCs w:val="24"/>
    </w:rPr>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D340A"/>
    <w:rPr>
      <w:sz w:val="24"/>
      <w:szCs w:val="24"/>
    </w:rPr>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D340A"/>
    <w:rPr>
      <w:sz w:val="24"/>
      <w:szCs w:val="24"/>
    </w:rPr>
    <w:tblPr>
      <w:tblStyleRowBandSize w:val="1"/>
      <w:tblStyleColBandSize w:val="1"/>
      <w:tblBorders>
        <w:top w:val="single" w:sz="4" w:space="0" w:color="BCBCBC" w:themeColor="accent3" w:themeTint="66"/>
        <w:left w:val="single" w:sz="4" w:space="0" w:color="BCBCBC" w:themeColor="accent3" w:themeTint="66"/>
        <w:bottom w:val="single" w:sz="4" w:space="0" w:color="BCBCBC" w:themeColor="accent3" w:themeTint="66"/>
        <w:right w:val="single" w:sz="4" w:space="0" w:color="BCBCBC" w:themeColor="accent3" w:themeTint="66"/>
        <w:insideH w:val="single" w:sz="4" w:space="0" w:color="BCBCBC" w:themeColor="accent3" w:themeTint="66"/>
        <w:insideV w:val="single" w:sz="4" w:space="0" w:color="BCBCBC" w:themeColor="accent3" w:themeTint="66"/>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2" w:space="0" w:color="9B9B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D340A"/>
    <w:rPr>
      <w:sz w:val="24"/>
      <w:szCs w:val="24"/>
    </w:rPr>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D340A"/>
    <w:rPr>
      <w:sz w:val="24"/>
      <w:szCs w:val="24"/>
    </w:r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D340A"/>
    <w:rPr>
      <w:sz w:val="24"/>
      <w:szCs w:val="24"/>
    </w:r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D340A"/>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D340A"/>
    <w:rPr>
      <w:sz w:val="24"/>
      <w:szCs w:val="24"/>
    </w:rPr>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FFFFFF" w:themeFill="background1"/>
      </w:tcPr>
    </w:tblStylePr>
    <w:tblStylePr w:type="lastRow">
      <w:rPr>
        <w:b/>
        <w:bCs/>
      </w:rPr>
      <w:tblPr/>
      <w:tcPr>
        <w:tcBorders>
          <w:top w:val="double" w:sz="2" w:space="0" w:color="3DB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FD340A"/>
    <w:rPr>
      <w:sz w:val="24"/>
      <w:szCs w:val="24"/>
    </w:rPr>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FFFFFF" w:themeFill="background1"/>
      </w:tcPr>
    </w:tblStylePr>
    <w:tblStylePr w:type="lastRow">
      <w:rPr>
        <w:b/>
        <w:bCs/>
      </w:rPr>
      <w:tblPr/>
      <w:tcPr>
        <w:tcBorders>
          <w:top w:val="double" w:sz="2" w:space="0" w:color="FF404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FD340A"/>
    <w:rPr>
      <w:sz w:val="24"/>
      <w:szCs w:val="24"/>
    </w:rPr>
    <w:tblPr>
      <w:tblStyleRowBandSize w:val="1"/>
      <w:tblStyleColBandSize w:val="1"/>
      <w:tblBorders>
        <w:top w:val="single" w:sz="2" w:space="0" w:color="9B9B9B" w:themeColor="accent3" w:themeTint="99"/>
        <w:bottom w:val="single" w:sz="2" w:space="0" w:color="9B9B9B" w:themeColor="accent3" w:themeTint="99"/>
        <w:insideH w:val="single" w:sz="2" w:space="0" w:color="9B9B9B" w:themeColor="accent3" w:themeTint="99"/>
        <w:insideV w:val="single" w:sz="2" w:space="0" w:color="9B9B9B" w:themeColor="accent3" w:themeTint="99"/>
      </w:tblBorders>
    </w:tblPr>
    <w:tblStylePr w:type="firstRow">
      <w:rPr>
        <w:b/>
        <w:bCs/>
      </w:rPr>
      <w:tblPr/>
      <w:tcPr>
        <w:tcBorders>
          <w:top w:val="nil"/>
          <w:bottom w:val="single" w:sz="12" w:space="0" w:color="9B9B9B" w:themeColor="accent3" w:themeTint="99"/>
          <w:insideH w:val="nil"/>
          <w:insideV w:val="nil"/>
        </w:tcBorders>
        <w:shd w:val="clear" w:color="auto" w:fill="FFFFFF" w:themeFill="background1"/>
      </w:tcPr>
    </w:tblStylePr>
    <w:tblStylePr w:type="lastRow">
      <w:rPr>
        <w:b/>
        <w:bCs/>
      </w:rPr>
      <w:tblPr/>
      <w:tcPr>
        <w:tcBorders>
          <w:top w:val="double" w:sz="2" w:space="0" w:color="9B9B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2-Accent4">
    <w:name w:val="Grid Table 2 Accent 4"/>
    <w:basedOn w:val="TableNormal"/>
    <w:uiPriority w:val="47"/>
    <w:semiHidden/>
    <w:rsid w:val="00FD340A"/>
    <w:rPr>
      <w:sz w:val="24"/>
      <w:szCs w:val="24"/>
    </w:rPr>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FFFFFF" w:themeFill="background1"/>
      </w:tcPr>
    </w:tblStylePr>
    <w:tblStylePr w:type="lastRow">
      <w:rPr>
        <w:b/>
        <w:bCs/>
      </w:rPr>
      <w:tblPr/>
      <w:tcPr>
        <w:tcBorders>
          <w:top w:val="double" w:sz="2" w:space="0" w:color="C0C0C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FD340A"/>
    <w:rPr>
      <w:sz w:val="24"/>
      <w:szCs w:val="24"/>
    </w:r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FD340A"/>
    <w:rPr>
      <w:sz w:val="24"/>
      <w:szCs w:val="24"/>
    </w:r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FD340A"/>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D340A"/>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FD340A"/>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FD340A"/>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3-Accent4">
    <w:name w:val="Grid Table 3 Accent 4"/>
    <w:basedOn w:val="TableNormal"/>
    <w:uiPriority w:val="48"/>
    <w:semiHidden/>
    <w:rsid w:val="00FD340A"/>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FD340A"/>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FD340A"/>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FD340A"/>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D340A"/>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FD340A"/>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FD340A"/>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insideV w:val="nil"/>
        </w:tcBorders>
        <w:shd w:val="clear" w:color="auto" w:fill="595959" w:themeFill="accent3"/>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4-Accent4">
    <w:name w:val="Grid Table 4 Accent 4"/>
    <w:basedOn w:val="TableNormal"/>
    <w:uiPriority w:val="49"/>
    <w:semiHidden/>
    <w:rsid w:val="00FD340A"/>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FD340A"/>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FD340A"/>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FD340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D340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FD340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FD340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3"/>
      </w:tcPr>
    </w:tblStylePr>
    <w:tblStylePr w:type="band1Vert">
      <w:tblPr/>
      <w:tcPr>
        <w:shd w:val="clear" w:color="auto" w:fill="BCBCBC" w:themeFill="accent3" w:themeFillTint="66"/>
      </w:tcPr>
    </w:tblStylePr>
    <w:tblStylePr w:type="band1Horz">
      <w:tblPr/>
      <w:tcPr>
        <w:shd w:val="clear" w:color="auto" w:fill="BCBCBC" w:themeFill="accent3" w:themeFillTint="66"/>
      </w:tcPr>
    </w:tblStylePr>
  </w:style>
  <w:style w:type="table" w:styleId="GridTable5Dark-Accent4">
    <w:name w:val="Grid Table 5 Dark Accent 4"/>
    <w:basedOn w:val="TableNormal"/>
    <w:uiPriority w:val="50"/>
    <w:semiHidden/>
    <w:rsid w:val="00FD340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FD340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FD340A"/>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FD340A"/>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D340A"/>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FD340A"/>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FD340A"/>
    <w:rPr>
      <w:color w:val="424242" w:themeColor="accent3" w:themeShade="BF"/>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bottom w:val="single" w:sz="12" w:space="0" w:color="9B9B9B" w:themeColor="accent3" w:themeTint="99"/>
        </w:tcBorders>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GridTable6Colorful-Accent4">
    <w:name w:val="Grid Table 6 Colorful Accent 4"/>
    <w:basedOn w:val="TableNormal"/>
    <w:uiPriority w:val="51"/>
    <w:semiHidden/>
    <w:rsid w:val="00FD340A"/>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FD340A"/>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FD340A"/>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FD340A"/>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D340A"/>
    <w:rPr>
      <w:color w:val="00548C" w:themeColor="accent1" w:themeShade="BF"/>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FD340A"/>
    <w:rPr>
      <w:color w:val="8F0000" w:themeColor="accent2" w:themeShade="BF"/>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FD340A"/>
    <w:rPr>
      <w:color w:val="424242" w:themeColor="accent3" w:themeShade="BF"/>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insideV w:val="single" w:sz="4" w:space="0" w:color="9B9B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bottom w:val="single" w:sz="4" w:space="0" w:color="9B9B9B" w:themeColor="accent3" w:themeTint="99"/>
        </w:tcBorders>
      </w:tcPr>
    </w:tblStylePr>
    <w:tblStylePr w:type="nwCell">
      <w:tblPr/>
      <w:tcPr>
        <w:tcBorders>
          <w:bottom w:val="single" w:sz="4" w:space="0" w:color="9B9B9B" w:themeColor="accent3" w:themeTint="99"/>
        </w:tcBorders>
      </w:tcPr>
    </w:tblStylePr>
    <w:tblStylePr w:type="seCell">
      <w:tblPr/>
      <w:tcPr>
        <w:tcBorders>
          <w:top w:val="single" w:sz="4" w:space="0" w:color="9B9B9B" w:themeColor="accent3" w:themeTint="99"/>
        </w:tcBorders>
      </w:tcPr>
    </w:tblStylePr>
    <w:tblStylePr w:type="swCell">
      <w:tblPr/>
      <w:tcPr>
        <w:tcBorders>
          <w:top w:val="single" w:sz="4" w:space="0" w:color="9B9B9B" w:themeColor="accent3" w:themeTint="99"/>
        </w:tcBorders>
      </w:tcPr>
    </w:tblStylePr>
  </w:style>
  <w:style w:type="table" w:styleId="GridTable7Colorful-Accent4">
    <w:name w:val="Grid Table 7 Colorful Accent 4"/>
    <w:basedOn w:val="TableNormal"/>
    <w:uiPriority w:val="52"/>
    <w:semiHidden/>
    <w:rsid w:val="00FD340A"/>
    <w:rPr>
      <w:color w:val="707070" w:themeColor="accent4" w:themeShade="BF"/>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FD340A"/>
    <w:rPr>
      <w:color w:val="474747" w:themeColor="accent5" w:themeShade="BF"/>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FD340A"/>
    <w:rPr>
      <w:color w:val="393939" w:themeColor="accent6" w:themeShade="BF"/>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FD340A"/>
    <w:rPr>
      <w:color w:val="2B579A"/>
      <w:shd w:val="clear" w:color="auto" w:fill="E1DFDD"/>
    </w:rPr>
  </w:style>
  <w:style w:type="table" w:styleId="ListTable1Light">
    <w:name w:val="List Table 1 Light"/>
    <w:basedOn w:val="TableNormal"/>
    <w:uiPriority w:val="46"/>
    <w:semiHidden/>
    <w:rsid w:val="00FD340A"/>
    <w:rPr>
      <w:sz w:val="24"/>
      <w:szCs w:val="24"/>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D340A"/>
    <w:rPr>
      <w:sz w:val="24"/>
      <w:szCs w:val="24"/>
    </w:rPr>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FD340A"/>
    <w:rPr>
      <w:sz w:val="24"/>
      <w:szCs w:val="24"/>
    </w:rPr>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FD340A"/>
    <w:rPr>
      <w:sz w:val="24"/>
      <w:szCs w:val="24"/>
    </w:rPr>
    <w:tblPr>
      <w:tblStyleRowBandSize w:val="1"/>
      <w:tblStyleColBandSize w:val="1"/>
    </w:tblPr>
    <w:tblStylePr w:type="firstRow">
      <w:rPr>
        <w:b/>
        <w:bCs/>
      </w:rPr>
      <w:tblPr/>
      <w:tcPr>
        <w:tcBorders>
          <w:bottom w:val="single" w:sz="4" w:space="0" w:color="9B9B9B" w:themeColor="accent3" w:themeTint="99"/>
        </w:tcBorders>
      </w:tcPr>
    </w:tblStylePr>
    <w:tblStylePr w:type="lastRow">
      <w:rPr>
        <w:b/>
        <w:bCs/>
      </w:rPr>
      <w:tblPr/>
      <w:tcPr>
        <w:tcBorders>
          <w:top w:val="sing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1Light-Accent4">
    <w:name w:val="List Table 1 Light Accent 4"/>
    <w:basedOn w:val="TableNormal"/>
    <w:uiPriority w:val="46"/>
    <w:semiHidden/>
    <w:rsid w:val="00FD340A"/>
    <w:rPr>
      <w:sz w:val="24"/>
      <w:szCs w:val="24"/>
    </w:rPr>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FD340A"/>
    <w:rPr>
      <w:sz w:val="24"/>
      <w:szCs w:val="24"/>
    </w:r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FD340A"/>
    <w:rPr>
      <w:sz w:val="24"/>
      <w:szCs w:val="24"/>
    </w:r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FD340A"/>
    <w:rPr>
      <w:sz w:val="24"/>
      <w:szCs w:val="24"/>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D340A"/>
    <w:rPr>
      <w:sz w:val="24"/>
      <w:szCs w:val="24"/>
    </w:rPr>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FD340A"/>
    <w:rPr>
      <w:sz w:val="24"/>
      <w:szCs w:val="24"/>
    </w:rPr>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FD340A"/>
    <w:rPr>
      <w:sz w:val="24"/>
      <w:szCs w:val="24"/>
    </w:rPr>
    <w:tblPr>
      <w:tblStyleRowBandSize w:val="1"/>
      <w:tblStyleColBandSize w:val="1"/>
      <w:tblBorders>
        <w:top w:val="single" w:sz="4" w:space="0" w:color="9B9B9B" w:themeColor="accent3" w:themeTint="99"/>
        <w:bottom w:val="single" w:sz="4" w:space="0" w:color="9B9B9B" w:themeColor="accent3" w:themeTint="99"/>
        <w:insideH w:val="single" w:sz="4" w:space="0" w:color="9B9B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2-Accent4">
    <w:name w:val="List Table 2 Accent 4"/>
    <w:basedOn w:val="TableNormal"/>
    <w:uiPriority w:val="47"/>
    <w:semiHidden/>
    <w:rsid w:val="00FD340A"/>
    <w:rPr>
      <w:sz w:val="24"/>
      <w:szCs w:val="24"/>
    </w:rPr>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FD340A"/>
    <w:rPr>
      <w:sz w:val="24"/>
      <w:szCs w:val="24"/>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FD340A"/>
    <w:rPr>
      <w:sz w:val="24"/>
      <w:szCs w:val="24"/>
    </w:r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FD340A"/>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D340A"/>
    <w:rPr>
      <w:sz w:val="24"/>
      <w:szCs w:val="24"/>
    </w:rPr>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FFFFFF"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FD340A"/>
    <w:rPr>
      <w:sz w:val="24"/>
      <w:szCs w:val="24"/>
    </w:rPr>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FFFFFF"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FD340A"/>
    <w:rPr>
      <w:sz w:val="24"/>
      <w:szCs w:val="24"/>
    </w:rPr>
    <w:tblPr>
      <w:tblStyleRowBandSize w:val="1"/>
      <w:tblStyleColBandSize w:val="1"/>
      <w:tblBorders>
        <w:top w:val="single" w:sz="4" w:space="0" w:color="595959" w:themeColor="accent3"/>
        <w:left w:val="single" w:sz="4" w:space="0" w:color="595959" w:themeColor="accent3"/>
        <w:bottom w:val="single" w:sz="4" w:space="0" w:color="595959" w:themeColor="accent3"/>
        <w:right w:val="single" w:sz="4" w:space="0" w:color="595959" w:themeColor="accent3"/>
      </w:tblBorders>
    </w:tblPr>
    <w:tblStylePr w:type="firstRow">
      <w:rPr>
        <w:b/>
        <w:bCs/>
        <w:color w:val="FFFFFF" w:themeColor="background1"/>
      </w:rPr>
      <w:tblPr/>
      <w:tcPr>
        <w:shd w:val="clear" w:color="auto" w:fill="595959" w:themeFill="accent3"/>
      </w:tcPr>
    </w:tblStylePr>
    <w:tblStylePr w:type="lastRow">
      <w:rPr>
        <w:b/>
        <w:bCs/>
      </w:rPr>
      <w:tblPr/>
      <w:tcPr>
        <w:tcBorders>
          <w:top w:val="double" w:sz="4" w:space="0" w:color="5959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5959" w:themeColor="accent3"/>
          <w:right w:val="single" w:sz="4" w:space="0" w:color="595959" w:themeColor="accent3"/>
        </w:tcBorders>
      </w:tcPr>
    </w:tblStylePr>
    <w:tblStylePr w:type="band1Horz">
      <w:tblPr/>
      <w:tcPr>
        <w:tcBorders>
          <w:top w:val="single" w:sz="4" w:space="0" w:color="595959" w:themeColor="accent3"/>
          <w:bottom w:val="single" w:sz="4" w:space="0" w:color="5959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5959" w:themeColor="accent3"/>
          <w:left w:val="nil"/>
        </w:tcBorders>
      </w:tcPr>
    </w:tblStylePr>
    <w:tblStylePr w:type="swCell">
      <w:tblPr/>
      <w:tcPr>
        <w:tcBorders>
          <w:top w:val="double" w:sz="4" w:space="0" w:color="595959" w:themeColor="accent3"/>
          <w:right w:val="nil"/>
        </w:tcBorders>
      </w:tcPr>
    </w:tblStylePr>
  </w:style>
  <w:style w:type="table" w:styleId="ListTable3-Accent4">
    <w:name w:val="List Table 3 Accent 4"/>
    <w:basedOn w:val="TableNormal"/>
    <w:uiPriority w:val="48"/>
    <w:semiHidden/>
    <w:rsid w:val="00FD340A"/>
    <w:rPr>
      <w:sz w:val="24"/>
      <w:szCs w:val="24"/>
    </w:rPr>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FFFFFF"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FD340A"/>
    <w:rPr>
      <w:sz w:val="24"/>
      <w:szCs w:val="24"/>
    </w:r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FD340A"/>
    <w:rPr>
      <w:sz w:val="24"/>
      <w:szCs w:val="24"/>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FD340A"/>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D340A"/>
    <w:rPr>
      <w:sz w:val="24"/>
      <w:szCs w:val="24"/>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FFFFFF"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FD340A"/>
    <w:rPr>
      <w:sz w:val="24"/>
      <w:szCs w:val="24"/>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FFFFFF"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FD340A"/>
    <w:rPr>
      <w:sz w:val="24"/>
      <w:szCs w:val="24"/>
    </w:rPr>
    <w:tblPr>
      <w:tblStyleRowBandSize w:val="1"/>
      <w:tblStyleColBandSize w:val="1"/>
      <w:tblBorders>
        <w:top w:val="single" w:sz="4" w:space="0" w:color="9B9B9B" w:themeColor="accent3" w:themeTint="99"/>
        <w:left w:val="single" w:sz="4" w:space="0" w:color="9B9B9B" w:themeColor="accent3" w:themeTint="99"/>
        <w:bottom w:val="single" w:sz="4" w:space="0" w:color="9B9B9B" w:themeColor="accent3" w:themeTint="99"/>
        <w:right w:val="single" w:sz="4" w:space="0" w:color="9B9B9B" w:themeColor="accent3" w:themeTint="99"/>
        <w:insideH w:val="single" w:sz="4" w:space="0" w:color="9B9B9B" w:themeColor="accent3" w:themeTint="99"/>
      </w:tblBorders>
    </w:tblPr>
    <w:tblStylePr w:type="firstRow">
      <w:rPr>
        <w:b/>
        <w:bCs/>
        <w:color w:val="FFFFFF" w:themeColor="background1"/>
      </w:rPr>
      <w:tblPr/>
      <w:tcPr>
        <w:tcBorders>
          <w:top w:val="single" w:sz="4" w:space="0" w:color="595959" w:themeColor="accent3"/>
          <w:left w:val="single" w:sz="4" w:space="0" w:color="595959" w:themeColor="accent3"/>
          <w:bottom w:val="single" w:sz="4" w:space="0" w:color="595959" w:themeColor="accent3"/>
          <w:right w:val="single" w:sz="4" w:space="0" w:color="595959" w:themeColor="accent3"/>
          <w:insideH w:val="nil"/>
        </w:tcBorders>
        <w:shd w:val="clear" w:color="auto" w:fill="595959" w:themeFill="accent3"/>
      </w:tcPr>
    </w:tblStylePr>
    <w:tblStylePr w:type="lastRow">
      <w:rPr>
        <w:b/>
        <w:bCs/>
      </w:rPr>
      <w:tblPr/>
      <w:tcPr>
        <w:tcBorders>
          <w:top w:val="double" w:sz="4" w:space="0" w:color="9B9B9B" w:themeColor="accent3" w:themeTint="99"/>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4-Accent4">
    <w:name w:val="List Table 4 Accent 4"/>
    <w:basedOn w:val="TableNormal"/>
    <w:uiPriority w:val="49"/>
    <w:semiHidden/>
    <w:rsid w:val="00FD340A"/>
    <w:rPr>
      <w:sz w:val="24"/>
      <w:szCs w:val="24"/>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FFFFFF"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FD340A"/>
    <w:rPr>
      <w:sz w:val="24"/>
      <w:szCs w:val="24"/>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FD340A"/>
    <w:rPr>
      <w:sz w:val="24"/>
      <w:szCs w:val="24"/>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FD340A"/>
    <w:rPr>
      <w:color w:val="FFFFFF" w:themeColor="background1"/>
      <w:sz w:val="24"/>
      <w:szCs w:val="24"/>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D340A"/>
    <w:rPr>
      <w:color w:val="FFFFFF" w:themeColor="background1"/>
      <w:sz w:val="24"/>
      <w:szCs w:val="24"/>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D340A"/>
    <w:rPr>
      <w:color w:val="FFFFFF" w:themeColor="background1"/>
      <w:sz w:val="24"/>
      <w:szCs w:val="24"/>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D340A"/>
    <w:rPr>
      <w:color w:val="FFFFFF" w:themeColor="background1"/>
      <w:sz w:val="24"/>
      <w:szCs w:val="24"/>
    </w:rPr>
    <w:tblPr>
      <w:tblStyleRowBandSize w:val="1"/>
      <w:tblStyleColBandSize w:val="1"/>
      <w:tblBorders>
        <w:top w:val="single" w:sz="24" w:space="0" w:color="595959" w:themeColor="accent3"/>
        <w:left w:val="single" w:sz="24" w:space="0" w:color="595959" w:themeColor="accent3"/>
        <w:bottom w:val="single" w:sz="24" w:space="0" w:color="595959" w:themeColor="accent3"/>
        <w:right w:val="single" w:sz="24" w:space="0" w:color="595959" w:themeColor="accent3"/>
      </w:tblBorders>
    </w:tblPr>
    <w:tcPr>
      <w:shd w:val="clear" w:color="auto" w:fill="5959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D340A"/>
    <w:rPr>
      <w:color w:val="FFFFFF" w:themeColor="background1"/>
      <w:sz w:val="24"/>
      <w:szCs w:val="24"/>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D340A"/>
    <w:rPr>
      <w:color w:val="FFFFFF" w:themeColor="background1"/>
      <w:sz w:val="24"/>
      <w:szCs w:val="24"/>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D340A"/>
    <w:rPr>
      <w:color w:val="FFFFFF" w:themeColor="background1"/>
      <w:sz w:val="24"/>
      <w:szCs w:val="24"/>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D340A"/>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D340A"/>
    <w:rPr>
      <w:color w:val="00548C" w:themeColor="accent1" w:themeShade="BF"/>
      <w:sz w:val="24"/>
      <w:szCs w:val="24"/>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FD340A"/>
    <w:rPr>
      <w:color w:val="8F0000" w:themeColor="accent2" w:themeShade="BF"/>
      <w:sz w:val="24"/>
      <w:szCs w:val="24"/>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FD340A"/>
    <w:rPr>
      <w:color w:val="424242" w:themeColor="accent3" w:themeShade="BF"/>
      <w:sz w:val="24"/>
      <w:szCs w:val="24"/>
    </w:rPr>
    <w:tblPr>
      <w:tblStyleRowBandSize w:val="1"/>
      <w:tblStyleColBandSize w:val="1"/>
      <w:tblBorders>
        <w:top w:val="single" w:sz="4" w:space="0" w:color="595959" w:themeColor="accent3"/>
        <w:bottom w:val="single" w:sz="4" w:space="0" w:color="595959" w:themeColor="accent3"/>
      </w:tblBorders>
    </w:tblPr>
    <w:tblStylePr w:type="firstRow">
      <w:rPr>
        <w:b/>
        <w:bCs/>
      </w:rPr>
      <w:tblPr/>
      <w:tcPr>
        <w:tcBorders>
          <w:bottom w:val="single" w:sz="4" w:space="0" w:color="595959" w:themeColor="accent3"/>
        </w:tcBorders>
      </w:tcPr>
    </w:tblStylePr>
    <w:tblStylePr w:type="lastRow">
      <w:rPr>
        <w:b/>
        <w:bCs/>
      </w:rPr>
      <w:tblPr/>
      <w:tcPr>
        <w:tcBorders>
          <w:top w:val="double" w:sz="4" w:space="0" w:color="595959" w:themeColor="accent3"/>
        </w:tcBorders>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table" w:styleId="ListTable6Colorful-Accent4">
    <w:name w:val="List Table 6 Colorful Accent 4"/>
    <w:basedOn w:val="TableNormal"/>
    <w:uiPriority w:val="51"/>
    <w:semiHidden/>
    <w:rsid w:val="00FD340A"/>
    <w:rPr>
      <w:color w:val="707070" w:themeColor="accent4" w:themeShade="BF"/>
      <w:sz w:val="24"/>
      <w:szCs w:val="24"/>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FD340A"/>
    <w:rPr>
      <w:color w:val="474747" w:themeColor="accent5" w:themeShade="BF"/>
      <w:sz w:val="24"/>
      <w:szCs w:val="24"/>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FD340A"/>
    <w:rPr>
      <w:color w:val="393939" w:themeColor="accent6" w:themeShade="BF"/>
      <w:sz w:val="24"/>
      <w:szCs w:val="24"/>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FD340A"/>
    <w:rPr>
      <w:color w:val="000000" w:themeColor="text1"/>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D340A"/>
    <w:rPr>
      <w:color w:val="00548C"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D340A"/>
    <w:rPr>
      <w:color w:val="8F0000" w:themeColor="accent2"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FFFFFF"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D340A"/>
    <w:rPr>
      <w:color w:val="424242"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9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9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9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959" w:themeColor="accent3"/>
        </w:tcBorders>
        <w:shd w:val="clear" w:color="auto" w:fill="FFFFFF" w:themeFill="background1"/>
      </w:tcPr>
    </w:tblStylePr>
    <w:tblStylePr w:type="band1Vert">
      <w:tblPr/>
      <w:tcPr>
        <w:shd w:val="clear" w:color="auto" w:fill="DDDDDD" w:themeFill="accent3" w:themeFillTint="33"/>
      </w:tcPr>
    </w:tblStylePr>
    <w:tblStylePr w:type="band1Horz">
      <w:tblPr/>
      <w:tcPr>
        <w:shd w:val="clear" w:color="auto" w:fill="DDDD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D340A"/>
    <w:rPr>
      <w:color w:val="707070" w:themeColor="accent4"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FFFFFF"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D340A"/>
    <w:rPr>
      <w:color w:val="474747"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D340A"/>
    <w:rPr>
      <w:color w:val="393939"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FD340A"/>
    <w:rPr>
      <w:color w:val="2B579A"/>
      <w:shd w:val="clear" w:color="auto" w:fill="E1DFDD"/>
    </w:rPr>
  </w:style>
  <w:style w:type="table" w:styleId="PlainTable1">
    <w:name w:val="Plain Table 1"/>
    <w:basedOn w:val="TableNormal"/>
    <w:uiPriority w:val="41"/>
    <w:semiHidden/>
    <w:rsid w:val="00FD340A"/>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D340A"/>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D340A"/>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D340A"/>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D340A"/>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FD340A"/>
    <w:rPr>
      <w:u w:val="dotted"/>
    </w:rPr>
  </w:style>
  <w:style w:type="character" w:customStyle="1" w:styleId="SmartLink1">
    <w:name w:val="SmartLink1"/>
    <w:basedOn w:val="DefaultParagraphFont"/>
    <w:uiPriority w:val="99"/>
    <w:semiHidden/>
    <w:unhideWhenUsed/>
    <w:rsid w:val="00FD340A"/>
    <w:rPr>
      <w:color w:val="0000FF"/>
      <w:u w:val="single"/>
      <w:shd w:val="clear" w:color="auto" w:fill="F3F2F1"/>
    </w:rPr>
  </w:style>
  <w:style w:type="table" w:styleId="TableGridLight">
    <w:name w:val="Grid Table Light"/>
    <w:basedOn w:val="TableNormal"/>
    <w:uiPriority w:val="40"/>
    <w:semiHidden/>
    <w:rsid w:val="00FD340A"/>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D340A"/>
    <w:rPr>
      <w:sz w:val="24"/>
      <w:szCs w:val="24"/>
    </w:rPr>
  </w:style>
  <w:style w:type="character" w:customStyle="1" w:styleId="sup">
    <w:name w:val="sup"/>
    <w:basedOn w:val="DefaultParagraphFont"/>
    <w:rsid w:val="002C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_New">
      <a:dk1>
        <a:sysClr val="windowText" lastClr="000000"/>
      </a:dk1>
      <a:lt1>
        <a:srgbClr val="FFFFFF"/>
      </a:lt1>
      <a:dk2>
        <a:srgbClr val="B0B0B0"/>
      </a:dk2>
      <a:lt2>
        <a:srgbClr val="F8F8F8"/>
      </a:lt2>
      <a:accent1>
        <a:srgbClr val="0072BC"/>
      </a:accent1>
      <a:accent2>
        <a:srgbClr val="C00000"/>
      </a:accent2>
      <a:accent3>
        <a:srgbClr val="595959"/>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5E28C-3DCC-45C3-A530-C17EBAD2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20</Pages>
  <Words>7247</Words>
  <Characters>41314</Characters>
  <Application>Microsoft Office Word</Application>
  <DocSecurity>0</DocSecurity>
  <Lines>344</Lines>
  <Paragraphs>96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ECHR</vt:lpstr>
      <vt:lpstr>ECHR</vt:lpstr>
    </vt:vector>
  </TitlesOfParts>
  <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Мария Попова</dc:creator>
  <cp:lastModifiedBy>BOJURA LAZAROVA</cp:lastModifiedBy>
  <cp:revision>35</cp:revision>
  <dcterms:created xsi:type="dcterms:W3CDTF">2025-01-27T09:48:00Z</dcterms:created>
  <dcterms:modified xsi:type="dcterms:W3CDTF">2025-03-28T08:51:00Z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1467153</vt:lpwstr>
  </property>
  <property fmtid="{D5CDD505-2E9C-101B-9397-08002B2CF9AE}" pid="3" name="cstLanguage">
    <vt:i4>1036</vt:i4>
  </property>
  <property fmtid="{D5CDD505-2E9C-101B-9397-08002B2CF9AE}" pid="4" name="RegisteredNo">
    <vt:lpwstr>39127/19</vt:lpwstr>
  </property>
  <property fmtid="{D5CDD505-2E9C-101B-9397-08002B2CF9AE}" pid="5" name="_MarkAsFinal">
    <vt:bool>true</vt:bool>
  </property>
</Properties>
</file>