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79" w:rsidRPr="005E3909" w:rsidRDefault="00FA6179" w:rsidP="00FA6179">
      <w:pPr>
        <w:jc w:val="center"/>
      </w:pPr>
      <w:bookmarkStart w:id="0" w:name="_GoBack"/>
      <w:bookmarkEnd w:id="0"/>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tabs>
          <w:tab w:val="left" w:pos="5529"/>
        </w:tabs>
        <w:jc w:val="center"/>
      </w:pPr>
      <w:r>
        <w:rPr>
          <w:rStyle w:val="Normal"/>
        </w:rPr>
        <w:t>ПЕТО ОТДЕЛЕНИЕ</w:t>
      </w: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outlineLvl w:val="0"/>
        <w:rPr>
          <w:b/>
        </w:rPr>
      </w:pPr>
      <w:r>
        <w:rPr>
          <w:rStyle w:val="Normal"/>
          <w:b/>
        </w:rPr>
        <w:t xml:space="preserve">ДЕЛО КУЛИНСКИ И СЪБЕВ </w:t>
      </w:r>
      <w:r w:rsidR="00B76259">
        <w:rPr>
          <w:rStyle w:val="Normal"/>
          <w:b/>
        </w:rPr>
        <w:t xml:space="preserve">срещу </w:t>
      </w:r>
      <w:r>
        <w:rPr>
          <w:rStyle w:val="Normal"/>
          <w:b/>
        </w:rPr>
        <w:t>БЪЛГАРИЯ</w:t>
      </w:r>
    </w:p>
    <w:p w:rsidR="00FA6179" w:rsidRPr="005E3909" w:rsidRDefault="00FA6179" w:rsidP="00FA6179">
      <w:pPr>
        <w:jc w:val="center"/>
      </w:pPr>
    </w:p>
    <w:p w:rsidR="00FA6179" w:rsidRPr="005E3909" w:rsidRDefault="00FA6179" w:rsidP="00FA6179">
      <w:pPr>
        <w:jc w:val="center"/>
        <w:rPr>
          <w:i/>
        </w:rPr>
      </w:pPr>
      <w:r>
        <w:rPr>
          <w:rStyle w:val="Normal"/>
          <w:i/>
        </w:rPr>
        <w:t xml:space="preserve">(Жалба </w:t>
      </w:r>
      <w:r>
        <w:rPr>
          <w:rStyle w:val="Normal"/>
          <w:i/>
          <w:cs/>
        </w:rPr>
        <w:t xml:space="preserve">№ </w:t>
      </w:r>
      <w:r>
        <w:rPr>
          <w:rStyle w:val="Normal"/>
          <w:i/>
        </w:rPr>
        <w:t>63849/09)</w:t>
      </w: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outlineLvl w:val="0"/>
      </w:pPr>
      <w:r>
        <w:rPr>
          <w:rStyle w:val="Normal"/>
        </w:rPr>
        <w:t>РЕШЕНИЕ</w:t>
      </w: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rPr>
          <w:i/>
        </w:rPr>
      </w:pPr>
    </w:p>
    <w:p w:rsidR="00FA6179" w:rsidRPr="005E3909" w:rsidRDefault="00FA6179" w:rsidP="00FA6179">
      <w:pPr>
        <w:jc w:val="center"/>
        <w:outlineLvl w:val="0"/>
      </w:pPr>
      <w:r>
        <w:rPr>
          <w:rStyle w:val="Normal"/>
        </w:rPr>
        <w:t>СТРАСБУРГ</w:t>
      </w:r>
    </w:p>
    <w:p w:rsidR="00FA6179" w:rsidRPr="005E3909" w:rsidRDefault="00FA6179" w:rsidP="00FA6179">
      <w:pPr>
        <w:jc w:val="center"/>
      </w:pPr>
    </w:p>
    <w:p w:rsidR="00FA6179" w:rsidRPr="005E3909" w:rsidRDefault="00FA6179" w:rsidP="00FA6179">
      <w:pPr>
        <w:jc w:val="center"/>
      </w:pPr>
      <w:r>
        <w:rPr>
          <w:rStyle w:val="Normal"/>
        </w:rPr>
        <w:t>21 юли 2016 г.</w:t>
      </w: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jc w:val="center"/>
      </w:pPr>
    </w:p>
    <w:p w:rsidR="00FA6179" w:rsidRPr="005E3909" w:rsidRDefault="00FA6179" w:rsidP="00FA6179">
      <w:pPr>
        <w:rPr>
          <w:i/>
          <w:sz w:val="22"/>
        </w:rPr>
      </w:pPr>
      <w:r>
        <w:rPr>
          <w:rStyle w:val="Normal"/>
          <w:i/>
          <w:sz w:val="22"/>
        </w:rPr>
        <w:t>Това решение ще стане окончателно при условията</w:t>
      </w:r>
      <w:r w:rsidR="00B76259">
        <w:rPr>
          <w:rStyle w:val="Normal"/>
          <w:i/>
          <w:sz w:val="22"/>
        </w:rPr>
        <w:t>,</w:t>
      </w:r>
      <w:r>
        <w:rPr>
          <w:rStyle w:val="Normal"/>
          <w:i/>
          <w:sz w:val="22"/>
        </w:rPr>
        <w:t xml:space="preserve"> </w:t>
      </w:r>
      <w:r w:rsidR="00B76259">
        <w:rPr>
          <w:rStyle w:val="Normal"/>
          <w:i/>
          <w:sz w:val="22"/>
        </w:rPr>
        <w:t xml:space="preserve">посочени в </w:t>
      </w:r>
      <w:r>
        <w:rPr>
          <w:rStyle w:val="Normal"/>
          <w:i/>
          <w:sz w:val="22"/>
        </w:rPr>
        <w:t>чл. 44, ал. 2 от Конвенцията. Може да бъде предмет на редакционни промени.</w:t>
      </w:r>
    </w:p>
    <w:p w:rsidR="00FA6179" w:rsidRDefault="00FA6179" w:rsidP="00FA6179">
      <w:pPr>
        <w:sectPr w:rsidR="00FA6179">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noEndnote/>
        </w:sectPr>
      </w:pPr>
    </w:p>
    <w:p w:rsidR="00FA6179" w:rsidRPr="005E3909" w:rsidRDefault="00FA6179" w:rsidP="00FA6179">
      <w:pPr>
        <w:pStyle w:val="JuCase"/>
      </w:pPr>
      <w:r>
        <w:rPr>
          <w:rStyle w:val="JuCase"/>
        </w:rPr>
        <w:lastRenderedPageBreak/>
        <w:t xml:space="preserve">По делото </w:t>
      </w:r>
      <w:proofErr w:type="spellStart"/>
      <w:r>
        <w:rPr>
          <w:rStyle w:val="JuCase"/>
        </w:rPr>
        <w:t>Кулински</w:t>
      </w:r>
      <w:proofErr w:type="spellEnd"/>
      <w:r>
        <w:rPr>
          <w:rStyle w:val="JuCase"/>
        </w:rPr>
        <w:t xml:space="preserve"> и Събев срещу България,</w:t>
      </w:r>
    </w:p>
    <w:p w:rsidR="00FA6179" w:rsidRPr="005E3909" w:rsidRDefault="00FA6179" w:rsidP="00FA6179">
      <w:pPr>
        <w:pStyle w:val="ECHRPara"/>
      </w:pPr>
      <w:r>
        <w:rPr>
          <w:rStyle w:val="ECHRPara"/>
        </w:rPr>
        <w:t>Европейският съд по правата на човека (Пето отделение), заседаващ в състав:</w:t>
      </w:r>
    </w:p>
    <w:p w:rsidR="00FA6179" w:rsidRPr="005E3909" w:rsidRDefault="00FA6179" w:rsidP="00FA6179">
      <w:pPr>
        <w:pStyle w:val="ECHRDecisionBody"/>
      </w:pPr>
      <w:r>
        <w:rPr>
          <w:rStyle w:val="ECHRDecisionBody"/>
        </w:rPr>
        <w:tab/>
      </w:r>
      <w:proofErr w:type="spellStart"/>
      <w:r>
        <w:t>Ангелика</w:t>
      </w:r>
      <w:proofErr w:type="spellEnd"/>
      <w:r>
        <w:t xml:space="preserve"> </w:t>
      </w:r>
      <w:proofErr w:type="spellStart"/>
      <w:r>
        <w:t>Нусбергер</w:t>
      </w:r>
      <w:proofErr w:type="spellEnd"/>
      <w:r>
        <w:t xml:space="preserve"> (</w:t>
      </w:r>
      <w:proofErr w:type="spellStart"/>
      <w:r>
        <w:t>Angelika</w:t>
      </w:r>
      <w:proofErr w:type="spellEnd"/>
      <w:r>
        <w:t xml:space="preserve"> </w:t>
      </w:r>
      <w:proofErr w:type="spellStart"/>
      <w:r>
        <w:t>Nußberger</w:t>
      </w:r>
      <w:proofErr w:type="spellEnd"/>
      <w:r>
        <w:t xml:space="preserve">), </w:t>
      </w:r>
      <w:r>
        <w:rPr>
          <w:i/>
        </w:rPr>
        <w:t>председател</w:t>
      </w:r>
      <w:r>
        <w:t>,</w:t>
      </w:r>
      <w:r>
        <w:br/>
      </w:r>
      <w:r>
        <w:tab/>
      </w:r>
      <w:proofErr w:type="spellStart"/>
      <w:r w:rsidR="00DF7D74" w:rsidRPr="00567DB3">
        <w:t>Кх</w:t>
      </w:r>
      <w:r w:rsidR="00DF7D74" w:rsidRPr="0074533B">
        <w:t>анлар</w:t>
      </w:r>
      <w:proofErr w:type="spellEnd"/>
      <w:r w:rsidR="00DF7D74" w:rsidRPr="0074533B">
        <w:t xml:space="preserve"> </w:t>
      </w:r>
      <w:r w:rsidRPr="0074533B">
        <w:t>Хаджиев</w:t>
      </w:r>
      <w:r>
        <w:t xml:space="preserve"> (</w:t>
      </w:r>
      <w:proofErr w:type="spellStart"/>
      <w:r>
        <w:t>Khanlar</w:t>
      </w:r>
      <w:proofErr w:type="spellEnd"/>
      <w:r>
        <w:t xml:space="preserve"> </w:t>
      </w:r>
      <w:proofErr w:type="spellStart"/>
      <w:r>
        <w:t>Hajiyev</w:t>
      </w:r>
      <w:proofErr w:type="spellEnd"/>
      <w:r>
        <w:t>),</w:t>
      </w:r>
      <w:r>
        <w:br/>
      </w:r>
      <w:r>
        <w:tab/>
      </w:r>
      <w:r w:rsidRPr="0074533B">
        <w:t>Ери</w:t>
      </w:r>
      <w:r w:rsidR="00DF7D74" w:rsidRPr="00567DB3">
        <w:t>к</w:t>
      </w:r>
      <w:r w:rsidRPr="0074533B">
        <w:t xml:space="preserve"> </w:t>
      </w:r>
      <w:proofErr w:type="spellStart"/>
      <w:r w:rsidRPr="0074533B">
        <w:t>Мьозе</w:t>
      </w:r>
      <w:proofErr w:type="spellEnd"/>
      <w:r>
        <w:t xml:space="preserve"> (</w:t>
      </w:r>
      <w:proofErr w:type="spellStart"/>
      <w:r>
        <w:t>Erik</w:t>
      </w:r>
      <w:proofErr w:type="spellEnd"/>
      <w:r>
        <w:t xml:space="preserve"> </w:t>
      </w:r>
      <w:proofErr w:type="spellStart"/>
      <w:r>
        <w:t>Møse</w:t>
      </w:r>
      <w:proofErr w:type="spellEnd"/>
      <w:r>
        <w:t>),</w:t>
      </w:r>
      <w:r>
        <w:br/>
      </w:r>
      <w:r>
        <w:tab/>
      </w:r>
      <w:r w:rsidRPr="0074533B">
        <w:t xml:space="preserve">Андре </w:t>
      </w:r>
      <w:proofErr w:type="spellStart"/>
      <w:r w:rsidRPr="0074533B">
        <w:t>Пото</w:t>
      </w:r>
      <w:r w:rsidR="00DF7D74" w:rsidRPr="00567DB3">
        <w:t>ц</w:t>
      </w:r>
      <w:r w:rsidRPr="0074533B">
        <w:t>ки</w:t>
      </w:r>
      <w:proofErr w:type="spellEnd"/>
      <w:r>
        <w:t xml:space="preserve"> (</w:t>
      </w:r>
      <w:proofErr w:type="spellStart"/>
      <w:r>
        <w:t>André</w:t>
      </w:r>
      <w:proofErr w:type="spellEnd"/>
      <w:r>
        <w:t xml:space="preserve"> </w:t>
      </w:r>
      <w:proofErr w:type="spellStart"/>
      <w:r>
        <w:t>Potocki</w:t>
      </w:r>
      <w:proofErr w:type="spellEnd"/>
      <w:r>
        <w:t>),</w:t>
      </w:r>
      <w:r>
        <w:br/>
      </w:r>
      <w:r>
        <w:tab/>
      </w:r>
      <w:proofErr w:type="spellStart"/>
      <w:r>
        <w:t>Шифра</w:t>
      </w:r>
      <w:proofErr w:type="spellEnd"/>
      <w:r>
        <w:t xml:space="preserve"> О</w:t>
      </w:r>
      <w:r>
        <w:rPr>
          <w:cs/>
        </w:rPr>
        <w:t>’</w:t>
      </w:r>
      <w:r>
        <w:t>Лири (</w:t>
      </w:r>
      <w:proofErr w:type="spellStart"/>
      <w:r>
        <w:t>Síofra</w:t>
      </w:r>
      <w:proofErr w:type="spellEnd"/>
      <w:r>
        <w:t xml:space="preserve"> O</w:t>
      </w:r>
      <w:r>
        <w:rPr>
          <w:cs/>
        </w:rPr>
        <w:t>’</w:t>
      </w:r>
      <w:proofErr w:type="spellStart"/>
      <w:r>
        <w:t>Leary</w:t>
      </w:r>
      <w:proofErr w:type="spellEnd"/>
      <w:r>
        <w:t>),</w:t>
      </w:r>
      <w:r>
        <w:br/>
      </w:r>
      <w:r>
        <w:tab/>
        <w:t xml:space="preserve">Карло </w:t>
      </w:r>
      <w:proofErr w:type="spellStart"/>
      <w:r>
        <w:t>Ранцони</w:t>
      </w:r>
      <w:proofErr w:type="spellEnd"/>
      <w:r>
        <w:t xml:space="preserve"> (</w:t>
      </w:r>
      <w:proofErr w:type="spellStart"/>
      <w:r>
        <w:t>Carlo</w:t>
      </w:r>
      <w:proofErr w:type="spellEnd"/>
      <w:r>
        <w:t xml:space="preserve"> </w:t>
      </w:r>
      <w:proofErr w:type="spellStart"/>
      <w:r>
        <w:t>Ranzoni</w:t>
      </w:r>
      <w:proofErr w:type="spellEnd"/>
      <w:r>
        <w:t xml:space="preserve">), </w:t>
      </w:r>
      <w:r>
        <w:rPr>
          <w:i/>
        </w:rPr>
        <w:t>съдии</w:t>
      </w:r>
      <w:r>
        <w:br/>
      </w:r>
      <w:r>
        <w:tab/>
        <w:t xml:space="preserve">Павлина Панова (Pavlina Panova), </w:t>
      </w:r>
      <w:proofErr w:type="spellStart"/>
      <w:r>
        <w:t>ad</w:t>
      </w:r>
      <w:proofErr w:type="spellEnd"/>
      <w:r>
        <w:t xml:space="preserve"> </w:t>
      </w:r>
      <w:proofErr w:type="spellStart"/>
      <w:r>
        <w:t>hoc</w:t>
      </w:r>
      <w:proofErr w:type="spellEnd"/>
      <w:r>
        <w:t xml:space="preserve"> </w:t>
      </w:r>
      <w:r>
        <w:rPr>
          <w:i/>
        </w:rPr>
        <w:t>съдия</w:t>
      </w:r>
      <w:r>
        <w:br/>
        <w:t xml:space="preserve">и </w:t>
      </w:r>
      <w:proofErr w:type="spellStart"/>
      <w:r>
        <w:t>Клаудия</w:t>
      </w:r>
      <w:proofErr w:type="spellEnd"/>
      <w:r>
        <w:t xml:space="preserve"> </w:t>
      </w:r>
      <w:proofErr w:type="spellStart"/>
      <w:r>
        <w:t>Вестердик</w:t>
      </w:r>
      <w:proofErr w:type="spellEnd"/>
      <w:r>
        <w:t xml:space="preserve"> (</w:t>
      </w:r>
      <w:proofErr w:type="spellStart"/>
      <w:r>
        <w:t>Claudia</w:t>
      </w:r>
      <w:proofErr w:type="spellEnd"/>
      <w:r>
        <w:t xml:space="preserve"> </w:t>
      </w:r>
      <w:proofErr w:type="spellStart"/>
      <w:r>
        <w:t>Westerdiek</w:t>
      </w:r>
      <w:proofErr w:type="spellEnd"/>
      <w:r>
        <w:t xml:space="preserve">), </w:t>
      </w:r>
      <w:r>
        <w:rPr>
          <w:i/>
        </w:rPr>
        <w:t>секретар на отделението</w:t>
      </w:r>
      <w:r>
        <w:t>,</w:t>
      </w:r>
    </w:p>
    <w:p w:rsidR="00FA6179" w:rsidRPr="005E3909" w:rsidRDefault="00FA6179" w:rsidP="00FA6179">
      <w:pPr>
        <w:pStyle w:val="ECHRPara"/>
      </w:pPr>
      <w:r>
        <w:rPr>
          <w:rStyle w:val="ECHRPara"/>
        </w:rPr>
        <w:t>След закрито заседание, проведено на 28 юни 2016 г.,</w:t>
      </w:r>
    </w:p>
    <w:p w:rsidR="00FA6179" w:rsidRPr="005E3909" w:rsidRDefault="00FA6179" w:rsidP="00FA6179">
      <w:pPr>
        <w:pStyle w:val="ECHRPara"/>
      </w:pPr>
      <w:r>
        <w:rPr>
          <w:rStyle w:val="ECHRPara"/>
        </w:rPr>
        <w:t xml:space="preserve">Постановява следното решение, прието на </w:t>
      </w:r>
      <w:r w:rsidR="0094678E">
        <w:rPr>
          <w:rStyle w:val="ECHRPara"/>
        </w:rPr>
        <w:t xml:space="preserve">същата </w:t>
      </w:r>
      <w:r>
        <w:rPr>
          <w:rStyle w:val="ECHRPara"/>
        </w:rPr>
        <w:t>дата:</w:t>
      </w:r>
    </w:p>
    <w:p w:rsidR="00FA6179" w:rsidRPr="005E3909" w:rsidRDefault="00FA6179" w:rsidP="00FA6179">
      <w:pPr>
        <w:pStyle w:val="ECHRTitle1"/>
      </w:pPr>
      <w:r>
        <w:rPr>
          <w:rStyle w:val="ECHRTitle1"/>
        </w:rPr>
        <w:t>ПРОЦЕДУРА</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1</w:t>
      </w:r>
      <w:r>
        <w:fldChar w:fldCharType="end"/>
      </w:r>
      <w:r>
        <w:t>.</w:t>
      </w:r>
      <w:r>
        <w:rPr>
          <w:rStyle w:val="ECHRPara"/>
        </w:rPr>
        <w:t>  Делото е образувано по жалба (</w:t>
      </w:r>
      <w:r>
        <w:rPr>
          <w:rStyle w:val="ECHRPara"/>
          <w:cs/>
        </w:rPr>
        <w:t xml:space="preserve">№ </w:t>
      </w:r>
      <w:r>
        <w:rPr>
          <w:rStyle w:val="ECHRPara"/>
        </w:rPr>
        <w:t>63849/09) срещу Република България, подадена в Съда на основание чл. 34 от Конвенцията за защита на правата на човека и основните свободи (</w:t>
      </w:r>
      <w:r>
        <w:rPr>
          <w:rStyle w:val="ECHRPara"/>
          <w:cs/>
        </w:rPr>
        <w:t>”</w:t>
      </w:r>
      <w:r>
        <w:rPr>
          <w:rStyle w:val="ECHRPara"/>
        </w:rPr>
        <w:t>Конвенцията</w:t>
      </w:r>
      <w:r>
        <w:rPr>
          <w:rStyle w:val="ECHRPara"/>
          <w:cs/>
        </w:rPr>
        <w:t>”</w:t>
      </w:r>
      <w:r>
        <w:rPr>
          <w:rStyle w:val="ECHRPara"/>
        </w:rPr>
        <w:t xml:space="preserve">) на 30 ноември 2009 г. от двама български граждани, г-н Крум Йорданов </w:t>
      </w:r>
      <w:proofErr w:type="spellStart"/>
      <w:r>
        <w:rPr>
          <w:rStyle w:val="ECHRPara"/>
        </w:rPr>
        <w:t>Кулински</w:t>
      </w:r>
      <w:proofErr w:type="spellEnd"/>
      <w:r>
        <w:rPr>
          <w:rStyle w:val="ECHRPara"/>
        </w:rPr>
        <w:t xml:space="preserve"> и г-н Асен Тодоров Събев (</w:t>
      </w:r>
      <w:r>
        <w:rPr>
          <w:rStyle w:val="ECHRPara"/>
          <w:cs/>
        </w:rPr>
        <w:t>”</w:t>
      </w:r>
      <w:r>
        <w:rPr>
          <w:rStyle w:val="ECHRPara"/>
        </w:rPr>
        <w:t>жалбоподателите</w:t>
      </w:r>
      <w:r>
        <w:rPr>
          <w:rStyle w:val="ECHRPara"/>
          <w:cs/>
        </w:rPr>
        <w:t>”</w:t>
      </w:r>
      <w:r>
        <w:rPr>
          <w:rStyle w:val="ECHRPara"/>
        </w:rPr>
        <w:t>), родени съответно през 1970 и 1977 г.</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2</w:t>
      </w:r>
      <w:r>
        <w:fldChar w:fldCharType="end"/>
      </w:r>
      <w:r>
        <w:rPr>
          <w:rStyle w:val="ECHRPara"/>
        </w:rPr>
        <w:t>.  Жалбоподателите с</w:t>
      </w:r>
      <w:r w:rsidR="0094678E">
        <w:rPr>
          <w:rStyle w:val="ECHRPara"/>
        </w:rPr>
        <w:t>а</w:t>
      </w:r>
      <w:r>
        <w:rPr>
          <w:rStyle w:val="ECHRPara"/>
        </w:rPr>
        <w:t xml:space="preserve"> представлява</w:t>
      </w:r>
      <w:r w:rsidR="0094678E">
        <w:rPr>
          <w:rStyle w:val="ECHRPara"/>
        </w:rPr>
        <w:t>ни</w:t>
      </w:r>
      <w:r>
        <w:rPr>
          <w:rStyle w:val="ECHRPara"/>
        </w:rPr>
        <w:t xml:space="preserve"> от г</w:t>
      </w:r>
      <w:r w:rsidRPr="0074533B">
        <w:rPr>
          <w:rStyle w:val="ECHRPara"/>
        </w:rPr>
        <w:t>-н К. Кънев от Българския хелзинкски комитет</w:t>
      </w:r>
      <w:r>
        <w:rPr>
          <w:rStyle w:val="ECHRPara"/>
        </w:rPr>
        <w:t>. Българското правителство (</w:t>
      </w:r>
      <w:r>
        <w:rPr>
          <w:rStyle w:val="ECHRPara"/>
          <w:cs/>
        </w:rPr>
        <w:t>„</w:t>
      </w:r>
      <w:r>
        <w:rPr>
          <w:rStyle w:val="ECHRPara"/>
        </w:rPr>
        <w:t>Правителството</w:t>
      </w:r>
      <w:r>
        <w:rPr>
          <w:rStyle w:val="ECHRPara"/>
          <w:cs/>
        </w:rPr>
        <w:t>”</w:t>
      </w:r>
      <w:r>
        <w:rPr>
          <w:rStyle w:val="ECHRPara"/>
        </w:rPr>
        <w:t>) се представлява от правителствения агент г-жа Р. Николова от Министерство на правосъдието.</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3</w:t>
      </w:r>
      <w:r>
        <w:fldChar w:fldCharType="end"/>
      </w:r>
      <w:r>
        <w:rPr>
          <w:rStyle w:val="ECHRPara"/>
        </w:rPr>
        <w:t xml:space="preserve">.  Жалбоподателите твърдят, че са били възпрепятствани да гласуват по време на изтърпяване на </w:t>
      </w:r>
      <w:r w:rsidR="00004A97">
        <w:rPr>
          <w:rStyle w:val="ECHRPara"/>
        </w:rPr>
        <w:t>наказани</w:t>
      </w:r>
      <w:r w:rsidR="008238ED">
        <w:rPr>
          <w:rStyle w:val="ECHRPara"/>
        </w:rPr>
        <w:t>я</w:t>
      </w:r>
      <w:r w:rsidR="00004A97">
        <w:rPr>
          <w:rStyle w:val="ECHRPara"/>
        </w:rPr>
        <w:t xml:space="preserve"> лишаване от свобода</w:t>
      </w:r>
      <w:r>
        <w:rPr>
          <w:rStyle w:val="ECHRPara"/>
        </w:rPr>
        <w:t xml:space="preserve"> с различна продължителност.</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4</w:t>
      </w:r>
      <w:r>
        <w:fldChar w:fldCharType="end"/>
      </w:r>
      <w:r>
        <w:rPr>
          <w:rStyle w:val="ECHRPara"/>
        </w:rPr>
        <w:t xml:space="preserve">.  На 4 юни 2015 г. оплакванията, отнасящи се до невъзможността на жалбоподателите да гласуват, докато изтърпяват </w:t>
      </w:r>
      <w:r w:rsidR="00D251AE">
        <w:rPr>
          <w:rStyle w:val="ECHRPara"/>
        </w:rPr>
        <w:t>наказани</w:t>
      </w:r>
      <w:r w:rsidR="008238ED">
        <w:rPr>
          <w:rStyle w:val="ECHRPara"/>
        </w:rPr>
        <w:t>я</w:t>
      </w:r>
      <w:r w:rsidR="00D251AE">
        <w:rPr>
          <w:rStyle w:val="ECHRPara"/>
        </w:rPr>
        <w:t xml:space="preserve"> лишаване от свобода</w:t>
      </w:r>
      <w:r>
        <w:rPr>
          <w:rStyle w:val="ECHRPara"/>
        </w:rPr>
        <w:t>, са съобщени на Правителството, а останалата част от жалбата е обявена за недопустима съгласно</w:t>
      </w:r>
      <w:r w:rsidR="00900177">
        <w:rPr>
          <w:rStyle w:val="ECHRPara"/>
        </w:rPr>
        <w:t xml:space="preserve"> </w:t>
      </w:r>
      <w:r w:rsidR="00D251AE">
        <w:rPr>
          <w:rStyle w:val="ECHRPara"/>
        </w:rPr>
        <w:t>правило</w:t>
      </w:r>
      <w:r>
        <w:rPr>
          <w:rStyle w:val="ECHRPara"/>
        </w:rPr>
        <w:t xml:space="preserve"> 54 § 3 от Правилника на Съда.</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5</w:t>
      </w:r>
      <w:r>
        <w:fldChar w:fldCharType="end"/>
      </w:r>
      <w:r>
        <w:rPr>
          <w:rStyle w:val="ECHRPara"/>
        </w:rPr>
        <w:t>.  Г-н Йонко Грозев, избран</w:t>
      </w:r>
      <w:r w:rsidR="00EE137B">
        <w:rPr>
          <w:rStyle w:val="ECHRPara"/>
        </w:rPr>
        <w:t>ият</w:t>
      </w:r>
      <w:r>
        <w:rPr>
          <w:rStyle w:val="ECHRPara"/>
        </w:rPr>
        <w:t xml:space="preserve"> от името на България</w:t>
      </w:r>
      <w:r w:rsidR="00EE137B">
        <w:rPr>
          <w:rStyle w:val="ECHRPara"/>
        </w:rPr>
        <w:t xml:space="preserve"> съдия</w:t>
      </w:r>
      <w:r>
        <w:rPr>
          <w:rStyle w:val="ECHRPara"/>
        </w:rPr>
        <w:t>, се оттегля от делото (</w:t>
      </w:r>
      <w:r w:rsidR="00EE137B">
        <w:rPr>
          <w:rStyle w:val="ECHRPara"/>
        </w:rPr>
        <w:t>правило</w:t>
      </w:r>
      <w:r>
        <w:rPr>
          <w:rStyle w:val="ECHRPara"/>
        </w:rPr>
        <w:t xml:space="preserve"> 28 § 3 от Правилника на Съда). Съответно </w:t>
      </w:r>
      <w:r w:rsidR="00FA5292">
        <w:rPr>
          <w:rStyle w:val="ECHRPara"/>
        </w:rPr>
        <w:t>П</w:t>
      </w:r>
      <w:r>
        <w:rPr>
          <w:rStyle w:val="ECHRPara"/>
        </w:rPr>
        <w:t xml:space="preserve">редседателят </w:t>
      </w:r>
      <w:r w:rsidR="00900177">
        <w:rPr>
          <w:rStyle w:val="ECHRPara"/>
        </w:rPr>
        <w:t xml:space="preserve">на Пето отделение </w:t>
      </w:r>
      <w:r>
        <w:rPr>
          <w:rStyle w:val="ECHRPara"/>
        </w:rPr>
        <w:t xml:space="preserve">назначава г-жа Павлина Панова да заседава като </w:t>
      </w:r>
      <w:proofErr w:type="spellStart"/>
      <w:r>
        <w:rPr>
          <w:rStyle w:val="ECHRPara"/>
          <w:i/>
        </w:rPr>
        <w:t>ad</w:t>
      </w:r>
      <w:proofErr w:type="spellEnd"/>
      <w:r>
        <w:rPr>
          <w:rStyle w:val="ECHRPara"/>
          <w:i/>
        </w:rPr>
        <w:t xml:space="preserve"> </w:t>
      </w:r>
      <w:proofErr w:type="spellStart"/>
      <w:r>
        <w:rPr>
          <w:rStyle w:val="ECHRPara"/>
          <w:i/>
        </w:rPr>
        <w:t>hoc</w:t>
      </w:r>
      <w:proofErr w:type="spellEnd"/>
      <w:r>
        <w:rPr>
          <w:rStyle w:val="ECHRPara"/>
        </w:rPr>
        <w:t xml:space="preserve"> съдия (чл. 26 § 4 от Конвенцията </w:t>
      </w:r>
      <w:proofErr w:type="spellStart"/>
      <w:r>
        <w:rPr>
          <w:rStyle w:val="ECHRPara"/>
        </w:rPr>
        <w:t>и</w:t>
      </w:r>
      <w:r w:rsidR="00EE137B">
        <w:rPr>
          <w:rStyle w:val="ECHRPara"/>
        </w:rPr>
        <w:t>правило</w:t>
      </w:r>
      <w:proofErr w:type="spellEnd"/>
      <w:r>
        <w:rPr>
          <w:rStyle w:val="ECHRPara"/>
        </w:rPr>
        <w:t xml:space="preserve"> 29 от Правилника на Съда).</w:t>
      </w:r>
    </w:p>
    <w:p w:rsidR="00FA6179" w:rsidRPr="005E3909" w:rsidRDefault="00FA6179" w:rsidP="00FA6179">
      <w:pPr>
        <w:pStyle w:val="ECHRTitle1"/>
      </w:pPr>
      <w:r>
        <w:rPr>
          <w:rStyle w:val="ECHRTitle1"/>
        </w:rPr>
        <w:lastRenderedPageBreak/>
        <w:t>ФАКТИТЕ</w:t>
      </w:r>
    </w:p>
    <w:p w:rsidR="00FA6179" w:rsidRPr="005E3909" w:rsidRDefault="00FA6179" w:rsidP="00FA6179">
      <w:pPr>
        <w:pStyle w:val="ECHRHeading1"/>
      </w:pPr>
      <w:r>
        <w:rPr>
          <w:rStyle w:val="ECHRHeading1"/>
        </w:rPr>
        <w:t>I.  ОБСТОЯТЕЛСТВАТА НА ДЕЛОТО</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6</w:t>
      </w:r>
      <w:r>
        <w:fldChar w:fldCharType="end"/>
      </w:r>
      <w:r>
        <w:rPr>
          <w:rStyle w:val="ECHRPara"/>
        </w:rPr>
        <w:t xml:space="preserve">.  Първият жалбоподател, г-н </w:t>
      </w:r>
      <w:proofErr w:type="spellStart"/>
      <w:r>
        <w:rPr>
          <w:rStyle w:val="ECHRPara"/>
        </w:rPr>
        <w:t>Кулински</w:t>
      </w:r>
      <w:proofErr w:type="spellEnd"/>
      <w:r>
        <w:rPr>
          <w:rStyle w:val="ECHRPara"/>
        </w:rPr>
        <w:t xml:space="preserve">, е осъден за хулиганство на 16 май 2008 г. с окончателно решение на Софийски градски съд. Той изтърпява </w:t>
      </w:r>
      <w:r w:rsidR="009D4498" w:rsidRPr="00567DB3">
        <w:rPr>
          <w:rStyle w:val="ECHRPara"/>
        </w:rPr>
        <w:t>наказанието</w:t>
      </w:r>
      <w:r w:rsidR="009D4498">
        <w:rPr>
          <w:rStyle w:val="ECHRPara"/>
        </w:rPr>
        <w:t xml:space="preserve"> </w:t>
      </w:r>
      <w:r>
        <w:rPr>
          <w:rStyle w:val="ECHRPara"/>
        </w:rPr>
        <w:t xml:space="preserve">си в </w:t>
      </w:r>
      <w:r w:rsidRPr="0074533B">
        <w:rPr>
          <w:rStyle w:val="ECHRPara"/>
        </w:rPr>
        <w:t>затвора в гр. София</w:t>
      </w:r>
      <w:r>
        <w:rPr>
          <w:rStyle w:val="ECHRPara"/>
        </w:rPr>
        <w:t xml:space="preserve"> между 6 ноември 2008 г. и 30 декември 2009 г. След като изтърпява </w:t>
      </w:r>
      <w:r w:rsidR="00CC3994" w:rsidRPr="00567DB3">
        <w:rPr>
          <w:rStyle w:val="ECHRPara"/>
        </w:rPr>
        <w:t>пълното</w:t>
      </w:r>
      <w:r w:rsidRPr="00567DB3">
        <w:rPr>
          <w:rStyle w:val="ECHRPara"/>
        </w:rPr>
        <w:t xml:space="preserve"> </w:t>
      </w:r>
      <w:r w:rsidR="00CC3994" w:rsidRPr="00567DB3">
        <w:rPr>
          <w:rStyle w:val="ECHRPara"/>
        </w:rPr>
        <w:t>наказание</w:t>
      </w:r>
      <w:r>
        <w:rPr>
          <w:rStyle w:val="ECHRPara"/>
        </w:rPr>
        <w:t>, той е освободен на последната дата.</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7</w:t>
      </w:r>
      <w:r>
        <w:fldChar w:fldCharType="end"/>
      </w:r>
      <w:r>
        <w:rPr>
          <w:rStyle w:val="ECHRPara"/>
        </w:rPr>
        <w:t>.  </w:t>
      </w:r>
      <w:r w:rsidR="0005611E">
        <w:rPr>
          <w:rStyle w:val="ECHRPara"/>
        </w:rPr>
        <w:t>На 17 декември 2003г. с окончателно решение на Върховния касационен съд в</w:t>
      </w:r>
      <w:r>
        <w:rPr>
          <w:rStyle w:val="ECHRPara"/>
        </w:rPr>
        <w:t xml:space="preserve">торият жалбоподател г-н Събев </w:t>
      </w:r>
      <w:r w:rsidR="0005611E">
        <w:rPr>
          <w:rStyle w:val="ECHRPara"/>
        </w:rPr>
        <w:t xml:space="preserve">е </w:t>
      </w:r>
      <w:r>
        <w:rPr>
          <w:rStyle w:val="ECHRPara"/>
        </w:rPr>
        <w:t xml:space="preserve">осъден на доживотен затвор </w:t>
      </w:r>
      <w:r w:rsidR="00293018">
        <w:rPr>
          <w:rStyle w:val="ECHRPara"/>
        </w:rPr>
        <w:t xml:space="preserve">без право на замяна </w:t>
      </w:r>
      <w:r w:rsidR="00CB6A21">
        <w:rPr>
          <w:rStyle w:val="ECHRPara"/>
        </w:rPr>
        <w:t xml:space="preserve">за грабеж и убийство </w:t>
      </w:r>
      <w:r>
        <w:rPr>
          <w:rStyle w:val="ECHRPara"/>
        </w:rPr>
        <w:t xml:space="preserve">. Жалбоподателят изтърпява </w:t>
      </w:r>
      <w:r w:rsidR="00CF7AF6" w:rsidRPr="00567DB3">
        <w:rPr>
          <w:rStyle w:val="ECHRPara"/>
        </w:rPr>
        <w:t>наказанието</w:t>
      </w:r>
      <w:r w:rsidR="00CF7AF6">
        <w:rPr>
          <w:rStyle w:val="ECHRPara"/>
        </w:rPr>
        <w:t xml:space="preserve"> </w:t>
      </w:r>
      <w:r>
        <w:rPr>
          <w:rStyle w:val="ECHRPara"/>
        </w:rPr>
        <w:t xml:space="preserve">си в затвора в гр. София. На 3 септември 2014 г. вицепрезидентът на България, упражнявайки конституционното право на помилване, </w:t>
      </w:r>
      <w:r w:rsidRPr="00496967">
        <w:rPr>
          <w:rStyle w:val="ECHRPara"/>
        </w:rPr>
        <w:t>заменя</w:t>
      </w:r>
      <w:r w:rsidRPr="0074533B">
        <w:rPr>
          <w:rStyle w:val="ECHRPara"/>
        </w:rPr>
        <w:t xml:space="preserve"> </w:t>
      </w:r>
      <w:r w:rsidR="00CA11AF" w:rsidRPr="00567DB3">
        <w:rPr>
          <w:rStyle w:val="ECHRPara"/>
        </w:rPr>
        <w:t>наказанието</w:t>
      </w:r>
      <w:r w:rsidRPr="0074533B">
        <w:rPr>
          <w:rStyle w:val="ECHRPara"/>
        </w:rPr>
        <w:t xml:space="preserve"> доживотен затвор без право на замяна на жалбоподателя </w:t>
      </w:r>
      <w:r w:rsidR="0005611E">
        <w:rPr>
          <w:rStyle w:val="ECHRPara"/>
        </w:rPr>
        <w:t xml:space="preserve">с наказание </w:t>
      </w:r>
      <w:r w:rsidRPr="0074533B">
        <w:rPr>
          <w:rStyle w:val="ECHRPara"/>
        </w:rPr>
        <w:t xml:space="preserve"> </w:t>
      </w:r>
      <w:r w:rsidRPr="00567DB3">
        <w:rPr>
          <w:rStyle w:val="ECHRPara"/>
        </w:rPr>
        <w:t>доживотен</w:t>
      </w:r>
      <w:r w:rsidRPr="0074533B">
        <w:rPr>
          <w:rStyle w:val="ECHRPara"/>
        </w:rPr>
        <w:t xml:space="preserve"> затвор</w:t>
      </w:r>
      <w:r>
        <w:rPr>
          <w:rStyle w:val="ECHRPara"/>
        </w:rPr>
        <w:t xml:space="preserve"> (вж. параграф </w:t>
      </w:r>
      <w:bookmarkStart w:id="1" w:name="Simple_Life_Imprisonment"/>
      <w:r>
        <w:rPr>
          <w:rStyle w:val="ECHRPara"/>
        </w:rPr>
        <w:t>16</w:t>
      </w:r>
      <w:bookmarkEnd w:id="1"/>
      <w:r>
        <w:rPr>
          <w:rStyle w:val="ECHRPara"/>
        </w:rPr>
        <w:t xml:space="preserve"> по-долу).</w:t>
      </w:r>
    </w:p>
    <w:p w:rsidR="00FA6179" w:rsidRPr="005E3909" w:rsidRDefault="00FA6179" w:rsidP="00FA6179">
      <w:pPr>
        <w:pStyle w:val="ECHRPara"/>
      </w:pPr>
      <w:r w:rsidRPr="00567DB3">
        <w:fldChar w:fldCharType="begin"/>
      </w:r>
      <w:r w:rsidRPr="00567DB3">
        <w:rPr>
          <w:rStyle w:val="ECHRPara"/>
        </w:rPr>
        <w:instrText xml:space="preserve"> SEQ level0 \*arabic </w:instrText>
      </w:r>
      <w:r w:rsidRPr="00567DB3">
        <w:fldChar w:fldCharType="separate"/>
      </w:r>
      <w:r w:rsidRPr="00567DB3">
        <w:rPr>
          <w:rStyle w:val="ECHRPara"/>
        </w:rPr>
        <w:t>8</w:t>
      </w:r>
      <w:r w:rsidRPr="00567DB3">
        <w:fldChar w:fldCharType="end"/>
      </w:r>
      <w:r w:rsidRPr="00567DB3">
        <w:rPr>
          <w:rStyle w:val="ECHRPara"/>
        </w:rPr>
        <w:t xml:space="preserve">.  През 2009 г., докато двамата жалбоподатели изтърпяват </w:t>
      </w:r>
      <w:r w:rsidR="00C72396" w:rsidRPr="00567DB3">
        <w:rPr>
          <w:rStyle w:val="ECHRPara"/>
        </w:rPr>
        <w:t xml:space="preserve">наказанията </w:t>
      </w:r>
      <w:r w:rsidRPr="00567DB3">
        <w:rPr>
          <w:rStyle w:val="ECHRPara"/>
        </w:rPr>
        <w:t xml:space="preserve">си, се провеждат следните избори: избори за Европейски парламент на 7 юни 2009 г. и </w:t>
      </w:r>
      <w:r w:rsidR="009A049D" w:rsidRPr="00567DB3">
        <w:rPr>
          <w:rStyle w:val="ECHRPara"/>
        </w:rPr>
        <w:t>български парламентарни избори</w:t>
      </w:r>
      <w:r w:rsidRPr="00567DB3">
        <w:rPr>
          <w:rStyle w:val="ECHRPara"/>
        </w:rPr>
        <w:t xml:space="preserve"> на 5 юли 2009 г. Не е отворена избирателна секция в затвора, където са задържани жалбоподателите, като приложимото законодателство </w:t>
      </w:r>
      <w:r w:rsidR="0005611E">
        <w:rPr>
          <w:rStyle w:val="ECHRPara"/>
        </w:rPr>
        <w:t xml:space="preserve">изключва </w:t>
      </w:r>
      <w:r w:rsidR="00496967" w:rsidRPr="00567DB3">
        <w:rPr>
          <w:rStyle w:val="ECHRPara"/>
        </w:rPr>
        <w:t xml:space="preserve"> </w:t>
      </w:r>
      <w:r w:rsidRPr="00567DB3">
        <w:rPr>
          <w:rStyle w:val="ECHRPara"/>
        </w:rPr>
        <w:t xml:space="preserve">осъдените лица от </w:t>
      </w:r>
      <w:r w:rsidR="008965E7">
        <w:rPr>
          <w:rStyle w:val="ECHRPara"/>
        </w:rPr>
        <w:t xml:space="preserve">гласоподавателите </w:t>
      </w:r>
      <w:r w:rsidRPr="00567DB3">
        <w:rPr>
          <w:rStyle w:val="ECHRPara"/>
        </w:rPr>
        <w:t>.</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9</w:t>
      </w:r>
      <w:r>
        <w:fldChar w:fldCharType="end"/>
      </w:r>
      <w:r>
        <w:rPr>
          <w:rStyle w:val="ECHRPara"/>
        </w:rPr>
        <w:t xml:space="preserve">.  Впоследствие на втория жалбоподател не е позволено да гласува на </w:t>
      </w:r>
      <w:r w:rsidR="004130F4">
        <w:rPr>
          <w:rStyle w:val="ECHRPara"/>
        </w:rPr>
        <w:t>изборите проведени на 12 май 2013 и 5 октомври 2014 за български парламент</w:t>
      </w:r>
      <w:r>
        <w:rPr>
          <w:rStyle w:val="ECHRPara"/>
        </w:rPr>
        <w:t>, нито на изборите за Европейски парламент на 25 май 2014 г.</w:t>
      </w:r>
    </w:p>
    <w:p w:rsidR="00FA6179" w:rsidRPr="005E3909" w:rsidRDefault="00FA6179" w:rsidP="00FA6179">
      <w:pPr>
        <w:pStyle w:val="ECHRHeading1"/>
      </w:pPr>
      <w:r>
        <w:rPr>
          <w:rStyle w:val="ECHRHeading1"/>
        </w:rPr>
        <w:t xml:space="preserve">II.  ПРИЛОЖИМО ВЪТРЕШНО И </w:t>
      </w:r>
      <w:r w:rsidRPr="0074533B">
        <w:rPr>
          <w:rStyle w:val="ECHRHeading1"/>
        </w:rPr>
        <w:t>МЕЖДУНАРОДНО ПРАВО</w:t>
      </w:r>
    </w:p>
    <w:p w:rsidR="00FA6179" w:rsidRPr="005E3909" w:rsidRDefault="00FA6179" w:rsidP="00FA6179">
      <w:pPr>
        <w:pStyle w:val="ECHRHeading2"/>
      </w:pPr>
      <w:r>
        <w:rPr>
          <w:rStyle w:val="ECHRHeading2"/>
        </w:rPr>
        <w:t>А. Вътрешно право</w:t>
      </w:r>
    </w:p>
    <w:p w:rsidR="00FA6179" w:rsidRPr="005E3909" w:rsidRDefault="00FA6179" w:rsidP="00FA6179">
      <w:pPr>
        <w:pStyle w:val="ECHRHeading3"/>
      </w:pPr>
      <w:r>
        <w:rPr>
          <w:rStyle w:val="ECHRHeading3"/>
        </w:rPr>
        <w:t>1.  Конституция от 1991 г.</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10</w:t>
      </w:r>
      <w:r>
        <w:fldChar w:fldCharType="end"/>
      </w:r>
      <w:r>
        <w:rPr>
          <w:rStyle w:val="ECHRPara"/>
        </w:rPr>
        <w:t>.  Чл. 42</w:t>
      </w:r>
      <w:r w:rsidR="00D9258C">
        <w:rPr>
          <w:rStyle w:val="ECHRPara"/>
        </w:rPr>
        <w:t>, ал.</w:t>
      </w:r>
      <w:r>
        <w:rPr>
          <w:rStyle w:val="ECHRPara"/>
        </w:rPr>
        <w:t xml:space="preserve">1 </w:t>
      </w:r>
      <w:r w:rsidR="00585830">
        <w:rPr>
          <w:rStyle w:val="ECHRPara"/>
        </w:rPr>
        <w:t>предвижда</w:t>
      </w:r>
      <w:r>
        <w:rPr>
          <w:rStyle w:val="ECHRPara"/>
        </w:rPr>
        <w:t>, че гражданите, навършили 18 години, с изключение на поставените под запрещение и изтърпяващите наказание лишаване от свобода, имат право да избират държавни и местни органи и да участват в допитвания до народа.</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11</w:t>
      </w:r>
      <w:r>
        <w:fldChar w:fldCharType="end"/>
      </w:r>
      <w:r>
        <w:rPr>
          <w:rStyle w:val="ECHRPara"/>
        </w:rPr>
        <w:t>.  </w:t>
      </w:r>
      <w:r w:rsidR="00AE3B8C">
        <w:rPr>
          <w:rStyle w:val="ECHRPara"/>
        </w:rPr>
        <w:t xml:space="preserve">Съгласно </w:t>
      </w:r>
      <w:r>
        <w:rPr>
          <w:rStyle w:val="ECHRPara"/>
        </w:rPr>
        <w:t xml:space="preserve"> чл. 149</w:t>
      </w:r>
      <w:r w:rsidR="00D9258C">
        <w:rPr>
          <w:rStyle w:val="ECHRPara"/>
        </w:rPr>
        <w:t>, ал., т.1-2</w:t>
      </w:r>
      <w:r>
        <w:rPr>
          <w:rStyle w:val="ECHRPara"/>
        </w:rPr>
        <w:t xml:space="preserve"> Конституционният съд дава задължителни тълкувания на Конституцията и се произнася по искане за установяване на противоконституционност на законите и на другите актове на Народното събрание, както и на актовете на президента. Решенията на Конституционния съд имат ефект само </w:t>
      </w:r>
      <w:r w:rsidRPr="0074533B">
        <w:rPr>
          <w:rStyle w:val="ECHRPara"/>
        </w:rPr>
        <w:t>за</w:t>
      </w:r>
      <w:r>
        <w:rPr>
          <w:rStyle w:val="ECHRPara"/>
        </w:rPr>
        <w:t xml:space="preserve"> в бъдеще (</w:t>
      </w:r>
      <w:proofErr w:type="spellStart"/>
      <w:r>
        <w:rPr>
          <w:rStyle w:val="ECHRPara"/>
          <w:i/>
        </w:rPr>
        <w:t>ex</w:t>
      </w:r>
      <w:proofErr w:type="spellEnd"/>
      <w:r>
        <w:rPr>
          <w:rStyle w:val="ECHRPara"/>
          <w:i/>
        </w:rPr>
        <w:t xml:space="preserve"> </w:t>
      </w:r>
      <w:proofErr w:type="spellStart"/>
      <w:r>
        <w:rPr>
          <w:rStyle w:val="ECHRPara"/>
          <w:i/>
        </w:rPr>
        <w:t>nunc</w:t>
      </w:r>
      <w:proofErr w:type="spellEnd"/>
      <w:r>
        <w:rPr>
          <w:rStyle w:val="ECHRPara"/>
        </w:rPr>
        <w:t>).</w:t>
      </w:r>
    </w:p>
    <w:p w:rsidR="00FA6179" w:rsidRPr="005E3909" w:rsidRDefault="00FA6179" w:rsidP="00FA6179">
      <w:pPr>
        <w:pStyle w:val="ECHRHeading3"/>
      </w:pPr>
      <w:r>
        <w:rPr>
          <w:rStyle w:val="ECHRHeading3"/>
        </w:rPr>
        <w:lastRenderedPageBreak/>
        <w:t>2.  Закон за избиране на народни представители от 2001 г. (отменен през 2011 г.)</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12</w:t>
      </w:r>
      <w:r>
        <w:fldChar w:fldCharType="end"/>
      </w:r>
      <w:r>
        <w:rPr>
          <w:rStyle w:val="ECHRPara"/>
        </w:rPr>
        <w:t>.  Чл. 3 (1) от ЗИНП възпроизвежда основното съдържание на чл. 42 от Конституцията по отношение на избора на народни представители.</w:t>
      </w:r>
    </w:p>
    <w:p w:rsidR="00FA6179" w:rsidRPr="005E3909" w:rsidRDefault="00FA6179" w:rsidP="00FA6179">
      <w:pPr>
        <w:pStyle w:val="ECHRHeading3"/>
      </w:pPr>
      <w:r>
        <w:rPr>
          <w:rStyle w:val="ECHRHeading3"/>
        </w:rPr>
        <w:t>3.  Закон за избиране на членове на Европейския парламент (отменен през 2011 г., съответните разпоредби са включени в Изборния кодекс от 2011 г.)</w:t>
      </w:r>
    </w:p>
    <w:p w:rsidR="00FA6179" w:rsidRPr="005E3909" w:rsidRDefault="00FA6179" w:rsidP="00FA6179">
      <w:pPr>
        <w:pStyle w:val="ECHRPara"/>
      </w:pPr>
      <w:r w:rsidRPr="0074533B">
        <w:fldChar w:fldCharType="begin"/>
      </w:r>
      <w:r w:rsidRPr="00567DB3">
        <w:rPr>
          <w:rStyle w:val="ECHRPara"/>
        </w:rPr>
        <w:instrText xml:space="preserve"> SEQ level0 \*arabic </w:instrText>
      </w:r>
      <w:r w:rsidRPr="00567DB3">
        <w:fldChar w:fldCharType="separate"/>
      </w:r>
      <w:r w:rsidRPr="00567DB3">
        <w:rPr>
          <w:rStyle w:val="ECHRPara"/>
        </w:rPr>
        <w:t>13</w:t>
      </w:r>
      <w:r w:rsidRPr="00567DB3">
        <w:fldChar w:fldCharType="end"/>
      </w:r>
      <w:r>
        <w:rPr>
          <w:rStyle w:val="ECHRPara"/>
        </w:rPr>
        <w:t xml:space="preserve">.  Право да гласуват на избори за Европейски парламент имат българските граждани, които са пълнолетни, живели са постоянно най-малко през последните три месеца в България или в друга държава - членка на Европейския съюз и не са поставени под запрещение, нито изтърпяват наказание лишаване от свобода (чл. 4(1)). </w:t>
      </w:r>
      <w:r w:rsidR="00ED516B">
        <w:rPr>
          <w:rStyle w:val="ECHRPara"/>
        </w:rPr>
        <w:t>Всеки г</w:t>
      </w:r>
      <w:r>
        <w:rPr>
          <w:rStyle w:val="ECHRPara"/>
        </w:rPr>
        <w:t>раждани</w:t>
      </w:r>
      <w:r w:rsidR="00ED516B">
        <w:rPr>
          <w:rStyle w:val="ECHRPara"/>
        </w:rPr>
        <w:t>н</w:t>
      </w:r>
      <w:r>
        <w:rPr>
          <w:rStyle w:val="ECHRPara"/>
        </w:rPr>
        <w:t xml:space="preserve"> на държава</w:t>
      </w:r>
      <w:r w:rsidR="00537397">
        <w:rPr>
          <w:rStyle w:val="ECHRPara"/>
        </w:rPr>
        <w:t>-</w:t>
      </w:r>
      <w:r>
        <w:rPr>
          <w:rStyle w:val="ECHRPara"/>
        </w:rPr>
        <w:t xml:space="preserve">членка на Европейския съюз </w:t>
      </w:r>
      <w:r w:rsidR="00ED516B" w:rsidRPr="00567DB3">
        <w:rPr>
          <w:rStyle w:val="ECHRPara"/>
        </w:rPr>
        <w:t>има</w:t>
      </w:r>
      <w:r w:rsidR="009D02E8" w:rsidRPr="0074533B">
        <w:rPr>
          <w:rStyle w:val="ECHRPara"/>
        </w:rPr>
        <w:t xml:space="preserve"> право</w:t>
      </w:r>
      <w:r w:rsidR="009D02E8">
        <w:rPr>
          <w:rStyle w:val="ECHRPara"/>
        </w:rPr>
        <w:t xml:space="preserve"> </w:t>
      </w:r>
      <w:r>
        <w:rPr>
          <w:rStyle w:val="ECHRPara"/>
        </w:rPr>
        <w:t>да избира членове на Европейския парламент, ако последни</w:t>
      </w:r>
      <w:r w:rsidR="00ED516B">
        <w:rPr>
          <w:rStyle w:val="ECHRPara"/>
        </w:rPr>
        <w:t>ят е</w:t>
      </w:r>
      <w:r>
        <w:rPr>
          <w:rStyle w:val="ECHRPara"/>
        </w:rPr>
        <w:t xml:space="preserve"> пълнолет</w:t>
      </w:r>
      <w:r w:rsidR="00ED516B">
        <w:rPr>
          <w:rStyle w:val="ECHRPara"/>
        </w:rPr>
        <w:t>е</w:t>
      </w:r>
      <w:r>
        <w:rPr>
          <w:rStyle w:val="ECHRPara"/>
        </w:rPr>
        <w:t>н, жив</w:t>
      </w:r>
      <w:r w:rsidR="00ED516B">
        <w:rPr>
          <w:rStyle w:val="ECHRPara"/>
        </w:rPr>
        <w:t>я</w:t>
      </w:r>
      <w:r>
        <w:rPr>
          <w:rStyle w:val="ECHRPara"/>
        </w:rPr>
        <w:t xml:space="preserve">л </w:t>
      </w:r>
      <w:r w:rsidR="00ED516B">
        <w:rPr>
          <w:rStyle w:val="ECHRPara"/>
        </w:rPr>
        <w:t xml:space="preserve">е </w:t>
      </w:r>
      <w:r>
        <w:rPr>
          <w:rStyle w:val="ECHRPara"/>
        </w:rPr>
        <w:t xml:space="preserve">постоянно </w:t>
      </w:r>
      <w:r w:rsidRPr="0074533B">
        <w:rPr>
          <w:rStyle w:val="ECHRPara"/>
        </w:rPr>
        <w:t>най-малко</w:t>
      </w:r>
      <w:r w:rsidR="00ED516B" w:rsidRPr="00567DB3">
        <w:rPr>
          <w:rStyle w:val="ECHRPara"/>
        </w:rPr>
        <w:t xml:space="preserve"> през последните</w:t>
      </w:r>
      <w:r w:rsidRPr="0074533B">
        <w:rPr>
          <w:rStyle w:val="ECHRPara"/>
        </w:rPr>
        <w:t xml:space="preserve"> три месеца</w:t>
      </w:r>
      <w:r>
        <w:rPr>
          <w:rStyle w:val="ECHRPara"/>
        </w:rPr>
        <w:t xml:space="preserve"> в Република България или в друга държава</w:t>
      </w:r>
      <w:r w:rsidR="00537397">
        <w:rPr>
          <w:rStyle w:val="ECHRPara"/>
        </w:rPr>
        <w:t>-</w:t>
      </w:r>
      <w:r>
        <w:rPr>
          <w:rStyle w:val="ECHRPara"/>
        </w:rPr>
        <w:t xml:space="preserve"> членка на Европейския съюз, </w:t>
      </w:r>
      <w:r w:rsidRPr="00567DB3">
        <w:rPr>
          <w:rStyle w:val="ECHRPara"/>
        </w:rPr>
        <w:t xml:space="preserve">не </w:t>
      </w:r>
      <w:r w:rsidR="00ED516B" w:rsidRPr="00567DB3">
        <w:rPr>
          <w:rStyle w:val="ECHRPara"/>
        </w:rPr>
        <w:t>е</w:t>
      </w:r>
      <w:r w:rsidR="00ED516B">
        <w:rPr>
          <w:rStyle w:val="ECHRPara"/>
        </w:rPr>
        <w:t xml:space="preserve"> </w:t>
      </w:r>
      <w:r>
        <w:rPr>
          <w:rStyle w:val="ECHRPara"/>
        </w:rPr>
        <w:t xml:space="preserve">лишен от правото да избира в държавата-членка, на която </w:t>
      </w:r>
      <w:r w:rsidR="00ED516B">
        <w:rPr>
          <w:rStyle w:val="ECHRPara"/>
        </w:rPr>
        <w:t>е</w:t>
      </w:r>
      <w:r>
        <w:rPr>
          <w:rStyle w:val="ECHRPara"/>
        </w:rPr>
        <w:t xml:space="preserve"> граждани</w:t>
      </w:r>
      <w:r w:rsidR="00ED516B">
        <w:rPr>
          <w:rStyle w:val="ECHRPara"/>
        </w:rPr>
        <w:t>н</w:t>
      </w:r>
      <w:r>
        <w:rPr>
          <w:rStyle w:val="ECHRPara"/>
        </w:rPr>
        <w:t xml:space="preserve">, и предварително с писмена декларация </w:t>
      </w:r>
      <w:r w:rsidR="00ED516B">
        <w:rPr>
          <w:rStyle w:val="ECHRPara"/>
        </w:rPr>
        <w:t xml:space="preserve">е </w:t>
      </w:r>
      <w:r>
        <w:rPr>
          <w:rStyle w:val="ECHRPara"/>
        </w:rPr>
        <w:t xml:space="preserve">заявил желанието си да </w:t>
      </w:r>
      <w:r w:rsidR="009D02E8">
        <w:rPr>
          <w:rStyle w:val="ECHRPara"/>
        </w:rPr>
        <w:t>упражн</w:t>
      </w:r>
      <w:r w:rsidR="009B6942">
        <w:rPr>
          <w:rStyle w:val="ECHRPara"/>
        </w:rPr>
        <w:t>и</w:t>
      </w:r>
      <w:r w:rsidR="009D02E8">
        <w:rPr>
          <w:rStyle w:val="ECHRPara"/>
        </w:rPr>
        <w:t xml:space="preserve"> правото си на глас</w:t>
      </w:r>
      <w:r>
        <w:rPr>
          <w:rStyle w:val="ECHRPara"/>
        </w:rPr>
        <w:t xml:space="preserve"> (чл. 4(2)). Всеки избирател има право да гласува само веднъж в едни и същи избори за Европейски парламент.</w:t>
      </w:r>
    </w:p>
    <w:p w:rsidR="00FA6179" w:rsidRPr="005E3909" w:rsidRDefault="00FA6179" w:rsidP="00FA6179">
      <w:pPr>
        <w:pStyle w:val="ECHRHeading3"/>
      </w:pPr>
      <w:r>
        <w:rPr>
          <w:rStyle w:val="ECHRHeading3"/>
        </w:rPr>
        <w:t>4.  Изборен кодекс от 2011 г. (отменен през март 2014 г.)</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14</w:t>
      </w:r>
      <w:r>
        <w:fldChar w:fldCharType="end"/>
      </w:r>
      <w:r>
        <w:rPr>
          <w:rStyle w:val="ECHRPara"/>
        </w:rPr>
        <w:t xml:space="preserve">.  Чл. 3 §§ 1 и 2 от този Кодекс </w:t>
      </w:r>
      <w:r w:rsidR="000F0291">
        <w:rPr>
          <w:rStyle w:val="ECHRPara"/>
        </w:rPr>
        <w:t xml:space="preserve">предвиждат </w:t>
      </w:r>
      <w:r>
        <w:rPr>
          <w:rStyle w:val="ECHRPara"/>
        </w:rPr>
        <w:t xml:space="preserve">, че българските граждани, които не са поставени под запрещение и не изтърпяват наказание лишаване от свобода, </w:t>
      </w:r>
      <w:r w:rsidR="00C70C72">
        <w:rPr>
          <w:rStyle w:val="ECHRPara"/>
        </w:rPr>
        <w:t xml:space="preserve">имат право </w:t>
      </w:r>
      <w:r>
        <w:rPr>
          <w:rStyle w:val="ECHRPara"/>
        </w:rPr>
        <w:t>да избират народни представители, президент и вицепрезидент на Република България.</w:t>
      </w:r>
    </w:p>
    <w:p w:rsidR="00FA6179" w:rsidRPr="005E3909" w:rsidRDefault="00FA6179" w:rsidP="00FA6179">
      <w:pPr>
        <w:pStyle w:val="ECHRHeading3"/>
      </w:pPr>
      <w:r>
        <w:rPr>
          <w:rStyle w:val="ECHRHeading3"/>
        </w:rPr>
        <w:t>5.  Изборен кодекс от 2014 г. (в сила от март 2014 г.)</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15</w:t>
      </w:r>
      <w:r>
        <w:fldChar w:fldCharType="end"/>
      </w:r>
      <w:r>
        <w:rPr>
          <w:rStyle w:val="ECHRPara"/>
        </w:rPr>
        <w:t xml:space="preserve">.  Чл. 243 </w:t>
      </w:r>
      <w:r w:rsidR="000F0291">
        <w:rPr>
          <w:rStyle w:val="ECHRPara"/>
        </w:rPr>
        <w:t xml:space="preserve">предвижда </w:t>
      </w:r>
      <w:r>
        <w:rPr>
          <w:rStyle w:val="ECHRPara"/>
        </w:rPr>
        <w:t xml:space="preserve">, че право да избират народни представители имат българските граждани, които отговарят на условията на чл. 42, ал. 1 от Конституцията (вж. </w:t>
      </w:r>
      <w:r w:rsidR="009E1A45">
        <w:rPr>
          <w:rStyle w:val="ECHRPara"/>
        </w:rPr>
        <w:t>п</w:t>
      </w:r>
      <w:r>
        <w:rPr>
          <w:rStyle w:val="ECHRPara"/>
        </w:rPr>
        <w:t xml:space="preserve">араграф 10 по-горе). Чл. 29 § 1 от този Кодекс гласи, че при избори за </w:t>
      </w:r>
      <w:r w:rsidR="009E1A45">
        <w:rPr>
          <w:rStyle w:val="ECHRPara"/>
        </w:rPr>
        <w:t>народни представители</w:t>
      </w:r>
      <w:r w:rsidR="008F66B4">
        <w:rPr>
          <w:rStyle w:val="ECHRPara"/>
        </w:rPr>
        <w:t xml:space="preserve"> в България</w:t>
      </w:r>
      <w:r>
        <w:rPr>
          <w:rStyle w:val="ECHRPara"/>
        </w:rPr>
        <w:t xml:space="preserve"> и </w:t>
      </w:r>
      <w:r w:rsidR="009E1A45">
        <w:rPr>
          <w:rStyle w:val="ECHRPara"/>
        </w:rPr>
        <w:t xml:space="preserve">за членове на </w:t>
      </w:r>
      <w:r>
        <w:rPr>
          <w:rStyle w:val="ECHRPara"/>
        </w:rPr>
        <w:t>Европейския парламент, ръководителите на местата за изтърпяване на наказанието лишаване от свобода и за задържане съставят и подписват избирателни списъци на задържаните лица, които не изтърпяват наказание лишаване от свобода.</w:t>
      </w:r>
    </w:p>
    <w:p w:rsidR="00FA6179" w:rsidRPr="005E3909" w:rsidRDefault="00FA6179" w:rsidP="00FA6179">
      <w:pPr>
        <w:pStyle w:val="ECHRHeading3"/>
      </w:pPr>
      <w:r>
        <w:rPr>
          <w:rStyle w:val="ECHRHeading3"/>
        </w:rPr>
        <w:t>6.  След премахването на смъртното наказание</w:t>
      </w:r>
    </w:p>
    <w:p w:rsidR="00FA6179" w:rsidRPr="00537397" w:rsidRDefault="00FA6179" w:rsidP="00FA6179">
      <w:pPr>
        <w:pStyle w:val="ECHRPara"/>
      </w:pPr>
      <w:r>
        <w:fldChar w:fldCharType="begin"/>
      </w:r>
      <w:r>
        <w:rPr>
          <w:rStyle w:val="ECHRPara"/>
        </w:rPr>
        <w:instrText xml:space="preserve"> SEQ level0 \*arabic </w:instrText>
      </w:r>
      <w:r>
        <w:fldChar w:fldCharType="separate"/>
      </w:r>
      <w:r>
        <w:rPr>
          <w:rStyle w:val="ECHRPara"/>
        </w:rPr>
        <w:t>16</w:t>
      </w:r>
      <w:r>
        <w:fldChar w:fldCharType="end"/>
      </w:r>
      <w:r>
        <w:rPr>
          <w:rStyle w:val="ECHRPara"/>
        </w:rPr>
        <w:t xml:space="preserve">.  След премахването на смъртното наказание, считано от 27 декември 1998 г., </w:t>
      </w:r>
      <w:r w:rsidRPr="0074533B">
        <w:rPr>
          <w:rStyle w:val="ECHRPara"/>
        </w:rPr>
        <w:t xml:space="preserve">Кодексът предвижда три вида наказание </w:t>
      </w:r>
      <w:r w:rsidRPr="00537397">
        <w:rPr>
          <w:rStyle w:val="ECHRPara"/>
        </w:rPr>
        <w:t xml:space="preserve">лишаване от </w:t>
      </w:r>
      <w:r w:rsidRPr="00537397">
        <w:rPr>
          <w:rStyle w:val="ECHRPara"/>
        </w:rPr>
        <w:lastRenderedPageBreak/>
        <w:t xml:space="preserve">свобода: лишаване от свобода за определен срок </w:t>
      </w:r>
      <w:r w:rsidR="00F952A0" w:rsidRPr="00567DB3">
        <w:rPr>
          <w:rStyle w:val="ECHRPara"/>
        </w:rPr>
        <w:t>до</w:t>
      </w:r>
      <w:r w:rsidR="00F952A0" w:rsidRPr="0074533B">
        <w:rPr>
          <w:rStyle w:val="ECHRPara"/>
        </w:rPr>
        <w:t xml:space="preserve"> </w:t>
      </w:r>
      <w:r w:rsidRPr="0074533B">
        <w:rPr>
          <w:rStyle w:val="ECHRPara"/>
        </w:rPr>
        <w:t xml:space="preserve">тридесет години, </w:t>
      </w:r>
      <w:r w:rsidRPr="00092B0F">
        <w:rPr>
          <w:rStyle w:val="ECHRPara"/>
        </w:rPr>
        <w:t xml:space="preserve">доживотен затвор с </w:t>
      </w:r>
      <w:r w:rsidR="00DB78EB" w:rsidRPr="00567DB3">
        <w:rPr>
          <w:rStyle w:val="ECHRPara"/>
        </w:rPr>
        <w:t>право</w:t>
      </w:r>
      <w:r w:rsidR="00DB78EB" w:rsidRPr="0074533B">
        <w:rPr>
          <w:rStyle w:val="ECHRPara"/>
        </w:rPr>
        <w:t xml:space="preserve"> </w:t>
      </w:r>
      <w:r w:rsidR="00DB78EB" w:rsidRPr="00567DB3">
        <w:rPr>
          <w:rStyle w:val="ECHRPara"/>
        </w:rPr>
        <w:t>на</w:t>
      </w:r>
      <w:r w:rsidR="00DB78EB" w:rsidRPr="0074533B">
        <w:rPr>
          <w:rStyle w:val="ECHRPara"/>
        </w:rPr>
        <w:t xml:space="preserve"> </w:t>
      </w:r>
      <w:r w:rsidRPr="0074533B">
        <w:rPr>
          <w:rStyle w:val="ECHRPara"/>
        </w:rPr>
        <w:t xml:space="preserve">замяна </w:t>
      </w:r>
      <w:r w:rsidRPr="00537397">
        <w:rPr>
          <w:rStyle w:val="ECHRPara"/>
        </w:rPr>
        <w:t>и доживотен</w:t>
      </w:r>
      <w:r w:rsidRPr="00092B0F">
        <w:rPr>
          <w:rStyle w:val="ECHRPara"/>
        </w:rPr>
        <w:t xml:space="preserve"> затвор без </w:t>
      </w:r>
      <w:r w:rsidR="00DB78EB">
        <w:rPr>
          <w:rStyle w:val="ECHRPara"/>
        </w:rPr>
        <w:t>право на</w:t>
      </w:r>
      <w:r w:rsidR="00092B0F">
        <w:rPr>
          <w:rStyle w:val="ECHRPara"/>
        </w:rPr>
        <w:t xml:space="preserve"> </w:t>
      </w:r>
      <w:r w:rsidRPr="0074533B">
        <w:rPr>
          <w:rStyle w:val="ECHRPara"/>
        </w:rPr>
        <w:t>замяна.</w:t>
      </w:r>
    </w:p>
    <w:p w:rsidR="00FA6179" w:rsidRPr="005E3909" w:rsidRDefault="00FA6179" w:rsidP="00FA6179">
      <w:pPr>
        <w:pStyle w:val="ECHRHeading3"/>
      </w:pPr>
      <w:r>
        <w:rPr>
          <w:rStyle w:val="ECHRHeading3"/>
        </w:rPr>
        <w:t>7.  Условно освобождаване</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17</w:t>
      </w:r>
      <w:r>
        <w:fldChar w:fldCharType="end"/>
      </w:r>
      <w:r>
        <w:rPr>
          <w:rStyle w:val="ECHRPara"/>
        </w:rPr>
        <w:t xml:space="preserve">.  По чл. 70 § 1 от Наказателния кодекс условно </w:t>
      </w:r>
      <w:r w:rsidR="00060493" w:rsidRPr="0074533B">
        <w:rPr>
          <w:rStyle w:val="ECHRPara"/>
        </w:rPr>
        <w:t>предсрочно</w:t>
      </w:r>
      <w:r w:rsidR="00060493">
        <w:rPr>
          <w:rStyle w:val="ECHRPara"/>
        </w:rPr>
        <w:t xml:space="preserve"> </w:t>
      </w:r>
      <w:r>
        <w:rPr>
          <w:rStyle w:val="ECHRPara"/>
        </w:rPr>
        <w:t xml:space="preserve">освобождаване е приложимо само </w:t>
      </w:r>
      <w:r w:rsidRPr="00567DB3">
        <w:rPr>
          <w:rStyle w:val="ECHRPara"/>
        </w:rPr>
        <w:t xml:space="preserve">за </w:t>
      </w:r>
      <w:r w:rsidR="00092B0F" w:rsidRPr="00567DB3">
        <w:rPr>
          <w:rStyle w:val="ECHRPara"/>
        </w:rPr>
        <w:t>наказания</w:t>
      </w:r>
      <w:r w:rsidR="00092B0F">
        <w:rPr>
          <w:rStyle w:val="ECHRPara"/>
        </w:rPr>
        <w:t xml:space="preserve"> </w:t>
      </w:r>
      <w:r>
        <w:rPr>
          <w:rStyle w:val="ECHRPara"/>
        </w:rPr>
        <w:t xml:space="preserve">с определен срок. Закононарушители, осъдени на </w:t>
      </w:r>
      <w:r w:rsidRPr="0074533B">
        <w:rPr>
          <w:rStyle w:val="ECHRPara"/>
        </w:rPr>
        <w:t>доживотен затвор</w:t>
      </w:r>
      <w:r w:rsidR="00FC0DBA" w:rsidRPr="00567DB3">
        <w:rPr>
          <w:rStyle w:val="ECHRPara"/>
        </w:rPr>
        <w:t xml:space="preserve"> без замяна</w:t>
      </w:r>
      <w:r w:rsidRPr="0074533B">
        <w:rPr>
          <w:rStyle w:val="ECHRPara"/>
        </w:rPr>
        <w:t xml:space="preserve"> или </w:t>
      </w:r>
      <w:r w:rsidRPr="00092B0F">
        <w:rPr>
          <w:rStyle w:val="ECHRPara"/>
        </w:rPr>
        <w:t>доживотен затвор</w:t>
      </w:r>
      <w:r>
        <w:rPr>
          <w:rStyle w:val="ECHRPara"/>
        </w:rPr>
        <w:t>, не отговарят на условията за условно</w:t>
      </w:r>
      <w:r w:rsidR="00E77F3E">
        <w:rPr>
          <w:rStyle w:val="ECHRPara"/>
        </w:rPr>
        <w:t xml:space="preserve"> </w:t>
      </w:r>
      <w:r w:rsidR="00E77F3E" w:rsidRPr="0074533B">
        <w:rPr>
          <w:rStyle w:val="ECHRPara"/>
        </w:rPr>
        <w:t>предсрочно</w:t>
      </w:r>
      <w:r>
        <w:rPr>
          <w:rStyle w:val="ECHRPara"/>
        </w:rPr>
        <w:t xml:space="preserve"> освобождаване.</w:t>
      </w:r>
    </w:p>
    <w:p w:rsidR="00FA6179" w:rsidRPr="0074533B" w:rsidRDefault="00FA6179" w:rsidP="00FA6179">
      <w:pPr>
        <w:pStyle w:val="ECHRHeading3"/>
      </w:pPr>
      <w:r>
        <w:rPr>
          <w:rStyle w:val="ECHRHeading3"/>
        </w:rPr>
        <w:t>8.  Намаляване</w:t>
      </w:r>
      <w:r w:rsidR="00437E81" w:rsidRPr="00567DB3">
        <w:rPr>
          <w:rStyle w:val="ECHRHeading3"/>
        </w:rPr>
        <w:t xml:space="preserve"> </w:t>
      </w:r>
      <w:r w:rsidR="005D1B73" w:rsidRPr="00567DB3">
        <w:rPr>
          <w:rStyle w:val="ECHRHeading3"/>
        </w:rPr>
        <w:t xml:space="preserve">на </w:t>
      </w:r>
      <w:r w:rsidR="00284100" w:rsidRPr="0074533B">
        <w:rPr>
          <w:rStyle w:val="ECHRHeading3"/>
        </w:rPr>
        <w:t>срока</w:t>
      </w:r>
      <w:r w:rsidR="00284100">
        <w:rPr>
          <w:rStyle w:val="ECHRHeading3"/>
        </w:rPr>
        <w:t xml:space="preserve"> на наказанието</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18</w:t>
      </w:r>
      <w:r>
        <w:fldChar w:fldCharType="end"/>
      </w:r>
      <w:r>
        <w:rPr>
          <w:rStyle w:val="ECHRPara"/>
        </w:rPr>
        <w:t>.  </w:t>
      </w:r>
      <w:r w:rsidR="00284100">
        <w:rPr>
          <w:rStyle w:val="ECHRPara"/>
        </w:rPr>
        <w:t xml:space="preserve">Срокът на наказанията </w:t>
      </w:r>
      <w:r>
        <w:rPr>
          <w:rStyle w:val="ECHRPara"/>
        </w:rPr>
        <w:t xml:space="preserve">на лишени от свобода </w:t>
      </w:r>
      <w:r w:rsidR="00284100">
        <w:rPr>
          <w:rStyle w:val="ECHRPara"/>
        </w:rPr>
        <w:t xml:space="preserve">може </w:t>
      </w:r>
      <w:r>
        <w:rPr>
          <w:rStyle w:val="ECHRPara"/>
        </w:rPr>
        <w:t>да бъд</w:t>
      </w:r>
      <w:r w:rsidR="00132DC2">
        <w:rPr>
          <w:rStyle w:val="ECHRPara"/>
        </w:rPr>
        <w:t>е</w:t>
      </w:r>
      <w:r>
        <w:rPr>
          <w:rStyle w:val="ECHRPara"/>
        </w:rPr>
        <w:t xml:space="preserve"> намален в съответствие с чл. 41 § 3 от Наказателния кодекс, който </w:t>
      </w:r>
      <w:r w:rsidR="007E2727">
        <w:rPr>
          <w:rStyle w:val="ECHRPara"/>
        </w:rPr>
        <w:t xml:space="preserve">предвижда </w:t>
      </w:r>
      <w:r>
        <w:rPr>
          <w:rStyle w:val="ECHRPara"/>
        </w:rPr>
        <w:t xml:space="preserve">, че два дни на ефективно извършена работа се </w:t>
      </w:r>
      <w:r w:rsidR="00605041">
        <w:rPr>
          <w:rStyle w:val="ECHRPara"/>
        </w:rPr>
        <w:t xml:space="preserve">считат </w:t>
      </w:r>
      <w:r>
        <w:rPr>
          <w:rStyle w:val="ECHRPara"/>
        </w:rPr>
        <w:t xml:space="preserve">за три дни лишаване от свобода. Когато </w:t>
      </w:r>
      <w:r w:rsidR="00605041">
        <w:rPr>
          <w:rStyle w:val="ECHRPara"/>
        </w:rPr>
        <w:t xml:space="preserve">осъдените лица </w:t>
      </w:r>
      <w:r>
        <w:rPr>
          <w:rStyle w:val="ECHRPara"/>
        </w:rPr>
        <w:t xml:space="preserve">системно се отклонява от общественополезен труд или нарушават </w:t>
      </w:r>
      <w:r w:rsidR="00A130A1">
        <w:rPr>
          <w:rStyle w:val="ECHRPara"/>
        </w:rPr>
        <w:t xml:space="preserve">установения ред </w:t>
      </w:r>
      <w:r>
        <w:rPr>
          <w:rStyle w:val="ECHRPara"/>
        </w:rPr>
        <w:t xml:space="preserve">на затвора, съдът може напълно или частично да отмени намаляването на присъдата, </w:t>
      </w:r>
      <w:r w:rsidR="00A130A1">
        <w:rPr>
          <w:rStyle w:val="ECHRPara"/>
        </w:rPr>
        <w:t>от последните</w:t>
      </w:r>
      <w:r>
        <w:rPr>
          <w:rStyle w:val="ECHRPara"/>
        </w:rPr>
        <w:t xml:space="preserve"> две години (чл. 41 § 4 от Наказателния кодекс).</w:t>
      </w:r>
    </w:p>
    <w:p w:rsidR="00FA6179" w:rsidRPr="005E3909" w:rsidRDefault="00FA6179" w:rsidP="00FA6179">
      <w:pPr>
        <w:pStyle w:val="ECHRHeading3"/>
      </w:pPr>
      <w:r>
        <w:rPr>
          <w:rStyle w:val="ECHRHeading3"/>
        </w:rPr>
        <w:t>9.  Амнистия</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19</w:t>
      </w:r>
      <w:r>
        <w:fldChar w:fldCharType="end"/>
      </w:r>
      <w:r>
        <w:rPr>
          <w:rStyle w:val="ECHRPara"/>
        </w:rPr>
        <w:t>.  Чл. 84 (13) от Конституцията гласи, че амнистия се предоставя от Народното събрание.</w:t>
      </w:r>
    </w:p>
    <w:p w:rsidR="00FA6179" w:rsidRPr="005E3909" w:rsidRDefault="00FA6179" w:rsidP="00FA6179">
      <w:pPr>
        <w:pStyle w:val="ECHRHeading3"/>
      </w:pPr>
      <w:r>
        <w:rPr>
          <w:rStyle w:val="ECHRHeading3"/>
        </w:rPr>
        <w:t>10.  Помилване от президента</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20</w:t>
      </w:r>
      <w:r>
        <w:fldChar w:fldCharType="end"/>
      </w:r>
      <w:r>
        <w:rPr>
          <w:rStyle w:val="ECHRPara"/>
        </w:rPr>
        <w:t>.  По чл. 98 (11) от Конституцията, помилване</w:t>
      </w:r>
      <w:r w:rsidR="00104574">
        <w:rPr>
          <w:rStyle w:val="ECHRPara"/>
        </w:rPr>
        <w:t>то</w:t>
      </w:r>
      <w:r>
        <w:rPr>
          <w:rStyle w:val="ECHRPara"/>
        </w:rPr>
        <w:t xml:space="preserve"> е правомощие</w:t>
      </w:r>
      <w:r w:rsidR="007E2727">
        <w:rPr>
          <w:rStyle w:val="ECHRPara"/>
        </w:rPr>
        <w:t xml:space="preserve"> на Президента</w:t>
      </w:r>
      <w:r>
        <w:rPr>
          <w:rStyle w:val="ECHRPara"/>
        </w:rPr>
        <w:t xml:space="preserve">. Това е </w:t>
      </w:r>
      <w:proofErr w:type="spellStart"/>
      <w:r w:rsidRPr="00CF6FDD">
        <w:rPr>
          <w:rStyle w:val="ECHRPara"/>
        </w:rPr>
        <w:t>дискреционно</w:t>
      </w:r>
      <w:proofErr w:type="spellEnd"/>
      <w:r w:rsidRPr="00CF6FDD">
        <w:rPr>
          <w:rStyle w:val="ECHRPara"/>
        </w:rPr>
        <w:t xml:space="preserve"> правомощие</w:t>
      </w:r>
      <w:r>
        <w:rPr>
          <w:rStyle w:val="ECHRPara"/>
        </w:rPr>
        <w:t xml:space="preserve">, което президентът на републиката е делегирал на вицепрезидента, който може да реши да го упражнява под каквато и да било форма и по всяко време, докато се изтърпява </w:t>
      </w:r>
      <w:r w:rsidR="00DF08E0">
        <w:rPr>
          <w:rStyle w:val="ECHRPara"/>
        </w:rPr>
        <w:t>наказанието</w:t>
      </w:r>
      <w:r>
        <w:rPr>
          <w:rStyle w:val="ECHRPara"/>
        </w:rPr>
        <w:t xml:space="preserve">. </w:t>
      </w:r>
      <w:r w:rsidR="00DF08E0">
        <w:rPr>
          <w:rStyle w:val="ECHRPara"/>
        </w:rPr>
        <w:t>Р</w:t>
      </w:r>
      <w:r>
        <w:rPr>
          <w:rStyle w:val="ECHRPara"/>
        </w:rPr>
        <w:t>ешение</w:t>
      </w:r>
      <w:r w:rsidR="00DF08E0">
        <w:rPr>
          <w:rStyle w:val="ECHRPara"/>
        </w:rPr>
        <w:t>то му</w:t>
      </w:r>
      <w:r>
        <w:rPr>
          <w:rStyle w:val="ECHRPara"/>
        </w:rPr>
        <w:t xml:space="preserve"> е безусловно и неотменимо и не подлежи на съдебен или административен контрол (за повече информация, вж. </w:t>
      </w:r>
      <w:proofErr w:type="spellStart"/>
      <w:r>
        <w:rPr>
          <w:rStyle w:val="ECHRPara"/>
          <w:i/>
        </w:rPr>
        <w:t>Харакчиев</w:t>
      </w:r>
      <w:proofErr w:type="spellEnd"/>
      <w:r>
        <w:rPr>
          <w:rStyle w:val="ECHRPara"/>
          <w:i/>
        </w:rPr>
        <w:t xml:space="preserve"> и </w:t>
      </w:r>
      <w:proofErr w:type="spellStart"/>
      <w:r>
        <w:rPr>
          <w:rStyle w:val="ECHRPara"/>
          <w:i/>
        </w:rPr>
        <w:t>Толумов</w:t>
      </w:r>
      <w:proofErr w:type="spellEnd"/>
      <w:r>
        <w:rPr>
          <w:rStyle w:val="ECHRPara"/>
          <w:i/>
        </w:rPr>
        <w:t xml:space="preserve"> </w:t>
      </w:r>
      <w:r>
        <w:rPr>
          <w:rStyle w:val="ECHRPara"/>
        </w:rPr>
        <w:t xml:space="preserve"> </w:t>
      </w:r>
      <w:r>
        <w:rPr>
          <w:rStyle w:val="ECHRPara"/>
          <w:i/>
        </w:rPr>
        <w:t>срещу България</w:t>
      </w:r>
      <w:r>
        <w:rPr>
          <w:rStyle w:val="ECHRPara"/>
        </w:rPr>
        <w:t xml:space="preserve">, </w:t>
      </w:r>
      <w:r>
        <w:rPr>
          <w:rStyle w:val="ECHRPara"/>
          <w:cs/>
        </w:rPr>
        <w:t xml:space="preserve">№ </w:t>
      </w:r>
      <w:r>
        <w:rPr>
          <w:rStyle w:val="ECHRPara"/>
        </w:rPr>
        <w:t>15018/11 и 61199/12, §§ 72-107, ЕСПЧ </w:t>
      </w:r>
      <w:r w:rsidR="00A3482D">
        <w:rPr>
          <w:rStyle w:val="ECHRPara"/>
        </w:rPr>
        <w:t xml:space="preserve"> </w:t>
      </w:r>
      <w:r>
        <w:rPr>
          <w:rStyle w:val="ECHRPara"/>
        </w:rPr>
        <w:t>2014 г. (</w:t>
      </w:r>
      <w:r w:rsidR="00A3482D">
        <w:rPr>
          <w:rStyle w:val="ECHRPara"/>
        </w:rPr>
        <w:t>из</w:t>
      </w:r>
      <w:r w:rsidR="00B40B46">
        <w:rPr>
          <w:rStyle w:val="ECHRPara"/>
        </w:rPr>
        <w:t>в</w:t>
      </w:r>
      <w:r w:rsidR="00A3482D">
        <w:rPr>
          <w:rStyle w:val="ECHRPara"/>
        </w:rPr>
        <w:t>адки</w:t>
      </w:r>
      <w:r>
        <w:rPr>
          <w:rStyle w:val="ECHRPara"/>
        </w:rPr>
        <w:t>).</w:t>
      </w:r>
    </w:p>
    <w:p w:rsidR="00FA6179" w:rsidRPr="005E3909" w:rsidRDefault="00FA6179" w:rsidP="00FA6179">
      <w:pPr>
        <w:pStyle w:val="ECHRHeading3"/>
      </w:pPr>
      <w:r>
        <w:rPr>
          <w:rStyle w:val="ECHRHeading3"/>
        </w:rPr>
        <w:t>11.  Правомощия на омбудсмана</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21</w:t>
      </w:r>
      <w:r>
        <w:fldChar w:fldCharType="end"/>
      </w:r>
      <w:r>
        <w:rPr>
          <w:rStyle w:val="ECHRPara"/>
        </w:rPr>
        <w:t>.  От 1 януари 2004 г., омбудсманът може да поиска от органите, изброени в чл. 150 от Конституцията, а  именно</w:t>
      </w:r>
      <w:r w:rsidR="00271E28">
        <w:rPr>
          <w:rStyle w:val="ECHRPara"/>
        </w:rPr>
        <w:t xml:space="preserve"> от</w:t>
      </w:r>
      <w:r>
        <w:rPr>
          <w:rStyle w:val="ECHRPara"/>
        </w:rPr>
        <w:t xml:space="preserve"> президента на републиката, Министерския съвет, Върховния касационен съд, Върховния административен съд, главния прокурор или най-малко една пета от народните представители, да се обърнат към Конституционния съд с искане за тълкуване на Конституцията. От 2006 г. омбудсманът може сам да поиска от Конституционния съд да се произнесе по съвместимостта на  закони</w:t>
      </w:r>
      <w:r w:rsidR="00756BD3">
        <w:rPr>
          <w:rStyle w:val="ECHRPara"/>
        </w:rPr>
        <w:t>те</w:t>
      </w:r>
      <w:r>
        <w:rPr>
          <w:rStyle w:val="ECHRPara"/>
        </w:rPr>
        <w:t xml:space="preserve"> с Конституцията (чл. 150 § 3 от Конституцията).</w:t>
      </w:r>
    </w:p>
    <w:p w:rsidR="00FA6179" w:rsidRPr="005E3909" w:rsidRDefault="00FA6179" w:rsidP="00FA6179">
      <w:pPr>
        <w:pStyle w:val="ECHRHeading3"/>
      </w:pPr>
      <w:r>
        <w:rPr>
          <w:rStyle w:val="ECHRHeading3"/>
        </w:rPr>
        <w:t>12.  Замяна на присъда със съдебно решение</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22</w:t>
      </w:r>
      <w:r>
        <w:fldChar w:fldCharType="end"/>
      </w:r>
      <w:r>
        <w:rPr>
          <w:rStyle w:val="ECHRPara"/>
        </w:rPr>
        <w:t xml:space="preserve">.  Наказателният кодекс от 1968 г. (чл. 38а § 3) </w:t>
      </w:r>
      <w:r w:rsidR="000F0291">
        <w:rPr>
          <w:rStyle w:val="ECHRPara"/>
        </w:rPr>
        <w:t xml:space="preserve">предвижда </w:t>
      </w:r>
      <w:r>
        <w:rPr>
          <w:rStyle w:val="ECHRPara"/>
        </w:rPr>
        <w:t xml:space="preserve">, че  </w:t>
      </w:r>
      <w:r w:rsidR="008965E7">
        <w:rPr>
          <w:rStyle w:val="ECHRPara"/>
        </w:rPr>
        <w:t xml:space="preserve">наказанието </w:t>
      </w:r>
      <w:r>
        <w:rPr>
          <w:rStyle w:val="ECHRPara"/>
        </w:rPr>
        <w:t>доживотен затвор може да бъде заменен</w:t>
      </w:r>
      <w:r w:rsidR="008965E7">
        <w:rPr>
          <w:rStyle w:val="ECHRPara"/>
        </w:rPr>
        <w:t>о</w:t>
      </w:r>
      <w:r>
        <w:rPr>
          <w:rStyle w:val="ECHRPara"/>
        </w:rPr>
        <w:t xml:space="preserve"> с </w:t>
      </w:r>
      <w:r w:rsidR="009360ED">
        <w:rPr>
          <w:rStyle w:val="ECHRPara"/>
        </w:rPr>
        <w:t>наказание лишаване от свобода</w:t>
      </w:r>
      <w:r w:rsidR="00263666">
        <w:rPr>
          <w:rStyle w:val="ECHRPara"/>
        </w:rPr>
        <w:t xml:space="preserve"> за срок</w:t>
      </w:r>
      <w:r>
        <w:rPr>
          <w:rStyle w:val="ECHRPara"/>
        </w:rPr>
        <w:t xml:space="preserve"> от тридесет години, </w:t>
      </w:r>
      <w:r w:rsidR="00263666">
        <w:rPr>
          <w:rStyle w:val="ECHRPara"/>
        </w:rPr>
        <w:t>ако осъденият</w:t>
      </w:r>
      <w:r>
        <w:rPr>
          <w:rStyle w:val="ECHRPara"/>
        </w:rPr>
        <w:t xml:space="preserve"> е изтърпял не по-малко от двадесет години. Това се прави от окръжния съд по искане на окръжния прокурор (чл. 449 и 450 от Наказателно-процесуалния кодекс от 2005 г.). Окръжният съд се произнася чрез мотивирано решение; </w:t>
      </w:r>
      <w:r w:rsidRPr="0074533B">
        <w:rPr>
          <w:rStyle w:val="ECHRPara"/>
        </w:rPr>
        <w:t>отрицателно</w:t>
      </w:r>
      <w:r>
        <w:rPr>
          <w:rStyle w:val="ECHRPara"/>
        </w:rPr>
        <w:t xml:space="preserve"> решение може да се обжалва пред по-висшите съдилища. Ако предложението на </w:t>
      </w:r>
      <w:r w:rsidRPr="0074533B">
        <w:rPr>
          <w:rStyle w:val="ECHRPara"/>
        </w:rPr>
        <w:t>прокурора</w:t>
      </w:r>
      <w:r>
        <w:rPr>
          <w:rStyle w:val="ECHRPara"/>
        </w:rPr>
        <w:t xml:space="preserve"> </w:t>
      </w:r>
      <w:r w:rsidR="00AF3623">
        <w:rPr>
          <w:rStyle w:val="ECHRPara"/>
        </w:rPr>
        <w:t>не бъде уважено</w:t>
      </w:r>
      <w:r>
        <w:rPr>
          <w:rStyle w:val="ECHRPara"/>
        </w:rPr>
        <w:t xml:space="preserve">, </w:t>
      </w:r>
      <w:r w:rsidR="00AF3623" w:rsidRPr="00AF3623">
        <w:rPr>
          <w:rStyle w:val="ECHRPara"/>
        </w:rPr>
        <w:t xml:space="preserve">ново предложение може да се направи не по-рано от две </w:t>
      </w:r>
      <w:proofErr w:type="spellStart"/>
      <w:r w:rsidR="00AF3623" w:rsidRPr="00AF3623">
        <w:rPr>
          <w:rStyle w:val="ECHRPara"/>
        </w:rPr>
        <w:t>години</w:t>
      </w:r>
      <w:r w:rsidR="00AF3623">
        <w:rPr>
          <w:rStyle w:val="ECHRPara"/>
        </w:rPr>
        <w:t>.</w:t>
      </w:r>
      <w:r>
        <w:rPr>
          <w:rStyle w:val="ECHRPara"/>
        </w:rPr>
        <w:t>Законодателството</w:t>
      </w:r>
      <w:proofErr w:type="spellEnd"/>
      <w:r>
        <w:rPr>
          <w:rStyle w:val="ECHRPara"/>
        </w:rPr>
        <w:t xml:space="preserve"> не предвижда </w:t>
      </w:r>
      <w:r w:rsidRPr="0074533B">
        <w:rPr>
          <w:rStyle w:val="ECHRPara"/>
        </w:rPr>
        <w:t>прокурорът</w:t>
      </w:r>
      <w:r>
        <w:rPr>
          <w:rStyle w:val="ECHRPara"/>
        </w:rPr>
        <w:t xml:space="preserve"> да </w:t>
      </w:r>
      <w:r w:rsidRPr="0074533B">
        <w:rPr>
          <w:rStyle w:val="ECHRPara"/>
        </w:rPr>
        <w:t xml:space="preserve">търси </w:t>
      </w:r>
      <w:r w:rsidR="008965E7">
        <w:rPr>
          <w:rStyle w:val="ECHRPara"/>
        </w:rPr>
        <w:t xml:space="preserve">намаляване </w:t>
      </w:r>
      <w:r>
        <w:rPr>
          <w:rStyle w:val="ECHRPara"/>
        </w:rPr>
        <w:t xml:space="preserve"> на присъдата на правонарушители, осъдени на доживотен затвор</w:t>
      </w:r>
      <w:r w:rsidR="005E1DAF">
        <w:rPr>
          <w:rStyle w:val="ECHRPara"/>
        </w:rPr>
        <w:t xml:space="preserve"> без замяна</w:t>
      </w:r>
      <w:r>
        <w:rPr>
          <w:rStyle w:val="ECHRPara"/>
        </w:rPr>
        <w:t>.</w:t>
      </w:r>
    </w:p>
    <w:p w:rsidR="00FA6179" w:rsidRPr="005E3909" w:rsidRDefault="00FA6179" w:rsidP="00FA6179">
      <w:pPr>
        <w:pStyle w:val="ECHRHeading2"/>
      </w:pPr>
      <w:r>
        <w:rPr>
          <w:rStyle w:val="ECHRHeading2"/>
        </w:rPr>
        <w:t xml:space="preserve">Б. Международно и </w:t>
      </w:r>
      <w:r w:rsidRPr="0074533B">
        <w:rPr>
          <w:rStyle w:val="ECHRHeading2"/>
        </w:rPr>
        <w:t>сравнително право</w:t>
      </w:r>
    </w:p>
    <w:p w:rsidR="00FA6179" w:rsidRPr="005E3909" w:rsidRDefault="00FA6179" w:rsidP="00FA6179">
      <w:pPr>
        <w:pStyle w:val="ECHRPara"/>
        <w:rPr>
          <w:snapToGrid w:val="0"/>
        </w:rPr>
      </w:pPr>
      <w:r>
        <w:fldChar w:fldCharType="begin"/>
      </w:r>
      <w:r>
        <w:rPr>
          <w:rStyle w:val="ECHRPara"/>
        </w:rPr>
        <w:instrText xml:space="preserve"> SEQ level0 \*arabic </w:instrText>
      </w:r>
      <w:r>
        <w:fldChar w:fldCharType="separate"/>
      </w:r>
      <w:r>
        <w:rPr>
          <w:rStyle w:val="ECHRPara"/>
        </w:rPr>
        <w:t>23</w:t>
      </w:r>
      <w:r>
        <w:fldChar w:fldCharType="end"/>
      </w:r>
      <w:r>
        <w:rPr>
          <w:rStyle w:val="ECHRPara"/>
        </w:rPr>
        <w:t xml:space="preserve">.  Съответните разпоредби за </w:t>
      </w:r>
      <w:r w:rsidR="00244302">
        <w:rPr>
          <w:rStyle w:val="ECHRPara"/>
        </w:rPr>
        <w:t>избирателните права</w:t>
      </w:r>
      <w:r>
        <w:rPr>
          <w:rStyle w:val="ECHRPara"/>
        </w:rPr>
        <w:t xml:space="preserve"> на лишените от свобода, </w:t>
      </w:r>
      <w:r w:rsidRPr="0074533B">
        <w:rPr>
          <w:rStyle w:val="ECHRPara"/>
        </w:rPr>
        <w:t>на</w:t>
      </w:r>
      <w:r w:rsidRPr="00244302">
        <w:rPr>
          <w:rStyle w:val="ECHRPara"/>
        </w:rPr>
        <w:t xml:space="preserve">миращи се в </w:t>
      </w:r>
      <w:r w:rsidRPr="0074533B">
        <w:rPr>
          <w:rStyle w:val="ECHRPara"/>
        </w:rPr>
        <w:t>международни правни инструменти</w:t>
      </w:r>
      <w:r>
        <w:rPr>
          <w:rStyle w:val="ECHRPara"/>
        </w:rPr>
        <w:t xml:space="preserve"> и закони на други държави-страни по Конвенцията, са обобщени в делото </w:t>
      </w:r>
      <w:proofErr w:type="spellStart"/>
      <w:r>
        <w:rPr>
          <w:rStyle w:val="ECHRPara"/>
          <w:i/>
        </w:rPr>
        <w:t>Anchugov</w:t>
      </w:r>
      <w:proofErr w:type="spellEnd"/>
      <w:r>
        <w:rPr>
          <w:rStyle w:val="ECHRPara"/>
          <w:i/>
        </w:rPr>
        <w:t xml:space="preserve"> and </w:t>
      </w:r>
      <w:proofErr w:type="spellStart"/>
      <w:r>
        <w:rPr>
          <w:rStyle w:val="ECHRPara"/>
          <w:i/>
        </w:rPr>
        <w:t>Gladkov</w:t>
      </w:r>
      <w:proofErr w:type="spellEnd"/>
      <w:r>
        <w:rPr>
          <w:rStyle w:val="ECHRPara"/>
        </w:rPr>
        <w:t xml:space="preserve"> </w:t>
      </w:r>
      <w:r>
        <w:rPr>
          <w:rStyle w:val="ECHRPara"/>
          <w:i/>
        </w:rPr>
        <w:t>v. </w:t>
      </w:r>
      <w:proofErr w:type="spellStart"/>
      <w:r>
        <w:rPr>
          <w:rStyle w:val="ECHRPara"/>
          <w:i/>
        </w:rPr>
        <w:t>Russia</w:t>
      </w:r>
      <w:proofErr w:type="spellEnd"/>
      <w:r>
        <w:rPr>
          <w:rStyle w:val="ECHRPara"/>
        </w:rPr>
        <w:t xml:space="preserve">, </w:t>
      </w:r>
      <w:r>
        <w:rPr>
          <w:rStyle w:val="ECHRPara"/>
          <w:cs/>
        </w:rPr>
        <w:t xml:space="preserve">№ </w:t>
      </w:r>
      <w:r>
        <w:rPr>
          <w:rStyle w:val="ECHRPara"/>
        </w:rPr>
        <w:t>11157/04 и 15162/05, §§ 36-46, 4 юли 2013 г.</w:t>
      </w:r>
    </w:p>
    <w:p w:rsidR="00FA6179" w:rsidRPr="005E3909" w:rsidRDefault="00FA6179" w:rsidP="00FA6179">
      <w:pPr>
        <w:pStyle w:val="ECHRPara"/>
        <w:rPr>
          <w:snapToGrid w:val="0"/>
        </w:rPr>
      </w:pPr>
      <w:r>
        <w:rPr>
          <w:rStyle w:val="ECHRPara"/>
        </w:rPr>
        <w:fldChar w:fldCharType="begin"/>
      </w:r>
      <w:r>
        <w:rPr>
          <w:rStyle w:val="ECHRPara"/>
        </w:rPr>
        <w:instrText xml:space="preserve"> SEQ level0 \*arabic </w:instrText>
      </w:r>
      <w:r>
        <w:rPr>
          <w:rStyle w:val="ECHRPara"/>
        </w:rPr>
        <w:fldChar w:fldCharType="separate"/>
      </w:r>
      <w:r>
        <w:rPr>
          <w:rStyle w:val="ECHRPara"/>
        </w:rPr>
        <w:t>24</w:t>
      </w:r>
      <w:r>
        <w:rPr>
          <w:rStyle w:val="ECHRPara"/>
        </w:rPr>
        <w:fldChar w:fldCharType="end"/>
      </w:r>
      <w:r>
        <w:rPr>
          <w:rStyle w:val="ECHRPara"/>
        </w:rPr>
        <w:t xml:space="preserve">.  Доколкото настоящото дело се отнася не само за българските </w:t>
      </w:r>
      <w:r w:rsidR="00916FFF">
        <w:rPr>
          <w:rStyle w:val="ECHRPara"/>
        </w:rPr>
        <w:t>парламентарни избори</w:t>
      </w:r>
      <w:r>
        <w:rPr>
          <w:rStyle w:val="ECHRPara"/>
        </w:rPr>
        <w:t xml:space="preserve">, но и за правото на глас в избори за Европейски парламент, следното е от значение. Съдът на Европейския съюз разглежда в делото </w:t>
      </w:r>
      <w:proofErr w:type="spellStart"/>
      <w:r>
        <w:rPr>
          <w:rStyle w:val="ECHRPara"/>
          <w:i/>
        </w:rPr>
        <w:t>Thierry</w:t>
      </w:r>
      <w:proofErr w:type="spellEnd"/>
      <w:r>
        <w:rPr>
          <w:rStyle w:val="ECHRPara"/>
          <w:i/>
        </w:rPr>
        <w:t xml:space="preserve"> </w:t>
      </w:r>
      <w:proofErr w:type="spellStart"/>
      <w:r>
        <w:rPr>
          <w:rStyle w:val="ECHRPara"/>
          <w:i/>
        </w:rPr>
        <w:t>Delvigne</w:t>
      </w:r>
      <w:proofErr w:type="spellEnd"/>
      <w:r>
        <w:rPr>
          <w:rStyle w:val="ECHRPara"/>
          <w:i/>
        </w:rPr>
        <w:t xml:space="preserve"> v. </w:t>
      </w:r>
      <w:proofErr w:type="spellStart"/>
      <w:r>
        <w:rPr>
          <w:rStyle w:val="ECHRPara"/>
          <w:i/>
        </w:rPr>
        <w:t>Commune</w:t>
      </w:r>
      <w:proofErr w:type="spellEnd"/>
      <w:r>
        <w:rPr>
          <w:rStyle w:val="ECHRPara"/>
          <w:i/>
        </w:rPr>
        <w:t xml:space="preserve"> </w:t>
      </w:r>
      <w:proofErr w:type="spellStart"/>
      <w:r>
        <w:rPr>
          <w:rStyle w:val="ECHRPara"/>
          <w:i/>
        </w:rPr>
        <w:t>de</w:t>
      </w:r>
      <w:proofErr w:type="spellEnd"/>
      <w:r>
        <w:rPr>
          <w:rStyle w:val="ECHRPara"/>
          <w:i/>
        </w:rPr>
        <w:t xml:space="preserve"> </w:t>
      </w:r>
      <w:proofErr w:type="spellStart"/>
      <w:r>
        <w:rPr>
          <w:rStyle w:val="ECHRPara"/>
          <w:i/>
        </w:rPr>
        <w:t>Lesparre-Médoc</w:t>
      </w:r>
      <w:proofErr w:type="spellEnd"/>
      <w:r>
        <w:rPr>
          <w:rStyle w:val="ECHRPara"/>
          <w:i/>
        </w:rPr>
        <w:t xml:space="preserve"> and </w:t>
      </w:r>
      <w:proofErr w:type="spellStart"/>
      <w:r>
        <w:rPr>
          <w:rStyle w:val="ECHRPara"/>
          <w:i/>
        </w:rPr>
        <w:t>Préfet</w:t>
      </w:r>
      <w:proofErr w:type="spellEnd"/>
      <w:r>
        <w:rPr>
          <w:rStyle w:val="ECHRPara"/>
          <w:i/>
        </w:rPr>
        <w:t xml:space="preserve"> </w:t>
      </w:r>
      <w:proofErr w:type="spellStart"/>
      <w:r>
        <w:rPr>
          <w:rStyle w:val="ECHRPara"/>
          <w:i/>
        </w:rPr>
        <w:t>de</w:t>
      </w:r>
      <w:proofErr w:type="spellEnd"/>
      <w:r>
        <w:rPr>
          <w:rStyle w:val="ECHRPara"/>
          <w:i/>
        </w:rPr>
        <w:t xml:space="preserve"> </w:t>
      </w:r>
      <w:proofErr w:type="spellStart"/>
      <w:r>
        <w:rPr>
          <w:rStyle w:val="ECHRPara"/>
          <w:i/>
        </w:rPr>
        <w:t>la</w:t>
      </w:r>
      <w:proofErr w:type="spellEnd"/>
      <w:r>
        <w:rPr>
          <w:rStyle w:val="ECHRPara"/>
          <w:i/>
        </w:rPr>
        <w:t xml:space="preserve"> </w:t>
      </w:r>
      <w:proofErr w:type="spellStart"/>
      <w:r>
        <w:rPr>
          <w:rStyle w:val="ECHRPara"/>
          <w:i/>
        </w:rPr>
        <w:t>Gironde</w:t>
      </w:r>
      <w:proofErr w:type="spellEnd"/>
      <w:r>
        <w:rPr>
          <w:rStyle w:val="ECHRPara"/>
        </w:rPr>
        <w:t xml:space="preserve"> (C-650/13, EU:C:2015:648)</w:t>
      </w:r>
      <w:r w:rsidR="00916FFF">
        <w:rPr>
          <w:rStyle w:val="ECHRPara"/>
        </w:rPr>
        <w:t xml:space="preserve"> </w:t>
      </w:r>
      <w:r>
        <w:rPr>
          <w:rStyle w:val="ECHRPara"/>
        </w:rPr>
        <w:t xml:space="preserve">съвместимостта с чл. 39 (2) от Хартата на основните права на Европейския съюз на </w:t>
      </w:r>
      <w:r w:rsidRPr="0074533B">
        <w:rPr>
          <w:rStyle w:val="ECHRPara"/>
        </w:rPr>
        <w:t>изключването</w:t>
      </w:r>
      <w:r w:rsidR="00CD5B39">
        <w:rPr>
          <w:rStyle w:val="ECHRPara"/>
        </w:rPr>
        <w:t xml:space="preserve">, по силата на френското право, </w:t>
      </w:r>
      <w:r w:rsidR="003F739C">
        <w:rPr>
          <w:rStyle w:val="ECHRPara"/>
        </w:rPr>
        <w:t>на лица</w:t>
      </w:r>
      <w:r w:rsidR="00CD5B39">
        <w:rPr>
          <w:rStyle w:val="ECHRPara"/>
        </w:rPr>
        <w:t>та</w:t>
      </w:r>
      <w:r w:rsidR="003F739C">
        <w:rPr>
          <w:rStyle w:val="ECHRPara"/>
        </w:rPr>
        <w:t>, осъдени за тежки престъпления от имащите право на глас за Европейски парламент</w:t>
      </w:r>
      <w:r>
        <w:rPr>
          <w:rStyle w:val="ECHRPara"/>
        </w:rPr>
        <w:t>. В</w:t>
      </w:r>
      <w:r w:rsidR="00394FAF">
        <w:rPr>
          <w:rStyle w:val="ECHRPara"/>
        </w:rPr>
        <w:t xml:space="preserve"> </w:t>
      </w:r>
      <w:proofErr w:type="spellStart"/>
      <w:r>
        <w:rPr>
          <w:rStyle w:val="ECHRPara"/>
          <w:i/>
        </w:rPr>
        <w:t>Delvigne</w:t>
      </w:r>
      <w:proofErr w:type="spellEnd"/>
      <w:r>
        <w:rPr>
          <w:rStyle w:val="ECHRPara"/>
        </w:rPr>
        <w:t>, Съдът на Европейския съюз при</w:t>
      </w:r>
      <w:r w:rsidR="00D325D5">
        <w:rPr>
          <w:rStyle w:val="ECHRPara"/>
        </w:rPr>
        <w:t>е</w:t>
      </w:r>
      <w:r>
        <w:rPr>
          <w:rStyle w:val="ECHRPara"/>
        </w:rPr>
        <w:t xml:space="preserve">ма, че ограничаването на правото на глас на </w:t>
      </w:r>
      <w:r w:rsidR="006356DA">
        <w:rPr>
          <w:rStyle w:val="ECHRPara"/>
        </w:rPr>
        <w:t xml:space="preserve">лишените от свобода </w:t>
      </w:r>
      <w:r>
        <w:rPr>
          <w:rStyle w:val="ECHRPara"/>
        </w:rPr>
        <w:t xml:space="preserve">във Франция не поставя под въпрос същността на тези права, тъй като </w:t>
      </w:r>
      <w:r w:rsidR="00AE22F9">
        <w:rPr>
          <w:rStyle w:val="ECHRPara"/>
        </w:rPr>
        <w:t>то има за последица изключването на  някои</w:t>
      </w:r>
      <w:r>
        <w:rPr>
          <w:rStyle w:val="ECHRPara"/>
        </w:rPr>
        <w:t xml:space="preserve"> лица при определени условия и </w:t>
      </w:r>
      <w:r w:rsidR="00AE22F9">
        <w:rPr>
          <w:rStyle w:val="ECHRPara"/>
        </w:rPr>
        <w:t xml:space="preserve">с оглед на </w:t>
      </w:r>
      <w:r>
        <w:rPr>
          <w:rStyle w:val="ECHRPara"/>
        </w:rPr>
        <w:t>тяхното поведение</w:t>
      </w:r>
      <w:r w:rsidR="00D325D5">
        <w:rPr>
          <w:rStyle w:val="ECHRPara"/>
        </w:rPr>
        <w:t>, доколкото тези условия са изпълнени,</w:t>
      </w:r>
      <w:r w:rsidR="006356DA">
        <w:rPr>
          <w:rStyle w:val="ECHRPara"/>
        </w:rPr>
        <w:t xml:space="preserve"> от </w:t>
      </w:r>
      <w:r w:rsidR="00D325D5">
        <w:rPr>
          <w:rStyle w:val="ECHRPara"/>
        </w:rPr>
        <w:t xml:space="preserve"> </w:t>
      </w:r>
      <w:r w:rsidR="00AE22F9">
        <w:rPr>
          <w:rStyle w:val="ECHRPara"/>
        </w:rPr>
        <w:t>имащите</w:t>
      </w:r>
      <w:r w:rsidR="006356DA">
        <w:rPr>
          <w:rStyle w:val="ECHRPara"/>
        </w:rPr>
        <w:t xml:space="preserve"> право </w:t>
      </w:r>
      <w:r w:rsidR="00AE22F9">
        <w:rPr>
          <w:rStyle w:val="ECHRPara"/>
        </w:rPr>
        <w:t xml:space="preserve">на глас </w:t>
      </w:r>
      <w:r w:rsidR="006356DA">
        <w:rPr>
          <w:rStyle w:val="ECHRPara"/>
        </w:rPr>
        <w:t xml:space="preserve"> в парламентарни избори</w:t>
      </w:r>
      <w:r>
        <w:rPr>
          <w:rStyle w:val="ECHRPara"/>
        </w:rPr>
        <w:t xml:space="preserve">. В допълнение той смята, че </w:t>
      </w:r>
      <w:r w:rsidR="00AE22F9">
        <w:rPr>
          <w:rStyle w:val="ECHRPara"/>
        </w:rPr>
        <w:t>ограничението</w:t>
      </w:r>
      <w:r>
        <w:rPr>
          <w:rStyle w:val="ECHRPara"/>
        </w:rPr>
        <w:t xml:space="preserve"> във Франция е пропорционално, доколкото </w:t>
      </w:r>
      <w:r w:rsidR="00465CF1">
        <w:rPr>
          <w:rStyle w:val="ECHRPara"/>
        </w:rPr>
        <w:t xml:space="preserve"> </w:t>
      </w:r>
      <w:r>
        <w:rPr>
          <w:rStyle w:val="ECHRPara"/>
        </w:rPr>
        <w:t xml:space="preserve">взема предвид естеството и сериозността на извършеното престъпление и продължителността на наказанието (вж. </w:t>
      </w:r>
      <w:proofErr w:type="spellStart"/>
      <w:r>
        <w:rPr>
          <w:rStyle w:val="ECHRPara"/>
          <w:i/>
        </w:rPr>
        <w:t>Delvigne</w:t>
      </w:r>
      <w:proofErr w:type="spellEnd"/>
      <w:r>
        <w:rPr>
          <w:rStyle w:val="ECHRPara"/>
        </w:rPr>
        <w:t>, цитирано по-горе, параграфи 48-49).</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25</w:t>
      </w:r>
      <w:r>
        <w:fldChar w:fldCharType="end"/>
      </w:r>
      <w:r>
        <w:rPr>
          <w:rStyle w:val="ECHRPara"/>
        </w:rPr>
        <w:t xml:space="preserve">.  Извършено е сравнително изследване  в контекста на производството пред Голямата камара на Съда в друго дело </w:t>
      </w:r>
      <w:r w:rsidR="0013627D">
        <w:rPr>
          <w:rStyle w:val="ECHRPara"/>
        </w:rPr>
        <w:t xml:space="preserve">отнасящо се до </w:t>
      </w:r>
      <w:r>
        <w:rPr>
          <w:rStyle w:val="ECHRPara"/>
        </w:rPr>
        <w:t xml:space="preserve"> прав</w:t>
      </w:r>
      <w:r w:rsidR="00435E38">
        <w:rPr>
          <w:rStyle w:val="ECHRPara"/>
        </w:rPr>
        <w:t>о</w:t>
      </w:r>
      <w:r>
        <w:rPr>
          <w:rStyle w:val="ECHRPara"/>
        </w:rPr>
        <w:t>т</w:t>
      </w:r>
      <w:r w:rsidR="00435E38">
        <w:rPr>
          <w:rStyle w:val="ECHRPara"/>
        </w:rPr>
        <w:t>о</w:t>
      </w:r>
      <w:r>
        <w:rPr>
          <w:rStyle w:val="ECHRPara"/>
        </w:rPr>
        <w:t xml:space="preserve"> на глас на лишените от свобода (вж. </w:t>
      </w:r>
      <w:proofErr w:type="spellStart"/>
      <w:r>
        <w:rPr>
          <w:rStyle w:val="ECHRPara"/>
          <w:i/>
        </w:rPr>
        <w:t>Scoppola</w:t>
      </w:r>
      <w:proofErr w:type="spellEnd"/>
      <w:r>
        <w:rPr>
          <w:rStyle w:val="ECHRPara"/>
          <w:i/>
        </w:rPr>
        <w:t xml:space="preserve"> v. </w:t>
      </w:r>
      <w:proofErr w:type="spellStart"/>
      <w:r>
        <w:rPr>
          <w:rStyle w:val="ECHRPara"/>
          <w:i/>
        </w:rPr>
        <w:t>Italy</w:t>
      </w:r>
      <w:proofErr w:type="spellEnd"/>
      <w:r>
        <w:rPr>
          <w:rStyle w:val="ECHRPara"/>
        </w:rPr>
        <w:t xml:space="preserve"> (</w:t>
      </w:r>
      <w:proofErr w:type="spellStart"/>
      <w:r>
        <w:rPr>
          <w:rStyle w:val="ECHRPara"/>
        </w:rPr>
        <w:t>no</w:t>
      </w:r>
      <w:proofErr w:type="spellEnd"/>
      <w:r>
        <w:rPr>
          <w:rStyle w:val="ECHRPara"/>
        </w:rPr>
        <w:t xml:space="preserve">. 3) [GC], </w:t>
      </w:r>
      <w:r>
        <w:rPr>
          <w:rStyle w:val="ECHRPara"/>
          <w:cs/>
        </w:rPr>
        <w:t>№</w:t>
      </w:r>
      <w:r>
        <w:rPr>
          <w:rStyle w:val="ECHRPara"/>
        </w:rPr>
        <w:t> </w:t>
      </w:r>
      <w:hyperlink r:id="rId13" w:anchor="{&quot;appno&quot;:[&quot;126/05&quot;]}" w:tgtFrame="_blank" w:history="1">
        <w:r>
          <w:rPr>
            <w:rStyle w:val="ECHRPara"/>
          </w:rPr>
          <w:t>126/05</w:t>
        </w:r>
      </w:hyperlink>
      <w:r>
        <w:rPr>
          <w:rStyle w:val="ECHRPara"/>
        </w:rPr>
        <w:t xml:space="preserve">, §§ 45-48, 22 май 2012 г.). То показва, че по това време седем държави-страни по Конвенцията - Армения, България, Естония, Грузия, Унгария, Русия и Обединеното кралство - автоматично лишават всички осъдени затворници, изтърпяващи </w:t>
      </w:r>
      <w:r w:rsidR="00246760">
        <w:rPr>
          <w:rStyle w:val="ECHRPara"/>
        </w:rPr>
        <w:t>наказанието лишаване от свобода</w:t>
      </w:r>
      <w:r>
        <w:rPr>
          <w:rStyle w:val="ECHRPara"/>
        </w:rPr>
        <w:t xml:space="preserve">, от правото на глас, докато деветнадесет от четиридесет и трите изследвани държави не поставят ограничения на това право, а седемнадесет следват междинен подход, при който отнемането на правото на глас на </w:t>
      </w:r>
      <w:r w:rsidR="00FB14F0">
        <w:rPr>
          <w:rStyle w:val="ECHRPara"/>
        </w:rPr>
        <w:t xml:space="preserve">лишените от свобода </w:t>
      </w:r>
      <w:r>
        <w:rPr>
          <w:rStyle w:val="ECHRPara"/>
        </w:rPr>
        <w:t>зависи от вида на престъплението и/или продължителността на наказанието лишаване от свобода.</w:t>
      </w:r>
    </w:p>
    <w:p w:rsidR="00FA6179" w:rsidRPr="005E3909" w:rsidRDefault="00ED69F0" w:rsidP="00FA6179">
      <w:pPr>
        <w:pStyle w:val="ECHRTitle1"/>
      </w:pPr>
      <w:r>
        <w:rPr>
          <w:rStyle w:val="ECHRTitle1"/>
        </w:rPr>
        <w:t>ПРАВОТО</w:t>
      </w:r>
    </w:p>
    <w:p w:rsidR="00FA6179" w:rsidRPr="005E3909" w:rsidRDefault="00FA6179" w:rsidP="00FA6179">
      <w:pPr>
        <w:pStyle w:val="ECHRHeading1"/>
      </w:pPr>
      <w:r>
        <w:rPr>
          <w:rStyle w:val="ECHRHeading1"/>
        </w:rPr>
        <w:t>I. ТВЪРДЯНО НАРУШЕНИЕ НА ЧЛ. 3 ОТ ПРОТОКОЛ</w:t>
      </w:r>
      <w:r w:rsidR="00033A01" w:rsidRPr="00B76259">
        <w:rPr>
          <w:rStyle w:val="ECHRHeading1"/>
        </w:rPr>
        <w:t xml:space="preserve"> </w:t>
      </w:r>
      <w:r w:rsidR="00033A01">
        <w:rPr>
          <w:rStyle w:val="ECHRHeading1"/>
        </w:rPr>
        <w:t>№</w:t>
      </w:r>
      <w:r>
        <w:rPr>
          <w:rStyle w:val="ECHRHeading1"/>
          <w:cs/>
        </w:rPr>
        <w:t xml:space="preserve"> </w:t>
      </w:r>
      <w:r>
        <w:rPr>
          <w:rStyle w:val="ECHRHeading1"/>
        </w:rPr>
        <w:t xml:space="preserve">1 </w:t>
      </w:r>
      <w:r w:rsidR="00E17A96">
        <w:rPr>
          <w:rStyle w:val="ECHRHeading1"/>
        </w:rPr>
        <w:t xml:space="preserve">ОТ </w:t>
      </w:r>
      <w:r>
        <w:rPr>
          <w:rStyle w:val="ECHRHeading1"/>
        </w:rPr>
        <w:t>КОНВЕНЦИЯТА</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26</w:t>
      </w:r>
      <w:r>
        <w:fldChar w:fldCharType="end"/>
      </w:r>
      <w:r>
        <w:rPr>
          <w:rStyle w:val="ECHRPara"/>
        </w:rPr>
        <w:t xml:space="preserve">.  И двамата жалбоподатели се позовават на чл. 3 от Протокол </w:t>
      </w:r>
      <w:r>
        <w:rPr>
          <w:rStyle w:val="ECHRPara"/>
          <w:cs/>
        </w:rPr>
        <w:t xml:space="preserve">№ </w:t>
      </w:r>
      <w:r>
        <w:rPr>
          <w:rStyle w:val="ECHRPara"/>
        </w:rPr>
        <w:t xml:space="preserve">1 към Конвенцията, че отнемането на правото им на глас на </w:t>
      </w:r>
      <w:proofErr w:type="spellStart"/>
      <w:r>
        <w:rPr>
          <w:rStyle w:val="ECHRPara"/>
        </w:rPr>
        <w:t>основание</w:t>
      </w:r>
      <w:r w:rsidR="00C42709">
        <w:rPr>
          <w:rStyle w:val="ECHRPara"/>
        </w:rPr>
        <w:t>осъждането</w:t>
      </w:r>
      <w:proofErr w:type="spellEnd"/>
      <w:r w:rsidR="00C42709">
        <w:rPr>
          <w:rStyle w:val="ECHRPara"/>
        </w:rPr>
        <w:t xml:space="preserve"> им </w:t>
      </w:r>
      <w:r w:rsidR="00EF601F" w:rsidRPr="00567DB3">
        <w:rPr>
          <w:rStyle w:val="ECHRPara"/>
        </w:rPr>
        <w:t>на</w:t>
      </w:r>
      <w:r w:rsidR="00EF601F">
        <w:rPr>
          <w:rStyle w:val="ECHRPara"/>
        </w:rPr>
        <w:t xml:space="preserve"> лишаване от свобода</w:t>
      </w:r>
      <w:r>
        <w:rPr>
          <w:rStyle w:val="ECHRPara"/>
        </w:rPr>
        <w:t xml:space="preserve">, нарушава </w:t>
      </w:r>
      <w:r w:rsidRPr="0074533B">
        <w:rPr>
          <w:rStyle w:val="ECHRPara"/>
        </w:rPr>
        <w:t xml:space="preserve">правото им </w:t>
      </w:r>
      <w:r w:rsidR="002A072C" w:rsidRPr="00567DB3">
        <w:rPr>
          <w:rStyle w:val="ECHRPara"/>
        </w:rPr>
        <w:t>на уча</w:t>
      </w:r>
      <w:r w:rsidR="002A072C">
        <w:rPr>
          <w:rStyle w:val="ECHRPara"/>
        </w:rPr>
        <w:t>с</w:t>
      </w:r>
      <w:r w:rsidR="002A072C" w:rsidRPr="00567DB3">
        <w:rPr>
          <w:rStyle w:val="ECHRPara"/>
        </w:rPr>
        <w:t>тие в избори</w:t>
      </w:r>
      <w:r>
        <w:rPr>
          <w:rStyle w:val="ECHRPara"/>
        </w:rPr>
        <w:t xml:space="preserve">, </w:t>
      </w:r>
      <w:r w:rsidR="00C42709">
        <w:rPr>
          <w:rStyle w:val="ECHRPara"/>
        </w:rPr>
        <w:t xml:space="preserve">с оглед на което </w:t>
      </w:r>
      <w:r>
        <w:rPr>
          <w:rStyle w:val="ECHRPara"/>
        </w:rPr>
        <w:t xml:space="preserve">по-конкретно не са могли да гласуват два пъти на избори, проведени на различни дати през 2009 г. (вж. параграф 8 по-горе). Вторият жалбоподател се оплаква отделно, че не е могъл да гласува още три пъти на избори, проведени през 2013 г. и 2014 г. (вж. параграф 9 по-горе). </w:t>
      </w:r>
      <w:proofErr w:type="spellStart"/>
      <w:r>
        <w:rPr>
          <w:rStyle w:val="ECHRPara"/>
        </w:rPr>
        <w:t>Относимата</w:t>
      </w:r>
      <w:proofErr w:type="spellEnd"/>
      <w:r>
        <w:rPr>
          <w:rStyle w:val="ECHRPara"/>
        </w:rPr>
        <w:t xml:space="preserve"> част от чл. 3 от Протокол </w:t>
      </w:r>
      <w:r>
        <w:rPr>
          <w:rStyle w:val="ECHRPara"/>
          <w:cs/>
        </w:rPr>
        <w:t xml:space="preserve">№ </w:t>
      </w:r>
      <w:r>
        <w:rPr>
          <w:rStyle w:val="ECHRPara"/>
        </w:rPr>
        <w:t>1 гласи следното:</w:t>
      </w:r>
    </w:p>
    <w:p w:rsidR="00FA6179" w:rsidRPr="005E3909" w:rsidRDefault="00FA6179" w:rsidP="00FA6179">
      <w:pPr>
        <w:pStyle w:val="ECHRParaQuote"/>
      </w:pPr>
      <w:r>
        <w:rPr>
          <w:rStyle w:val="ECHRParaQuote"/>
          <w:cs/>
        </w:rPr>
        <w:t>“</w:t>
      </w:r>
      <w:proofErr w:type="spellStart"/>
      <w:r>
        <w:rPr>
          <w:rStyle w:val="ECHRParaQuote"/>
        </w:rPr>
        <w:t>Βисокодоговарящите</w:t>
      </w:r>
      <w:proofErr w:type="spellEnd"/>
      <w:r>
        <w:rPr>
          <w:rStyle w:val="ECHRParaQuote"/>
        </w:rPr>
        <w:t xml:space="preserve"> страни се задължават да провеждат свободни избори през разумни интервали от време, с тайно гласуване, и при условия, осигуряващи свободното изразяване на мнението на народа при избиране на законодателното тяло.</w:t>
      </w:r>
      <w:r>
        <w:rPr>
          <w:rStyle w:val="ECHRParaQuote"/>
          <w:cs/>
        </w:rPr>
        <w:t>”</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27</w:t>
      </w:r>
      <w:r>
        <w:fldChar w:fldCharType="end"/>
      </w:r>
      <w:r>
        <w:rPr>
          <w:rStyle w:val="ECHRPara"/>
        </w:rPr>
        <w:t>.  Правителството оспорва твърденията на жалбоподателите.</w:t>
      </w:r>
    </w:p>
    <w:p w:rsidR="00FA6179" w:rsidRPr="005E3909" w:rsidRDefault="00FA6179" w:rsidP="00FA6179">
      <w:pPr>
        <w:pStyle w:val="ECHRHeading2"/>
      </w:pPr>
      <w:r>
        <w:rPr>
          <w:rStyle w:val="ECHRHeading2"/>
        </w:rPr>
        <w:t>A.  Допустимост</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28</w:t>
      </w:r>
      <w:r>
        <w:fldChar w:fldCharType="end"/>
      </w:r>
      <w:r>
        <w:rPr>
          <w:rStyle w:val="ECHRPara"/>
        </w:rPr>
        <w:t xml:space="preserve">.  Съдът отбелязва, че това оплакване не е явно необосновано по смисъла на чл. 35 § 3(а) от Конвенцията. </w:t>
      </w:r>
      <w:r w:rsidR="00695D2B">
        <w:rPr>
          <w:rStyle w:val="ECHRPara"/>
        </w:rPr>
        <w:t xml:space="preserve">На следващо място </w:t>
      </w:r>
      <w:r>
        <w:rPr>
          <w:rStyle w:val="ECHRPara"/>
        </w:rPr>
        <w:t xml:space="preserve"> отбелязва , че то не е недопустимо на други основания. Следователно трябва да бъде обявен</w:t>
      </w:r>
      <w:r w:rsidR="0053570D">
        <w:rPr>
          <w:rStyle w:val="ECHRPara"/>
        </w:rPr>
        <w:t>о</w:t>
      </w:r>
      <w:r>
        <w:rPr>
          <w:rStyle w:val="ECHRPara"/>
        </w:rPr>
        <w:t xml:space="preserve"> за допустим</w:t>
      </w:r>
      <w:r w:rsidR="00644FAD">
        <w:rPr>
          <w:rStyle w:val="ECHRPara"/>
        </w:rPr>
        <w:t>о</w:t>
      </w:r>
      <w:r>
        <w:rPr>
          <w:rStyle w:val="ECHRPara"/>
        </w:rPr>
        <w:t>.</w:t>
      </w:r>
    </w:p>
    <w:p w:rsidR="00FA6179" w:rsidRPr="005E3909" w:rsidRDefault="00FA6179" w:rsidP="00FA6179">
      <w:pPr>
        <w:pStyle w:val="ECHRHeading2"/>
      </w:pPr>
      <w:r>
        <w:rPr>
          <w:rStyle w:val="ECHRHeading2"/>
        </w:rPr>
        <w:t>Б. Основателност</w:t>
      </w:r>
    </w:p>
    <w:p w:rsidR="00FA6179" w:rsidRPr="005E3909" w:rsidRDefault="00FA6179" w:rsidP="00FA6179">
      <w:pPr>
        <w:pStyle w:val="ECHRHeading3"/>
      </w:pPr>
      <w:r>
        <w:rPr>
          <w:rStyle w:val="ECHRHeading3"/>
        </w:rPr>
        <w:t>1.  Становище на Правителството</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29</w:t>
      </w:r>
      <w:r>
        <w:fldChar w:fldCharType="end"/>
      </w:r>
      <w:r>
        <w:rPr>
          <w:rStyle w:val="ECHRPara"/>
        </w:rPr>
        <w:t xml:space="preserve">.  Правителството смята, че чл. 3 от Протокол </w:t>
      </w:r>
      <w:r>
        <w:rPr>
          <w:rStyle w:val="ECHRPara"/>
          <w:cs/>
        </w:rPr>
        <w:t xml:space="preserve">№ </w:t>
      </w:r>
      <w:r>
        <w:rPr>
          <w:rStyle w:val="ECHRPara"/>
        </w:rPr>
        <w:t>1 не предоставя индивидуално</w:t>
      </w:r>
      <w:r w:rsidR="00516AC5" w:rsidRPr="00567DB3">
        <w:rPr>
          <w:rStyle w:val="ECHRPara"/>
        </w:rPr>
        <w:t>,</w:t>
      </w:r>
      <w:r>
        <w:rPr>
          <w:rStyle w:val="ECHRPara"/>
        </w:rPr>
        <w:t xml:space="preserve"> право на участие в избори, ко</w:t>
      </w:r>
      <w:r w:rsidR="00516AC5">
        <w:rPr>
          <w:rStyle w:val="ECHRPara"/>
          <w:lang w:val="en-GB"/>
        </w:rPr>
        <w:t>e</w:t>
      </w:r>
      <w:r>
        <w:rPr>
          <w:rStyle w:val="ECHRPara"/>
        </w:rPr>
        <w:t xml:space="preserve">то е абсолютно и неограничено. Високодоговарящите страни имат широка свобода </w:t>
      </w:r>
      <w:r w:rsidR="00516AC5" w:rsidRPr="00567DB3">
        <w:rPr>
          <w:rStyle w:val="ECHRPara"/>
        </w:rPr>
        <w:t>з</w:t>
      </w:r>
      <w:r>
        <w:rPr>
          <w:rStyle w:val="ECHRPara"/>
        </w:rPr>
        <w:t xml:space="preserve">а преценка по отношение на правото на глас на хората. Ограниченията върху упражняването на правото на глас, </w:t>
      </w:r>
      <w:r w:rsidR="002224A3">
        <w:rPr>
          <w:rStyle w:val="ECHRPara"/>
        </w:rPr>
        <w:t xml:space="preserve">установени </w:t>
      </w:r>
      <w:r>
        <w:rPr>
          <w:rStyle w:val="ECHRPara"/>
        </w:rPr>
        <w:t xml:space="preserve">в чл. 42 (1) от българската Конституция, </w:t>
      </w:r>
      <w:r w:rsidR="002224A3">
        <w:rPr>
          <w:rStyle w:val="ECHRPara"/>
        </w:rPr>
        <w:t xml:space="preserve">са </w:t>
      </w:r>
      <w:r>
        <w:rPr>
          <w:rStyle w:val="ECHRPara"/>
        </w:rPr>
        <w:t xml:space="preserve">суверенното право на всяка държава да налага определени ограничения върху правото на глас на гражданите под своята юрисдикция. Чл. 3 от Протокол </w:t>
      </w:r>
      <w:r>
        <w:rPr>
          <w:rStyle w:val="ECHRPara"/>
          <w:cs/>
        </w:rPr>
        <w:t xml:space="preserve">№ </w:t>
      </w:r>
      <w:r>
        <w:rPr>
          <w:rStyle w:val="ECHRPara"/>
        </w:rPr>
        <w:t xml:space="preserve">1 </w:t>
      </w:r>
      <w:r w:rsidR="00D06FAF">
        <w:rPr>
          <w:rStyle w:val="ECHRPara"/>
        </w:rPr>
        <w:t xml:space="preserve">от </w:t>
      </w:r>
      <w:r>
        <w:rPr>
          <w:rStyle w:val="ECHRPara"/>
        </w:rPr>
        <w:t xml:space="preserve">Конвенцията не предполага никакви други условия, свързани с избирателните права, освен това държавата да трябва да гарантира свободното изразяване на </w:t>
      </w:r>
      <w:r w:rsidR="00D069AB">
        <w:rPr>
          <w:rStyle w:val="ECHRPara"/>
        </w:rPr>
        <w:t>народа</w:t>
      </w:r>
      <w:r w:rsidR="00D06FAF">
        <w:rPr>
          <w:rStyle w:val="ECHRPara"/>
        </w:rPr>
        <w:t xml:space="preserve"> </w:t>
      </w:r>
      <w:r>
        <w:rPr>
          <w:rStyle w:val="ECHRPara"/>
        </w:rPr>
        <w:t xml:space="preserve">и да не налага произволни ограничения </w:t>
      </w:r>
      <w:r w:rsidR="005E6E54">
        <w:rPr>
          <w:rStyle w:val="ECHRPara"/>
        </w:rPr>
        <w:t xml:space="preserve">на </w:t>
      </w:r>
      <w:r w:rsidR="002A072C">
        <w:rPr>
          <w:rStyle w:val="ECHRPara"/>
        </w:rPr>
        <w:t>избирателното право</w:t>
      </w:r>
      <w:r>
        <w:rPr>
          <w:rStyle w:val="ECHRPara"/>
        </w:rPr>
        <w:t xml:space="preserve">. Във връзка с това тази разпоредба на Конвенцията не предполага, че държавите трябва да гарантират на абсолютно всички свои граждани право на глас, доколкото техните избирателни системи предоставят условия за провеждането на свободни избори, в които </w:t>
      </w:r>
      <w:r w:rsidR="00D069AB">
        <w:rPr>
          <w:rStyle w:val="ECHRPara"/>
        </w:rPr>
        <w:t xml:space="preserve">народа може </w:t>
      </w:r>
      <w:r>
        <w:rPr>
          <w:rStyle w:val="ECHRPara"/>
        </w:rPr>
        <w:t xml:space="preserve">свободно да изразява волята си при избора на законодателното тяло. Затова държавите-страни по Конвенцията имат право да </w:t>
      </w:r>
      <w:r w:rsidR="00695D2B">
        <w:rPr>
          <w:rStyle w:val="ECHRPara"/>
        </w:rPr>
        <w:t>предвидят</w:t>
      </w:r>
      <w:r w:rsidR="009F139E" w:rsidRPr="0074533B">
        <w:rPr>
          <w:rStyle w:val="ECHRPara"/>
        </w:rPr>
        <w:t xml:space="preserve"> </w:t>
      </w:r>
      <w:r w:rsidR="009F139E">
        <w:rPr>
          <w:rStyle w:val="ECHRPara"/>
        </w:rPr>
        <w:t>наказателна присъда</w:t>
      </w:r>
      <w:r>
        <w:rPr>
          <w:rStyle w:val="ECHRPara"/>
        </w:rPr>
        <w:t xml:space="preserve"> като основание за отнемане на правото на глас.</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30</w:t>
      </w:r>
      <w:r>
        <w:fldChar w:fldCharType="end"/>
      </w:r>
      <w:r>
        <w:rPr>
          <w:rStyle w:val="ECHRPara"/>
        </w:rPr>
        <w:t>.  </w:t>
      </w:r>
      <w:r w:rsidR="00245D2F">
        <w:rPr>
          <w:rStyle w:val="ECHRPara"/>
        </w:rPr>
        <w:t>Лишаването от</w:t>
      </w:r>
      <w:r>
        <w:rPr>
          <w:rStyle w:val="ECHRPara"/>
        </w:rPr>
        <w:t xml:space="preserve"> </w:t>
      </w:r>
      <w:r w:rsidR="0005297F">
        <w:rPr>
          <w:rStyle w:val="ECHRPara"/>
        </w:rPr>
        <w:t>избирателни права</w:t>
      </w:r>
      <w:r>
        <w:rPr>
          <w:rStyle w:val="ECHRPara"/>
        </w:rPr>
        <w:t xml:space="preserve"> не е произволн</w:t>
      </w:r>
      <w:r w:rsidR="0005297F">
        <w:rPr>
          <w:rStyle w:val="ECHRPara"/>
        </w:rPr>
        <w:t>о</w:t>
      </w:r>
      <w:r>
        <w:rPr>
          <w:rStyle w:val="ECHRPara"/>
        </w:rPr>
        <w:t>, а е свързан</w:t>
      </w:r>
      <w:r w:rsidR="0005297F">
        <w:rPr>
          <w:rStyle w:val="ECHRPara"/>
        </w:rPr>
        <w:t>о</w:t>
      </w:r>
      <w:r>
        <w:rPr>
          <w:rStyle w:val="ECHRPara"/>
        </w:rPr>
        <w:t xml:space="preserve"> с извършването на престъпления, във връзка с които лицата ефективно изтърпяват наказание лишаване от свобода. Лишаването от </w:t>
      </w:r>
      <w:r w:rsidR="00465F28">
        <w:rPr>
          <w:rStyle w:val="ECHRPara"/>
        </w:rPr>
        <w:t>избирателни права</w:t>
      </w:r>
      <w:r>
        <w:rPr>
          <w:rStyle w:val="ECHRPara"/>
        </w:rPr>
        <w:t xml:space="preserve"> преследва легитимната цел да насърчава висока гражданска отговорност и зачитане на върховенството на закона. В България </w:t>
      </w:r>
      <w:r w:rsidR="006D1B43">
        <w:rPr>
          <w:rStyle w:val="ECHRPara"/>
        </w:rPr>
        <w:t>лишаването от избирателни права</w:t>
      </w:r>
      <w:r>
        <w:rPr>
          <w:rStyle w:val="ECHRPara"/>
        </w:rPr>
        <w:t xml:space="preserve"> се прилага само по отношение на лица, ефективно изтърпяващи наказание лишаване от свобода</w:t>
      </w:r>
      <w:r w:rsidR="00695D2B">
        <w:rPr>
          <w:rStyle w:val="ECHRPara"/>
        </w:rPr>
        <w:t>,</w:t>
      </w:r>
      <w:r>
        <w:rPr>
          <w:rStyle w:val="ECHRPara"/>
        </w:rPr>
        <w:t xml:space="preserve"> въз основа на окончателн</w:t>
      </w:r>
      <w:r w:rsidR="00B75401">
        <w:rPr>
          <w:rStyle w:val="ECHRPara"/>
        </w:rPr>
        <w:t>о решение</w:t>
      </w:r>
      <w:r>
        <w:rPr>
          <w:rStyle w:val="ECHRPara"/>
        </w:rPr>
        <w:t>. Това ограничение не се прилага в случаите на условни наказания  лишаване от свобода или по отношение на задържани заподозрени или обвинени лица. Броят на</w:t>
      </w:r>
      <w:r w:rsidR="00B75401">
        <w:rPr>
          <w:rStyle w:val="ECHRPara"/>
        </w:rPr>
        <w:t xml:space="preserve"> лицата,</w:t>
      </w:r>
      <w:r>
        <w:rPr>
          <w:rStyle w:val="ECHRPara"/>
        </w:rPr>
        <w:t xml:space="preserve"> лишените от свобода, които не могат да упражнят правото си на глас, е сравнително нисък в сравнение с общото население, съответно 8614 през януари 2009 г. и 6996 през юли 2015 г. Така </w:t>
      </w:r>
      <w:r w:rsidR="00695D2B">
        <w:rPr>
          <w:rStyle w:val="ECHRPara"/>
        </w:rPr>
        <w:t>това ограничение</w:t>
      </w:r>
      <w:r>
        <w:rPr>
          <w:rStyle w:val="ECHRPara"/>
        </w:rPr>
        <w:t xml:space="preserve"> не представлява заплаха за демократичните устои на </w:t>
      </w:r>
      <w:r w:rsidR="00B75401">
        <w:rPr>
          <w:rStyle w:val="ECHRPara"/>
        </w:rPr>
        <w:t>страната</w:t>
      </w:r>
      <w:r>
        <w:rPr>
          <w:rStyle w:val="ECHRPara"/>
        </w:rPr>
        <w:t xml:space="preserve">. И накрая, българската правна система съдържа механизъм за автоматично възстановяване на правата на </w:t>
      </w:r>
      <w:r w:rsidR="005B7A43">
        <w:rPr>
          <w:rStyle w:val="ECHRPara"/>
        </w:rPr>
        <w:t xml:space="preserve">лишените от свобода </w:t>
      </w:r>
      <w:r>
        <w:rPr>
          <w:rStyle w:val="ECHRPara"/>
        </w:rPr>
        <w:t>след освобождаването им от затвора.</w:t>
      </w:r>
    </w:p>
    <w:p w:rsidR="00FA6179" w:rsidRPr="005E3909" w:rsidRDefault="00FA6179" w:rsidP="00FA6179">
      <w:pPr>
        <w:pStyle w:val="ECHRHeading3"/>
      </w:pPr>
      <w:r>
        <w:rPr>
          <w:rStyle w:val="ECHRHeading3"/>
        </w:rPr>
        <w:t>2.  </w:t>
      </w:r>
      <w:r w:rsidR="005B7A43" w:rsidRPr="00567DB3">
        <w:rPr>
          <w:rStyle w:val="ECHRHeading3"/>
        </w:rPr>
        <w:t xml:space="preserve">Становища </w:t>
      </w:r>
      <w:r w:rsidRPr="0074533B">
        <w:rPr>
          <w:rStyle w:val="ECHRHeading3"/>
        </w:rPr>
        <w:t>на жалбоподателите</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31</w:t>
      </w:r>
      <w:r>
        <w:fldChar w:fldCharType="end"/>
      </w:r>
      <w:r>
        <w:rPr>
          <w:rStyle w:val="ECHRPara"/>
        </w:rPr>
        <w:t xml:space="preserve">.  Жалбоподателите смятат, че положението им е много сходно с това на жалбоподателите по </w:t>
      </w:r>
      <w:r w:rsidR="0044086E">
        <w:rPr>
          <w:rStyle w:val="ECHRPara"/>
        </w:rPr>
        <w:t xml:space="preserve">делото </w:t>
      </w:r>
      <w:proofErr w:type="spellStart"/>
      <w:r>
        <w:rPr>
          <w:rStyle w:val="ECHRPara"/>
          <w:i/>
        </w:rPr>
        <w:t>Anchugov</w:t>
      </w:r>
      <w:proofErr w:type="spellEnd"/>
      <w:r>
        <w:rPr>
          <w:rStyle w:val="ECHRPara"/>
          <w:i/>
        </w:rPr>
        <w:t xml:space="preserve"> </w:t>
      </w:r>
      <w:proofErr w:type="spellStart"/>
      <w:r>
        <w:rPr>
          <w:rStyle w:val="ECHRPara"/>
          <w:i/>
        </w:rPr>
        <w:t>and</w:t>
      </w:r>
      <w:proofErr w:type="spellEnd"/>
      <w:r>
        <w:rPr>
          <w:rStyle w:val="ECHRPara"/>
          <w:i/>
        </w:rPr>
        <w:t xml:space="preserve"> </w:t>
      </w:r>
      <w:proofErr w:type="spellStart"/>
      <w:r>
        <w:rPr>
          <w:rStyle w:val="ECHRPara"/>
          <w:i/>
        </w:rPr>
        <w:t>Gladkov</w:t>
      </w:r>
      <w:proofErr w:type="spellEnd"/>
      <w:r>
        <w:rPr>
          <w:rStyle w:val="ECHRPara"/>
        </w:rPr>
        <w:t xml:space="preserve">, цитирано по-горе, тъй като конституционната забрана за гласуване се прилага за всеки, който изтърпява </w:t>
      </w:r>
      <w:r w:rsidR="005B7A43">
        <w:rPr>
          <w:rStyle w:val="ECHRPara"/>
        </w:rPr>
        <w:t>наказание</w:t>
      </w:r>
      <w:r w:rsidR="0044086E">
        <w:rPr>
          <w:rStyle w:val="ECHRPara"/>
        </w:rPr>
        <w:t xml:space="preserve"> лишаване от свобода</w:t>
      </w:r>
      <w:r>
        <w:rPr>
          <w:rStyle w:val="ECHRPara"/>
        </w:rPr>
        <w:t xml:space="preserve">. Тяхното положение се различава от това, описано в </w:t>
      </w:r>
      <w:proofErr w:type="spellStart"/>
      <w:r>
        <w:rPr>
          <w:rStyle w:val="ECHRPara"/>
          <w:i/>
        </w:rPr>
        <w:t>Scoppola</w:t>
      </w:r>
      <w:proofErr w:type="spellEnd"/>
      <w:r>
        <w:rPr>
          <w:rStyle w:val="ECHRPara"/>
          <w:i/>
        </w:rPr>
        <w:t xml:space="preserve"> (</w:t>
      </w:r>
      <w:proofErr w:type="spellStart"/>
      <w:r>
        <w:rPr>
          <w:rStyle w:val="ECHRPara"/>
          <w:i/>
        </w:rPr>
        <w:t>no</w:t>
      </w:r>
      <w:proofErr w:type="spellEnd"/>
      <w:r>
        <w:rPr>
          <w:rStyle w:val="ECHRPara"/>
          <w:i/>
        </w:rPr>
        <w:t>. 3)</w:t>
      </w:r>
      <w:r>
        <w:rPr>
          <w:rStyle w:val="ECHRPara"/>
        </w:rPr>
        <w:t>, цитирано по-горе, където забраната за гласуване се прилага само за тези, осъдени на повече от три години лишаване от свобода, и за тези, осъдени за определени престъпления срещу държавата.</w:t>
      </w:r>
    </w:p>
    <w:p w:rsidR="00FA6179" w:rsidRPr="005E3909" w:rsidRDefault="00FA6179" w:rsidP="00FA6179">
      <w:pPr>
        <w:pStyle w:val="ECHRHeading3"/>
      </w:pPr>
      <w:r>
        <w:rPr>
          <w:rStyle w:val="ECHRHeading3"/>
        </w:rPr>
        <w:t>3.  Преценка на Съда</w:t>
      </w:r>
    </w:p>
    <w:p w:rsidR="00FA6179" w:rsidRPr="005E3909" w:rsidRDefault="00FA6179" w:rsidP="00FA6179">
      <w:pPr>
        <w:pStyle w:val="ECHRHeading4"/>
      </w:pPr>
      <w:r>
        <w:rPr>
          <w:rStyle w:val="ECHRHeading4"/>
        </w:rPr>
        <w:t>(а)  Общи принципи</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32</w:t>
      </w:r>
      <w:r>
        <w:fldChar w:fldCharType="end"/>
      </w:r>
      <w:r>
        <w:rPr>
          <w:rStyle w:val="ECHRPara"/>
        </w:rPr>
        <w:t xml:space="preserve">.  Съдът отбелязва, че относимите общи принципи относно правото на глас в парламентарни избори са обобщени в делата </w:t>
      </w:r>
      <w:proofErr w:type="spellStart"/>
      <w:r>
        <w:rPr>
          <w:rStyle w:val="ECHRPara"/>
          <w:i/>
        </w:rPr>
        <w:t>Hirst</w:t>
      </w:r>
      <w:proofErr w:type="spellEnd"/>
      <w:r>
        <w:rPr>
          <w:rStyle w:val="ECHRPara"/>
          <w:i/>
        </w:rPr>
        <w:t xml:space="preserve"> v. </w:t>
      </w:r>
      <w:proofErr w:type="spellStart"/>
      <w:r>
        <w:rPr>
          <w:rStyle w:val="ECHRPara"/>
          <w:i/>
        </w:rPr>
        <w:t>the</w:t>
      </w:r>
      <w:proofErr w:type="spellEnd"/>
      <w:r>
        <w:rPr>
          <w:rStyle w:val="ECHRPara"/>
          <w:i/>
        </w:rPr>
        <w:t xml:space="preserve"> </w:t>
      </w:r>
      <w:proofErr w:type="spellStart"/>
      <w:r>
        <w:rPr>
          <w:rStyle w:val="ECHRPara"/>
          <w:i/>
        </w:rPr>
        <w:t>United</w:t>
      </w:r>
      <w:proofErr w:type="spellEnd"/>
      <w:r>
        <w:rPr>
          <w:rStyle w:val="ECHRPara"/>
          <w:i/>
        </w:rPr>
        <w:t xml:space="preserve"> </w:t>
      </w:r>
      <w:proofErr w:type="spellStart"/>
      <w:r>
        <w:rPr>
          <w:rStyle w:val="ECHRPara"/>
          <w:i/>
        </w:rPr>
        <w:t>Kingdom</w:t>
      </w:r>
      <w:proofErr w:type="spellEnd"/>
      <w:r>
        <w:rPr>
          <w:rStyle w:val="ECHRPara"/>
          <w:i/>
        </w:rPr>
        <w:t xml:space="preserve"> (</w:t>
      </w:r>
      <w:proofErr w:type="spellStart"/>
      <w:r>
        <w:rPr>
          <w:rStyle w:val="ECHRPara"/>
          <w:i/>
        </w:rPr>
        <w:t>no</w:t>
      </w:r>
      <w:proofErr w:type="spellEnd"/>
      <w:r>
        <w:rPr>
          <w:rStyle w:val="ECHRPara"/>
          <w:i/>
        </w:rPr>
        <w:t>. 2)</w:t>
      </w:r>
      <w:r>
        <w:rPr>
          <w:rStyle w:val="ECHRPara"/>
        </w:rPr>
        <w:t xml:space="preserve"> [GC], </w:t>
      </w:r>
      <w:r>
        <w:rPr>
          <w:rStyle w:val="ECHRPara"/>
          <w:cs/>
        </w:rPr>
        <w:t xml:space="preserve">№ </w:t>
      </w:r>
      <w:r>
        <w:rPr>
          <w:rStyle w:val="ECHRPara"/>
        </w:rPr>
        <w:t xml:space="preserve">74025/01, §§ 63-71, ЕСПЧ 2005-IX; </w:t>
      </w:r>
      <w:proofErr w:type="spellStart"/>
      <w:r>
        <w:rPr>
          <w:rStyle w:val="ECHRPara"/>
          <w:i/>
        </w:rPr>
        <w:t>Scoppola</w:t>
      </w:r>
      <w:proofErr w:type="spellEnd"/>
      <w:r>
        <w:rPr>
          <w:rStyle w:val="ECHRPara"/>
          <w:i/>
        </w:rPr>
        <w:t xml:space="preserve"> (</w:t>
      </w:r>
      <w:proofErr w:type="spellStart"/>
      <w:r>
        <w:rPr>
          <w:rStyle w:val="ECHRPara"/>
          <w:i/>
        </w:rPr>
        <w:t>no</w:t>
      </w:r>
      <w:proofErr w:type="spellEnd"/>
      <w:r>
        <w:rPr>
          <w:rStyle w:val="ECHRPara"/>
          <w:i/>
        </w:rPr>
        <w:t>. 3)</w:t>
      </w:r>
      <w:r>
        <w:rPr>
          <w:rStyle w:val="ECHRPara"/>
        </w:rPr>
        <w:t xml:space="preserve"> [GC], цитирано по-горе, §§ 81-87; и </w:t>
      </w:r>
      <w:proofErr w:type="spellStart"/>
      <w:r>
        <w:rPr>
          <w:rStyle w:val="ECHRPara"/>
          <w:i/>
        </w:rPr>
        <w:t>Anchugov</w:t>
      </w:r>
      <w:proofErr w:type="spellEnd"/>
      <w:r>
        <w:rPr>
          <w:rStyle w:val="ECHRPara"/>
          <w:i/>
        </w:rPr>
        <w:t xml:space="preserve"> and </w:t>
      </w:r>
      <w:proofErr w:type="spellStart"/>
      <w:r>
        <w:rPr>
          <w:rStyle w:val="ECHRPara"/>
          <w:i/>
        </w:rPr>
        <w:t>Gladkov</w:t>
      </w:r>
      <w:proofErr w:type="spellEnd"/>
      <w:r>
        <w:rPr>
          <w:rStyle w:val="ECHRPara"/>
        </w:rPr>
        <w:t xml:space="preserve">, цитирано по-горе, §§ 93-100. Същността на тези принципи, потвърдена във всички тези три ключови дела, е че когато отнемане на </w:t>
      </w:r>
      <w:r w:rsidR="007515DF">
        <w:rPr>
          <w:rStyle w:val="ECHRPara"/>
        </w:rPr>
        <w:t>избирателното право</w:t>
      </w:r>
      <w:r>
        <w:rPr>
          <w:rStyle w:val="ECHRPara"/>
        </w:rPr>
        <w:t xml:space="preserve"> засяга група от хора общо, автоматично и </w:t>
      </w:r>
      <w:proofErr w:type="spellStart"/>
      <w:r w:rsidR="004A7F06">
        <w:rPr>
          <w:rStyle w:val="ECHRPara"/>
        </w:rPr>
        <w:t>недиферинцирано</w:t>
      </w:r>
      <w:proofErr w:type="spellEnd"/>
      <w:r>
        <w:rPr>
          <w:rStyle w:val="ECHRPara"/>
        </w:rPr>
        <w:t xml:space="preserve">, единствено въз основа на това, че те изтърпяват </w:t>
      </w:r>
      <w:r w:rsidR="007515DF">
        <w:rPr>
          <w:rStyle w:val="ECHRPara"/>
        </w:rPr>
        <w:t xml:space="preserve">наказание </w:t>
      </w:r>
      <w:r>
        <w:rPr>
          <w:rStyle w:val="ECHRPara"/>
        </w:rPr>
        <w:t xml:space="preserve">лишаване от свобода, независимо от срока на </w:t>
      </w:r>
      <w:r w:rsidR="007515DF">
        <w:rPr>
          <w:rStyle w:val="ECHRPara"/>
        </w:rPr>
        <w:t xml:space="preserve">наказанието </w:t>
      </w:r>
      <w:r>
        <w:rPr>
          <w:rStyle w:val="ECHRPara"/>
        </w:rPr>
        <w:t xml:space="preserve">и независимо от естеството или тежестта на техните престъпления и техните индивидуални обстоятелства, то не е съвместимо с чл. 3 от Протокол </w:t>
      </w:r>
      <w:r>
        <w:rPr>
          <w:rStyle w:val="ECHRPara"/>
          <w:cs/>
        </w:rPr>
        <w:t xml:space="preserve">№ </w:t>
      </w:r>
      <w:r>
        <w:rPr>
          <w:rStyle w:val="ECHRPara"/>
        </w:rPr>
        <w:t xml:space="preserve">1 (вж. в този смисъл </w:t>
      </w:r>
      <w:proofErr w:type="spellStart"/>
      <w:r>
        <w:rPr>
          <w:rStyle w:val="ECHRPara"/>
          <w:i/>
        </w:rPr>
        <w:t>Hirst</w:t>
      </w:r>
      <w:proofErr w:type="spellEnd"/>
      <w:r>
        <w:rPr>
          <w:rStyle w:val="ECHRPara"/>
        </w:rPr>
        <w:t xml:space="preserve"> </w:t>
      </w:r>
      <w:r>
        <w:rPr>
          <w:rStyle w:val="ECHRPara"/>
          <w:i/>
        </w:rPr>
        <w:t>(</w:t>
      </w:r>
      <w:proofErr w:type="spellStart"/>
      <w:r>
        <w:rPr>
          <w:rStyle w:val="ECHRPara"/>
          <w:i/>
        </w:rPr>
        <w:t>no</w:t>
      </w:r>
      <w:proofErr w:type="spellEnd"/>
      <w:r>
        <w:rPr>
          <w:rStyle w:val="ECHRPara"/>
          <w:i/>
        </w:rPr>
        <w:t>. 2)</w:t>
      </w:r>
      <w:r>
        <w:rPr>
          <w:rStyle w:val="ECHRPara"/>
        </w:rPr>
        <w:t xml:space="preserve"> [GC], цитирано по-горе, § 82; </w:t>
      </w:r>
      <w:proofErr w:type="spellStart"/>
      <w:r>
        <w:rPr>
          <w:rStyle w:val="ECHRPara"/>
          <w:i/>
        </w:rPr>
        <w:t>Scoppola</w:t>
      </w:r>
      <w:proofErr w:type="spellEnd"/>
      <w:r>
        <w:rPr>
          <w:rStyle w:val="ECHRPara"/>
          <w:i/>
        </w:rPr>
        <w:t xml:space="preserve"> (</w:t>
      </w:r>
      <w:proofErr w:type="spellStart"/>
      <w:r>
        <w:rPr>
          <w:rStyle w:val="ECHRPara"/>
          <w:i/>
        </w:rPr>
        <w:t>no</w:t>
      </w:r>
      <w:proofErr w:type="spellEnd"/>
      <w:r>
        <w:rPr>
          <w:rStyle w:val="ECHRPara"/>
          <w:i/>
        </w:rPr>
        <w:t>. 3)</w:t>
      </w:r>
      <w:r>
        <w:rPr>
          <w:rStyle w:val="ECHRPara"/>
        </w:rPr>
        <w:t xml:space="preserve"> [GC], цитирано по-горе, § 96; и </w:t>
      </w:r>
      <w:proofErr w:type="spellStart"/>
      <w:r>
        <w:rPr>
          <w:rStyle w:val="ECHRPara"/>
          <w:i/>
        </w:rPr>
        <w:t>Anchugov</w:t>
      </w:r>
      <w:proofErr w:type="spellEnd"/>
      <w:r>
        <w:rPr>
          <w:rStyle w:val="ECHRPara"/>
          <w:i/>
        </w:rPr>
        <w:t xml:space="preserve"> and </w:t>
      </w:r>
      <w:proofErr w:type="spellStart"/>
      <w:r>
        <w:rPr>
          <w:rStyle w:val="ECHRPara"/>
          <w:i/>
        </w:rPr>
        <w:t>Gladkov</w:t>
      </w:r>
      <w:proofErr w:type="spellEnd"/>
      <w:r>
        <w:rPr>
          <w:rStyle w:val="ECHRPara"/>
        </w:rPr>
        <w:t>, цитирано по-горе, § 100, първите две изречения).</w:t>
      </w:r>
    </w:p>
    <w:p w:rsidR="00FA6179" w:rsidRPr="005E3909" w:rsidRDefault="00FA6179" w:rsidP="00FA6179">
      <w:pPr>
        <w:pStyle w:val="ECHRHeading4"/>
      </w:pPr>
      <w:r>
        <w:rPr>
          <w:rStyle w:val="ECHRHeading4"/>
        </w:rPr>
        <w:t>(б) Приложение на тези принципи към настоящото дело</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33</w:t>
      </w:r>
      <w:r>
        <w:fldChar w:fldCharType="end"/>
      </w:r>
      <w:r>
        <w:rPr>
          <w:rStyle w:val="ECHRPara"/>
        </w:rPr>
        <w:t xml:space="preserve">.  Съдът отбелязва, че настоящата жалба се отнася до </w:t>
      </w:r>
      <w:r w:rsidR="004A7F06">
        <w:rPr>
          <w:rStyle w:val="ECHRPara"/>
        </w:rPr>
        <w:t>невъзможността</w:t>
      </w:r>
      <w:r>
        <w:rPr>
          <w:rStyle w:val="ECHRPara"/>
        </w:rPr>
        <w:t xml:space="preserve"> на двама български граждани да гласуват на парламентарните избори</w:t>
      </w:r>
      <w:r w:rsidR="004A7F06">
        <w:rPr>
          <w:rStyle w:val="ECHRPara"/>
        </w:rPr>
        <w:t>, докато</w:t>
      </w:r>
      <w:r>
        <w:rPr>
          <w:rStyle w:val="ECHRPara"/>
        </w:rPr>
        <w:t xml:space="preserve"> изтърпява</w:t>
      </w:r>
      <w:r w:rsidR="004A7F06">
        <w:rPr>
          <w:rStyle w:val="ECHRPara"/>
        </w:rPr>
        <w:t>т</w:t>
      </w:r>
      <w:r>
        <w:rPr>
          <w:rStyle w:val="ECHRPara"/>
        </w:rPr>
        <w:t xml:space="preserve"> </w:t>
      </w:r>
      <w:r w:rsidR="00091901">
        <w:rPr>
          <w:rStyle w:val="ECHRPara"/>
        </w:rPr>
        <w:t xml:space="preserve">наказанията </w:t>
      </w:r>
      <w:r>
        <w:rPr>
          <w:rStyle w:val="ECHRPara"/>
        </w:rPr>
        <w:t xml:space="preserve">си лишаване от свобода. Поради това Съдът трябва да </w:t>
      </w:r>
      <w:r w:rsidR="004A7F06">
        <w:rPr>
          <w:rStyle w:val="ECHRPara"/>
        </w:rPr>
        <w:t>се увери</w:t>
      </w:r>
      <w:r>
        <w:rPr>
          <w:rStyle w:val="ECHRPara"/>
        </w:rPr>
        <w:t xml:space="preserve"> дали това е съвместимо с чл. 3 от Протокол </w:t>
      </w:r>
      <w:r>
        <w:rPr>
          <w:rStyle w:val="ECHRPara"/>
          <w:cs/>
        </w:rPr>
        <w:t xml:space="preserve">№ </w:t>
      </w:r>
      <w:r>
        <w:rPr>
          <w:rStyle w:val="ECHRPara"/>
        </w:rPr>
        <w:t>1.</w:t>
      </w:r>
    </w:p>
    <w:p w:rsidR="00FA6179" w:rsidRPr="005E3909" w:rsidRDefault="00FA6179" w:rsidP="00FA6179">
      <w:pPr>
        <w:pStyle w:val="ECHRHeading5"/>
      </w:pPr>
      <w:r>
        <w:rPr>
          <w:rStyle w:val="ECHRHeading5"/>
        </w:rPr>
        <w:t>(i)  Намеса</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34</w:t>
      </w:r>
      <w:r>
        <w:fldChar w:fldCharType="end"/>
      </w:r>
      <w:r>
        <w:rPr>
          <w:rStyle w:val="ECHRPara"/>
        </w:rPr>
        <w:t>.  Що се отнася</w:t>
      </w:r>
      <w:r w:rsidR="00B06A7F" w:rsidRPr="00567DB3">
        <w:rPr>
          <w:rStyle w:val="ECHRPara"/>
        </w:rPr>
        <w:t>,</w:t>
      </w:r>
      <w:r>
        <w:rPr>
          <w:rStyle w:val="ECHRPara"/>
        </w:rPr>
        <w:t xml:space="preserve"> на първо място</w:t>
      </w:r>
      <w:r w:rsidR="00B06A7F" w:rsidRPr="00567DB3">
        <w:rPr>
          <w:rStyle w:val="ECHRPara"/>
        </w:rPr>
        <w:t>,</w:t>
      </w:r>
      <w:r>
        <w:rPr>
          <w:rStyle w:val="ECHRPara"/>
        </w:rPr>
        <w:t xml:space="preserve"> до това дали е имало намеса в правата на жалбоподателите по тази разпоредба на Конвенцията, Съдът отбелязва, че жалбоподателите са били лишени от правото </w:t>
      </w:r>
      <w:r w:rsidR="000945E2">
        <w:rPr>
          <w:rStyle w:val="ECHRPara"/>
        </w:rPr>
        <w:t xml:space="preserve">на глас </w:t>
      </w:r>
      <w:r w:rsidR="00045267">
        <w:rPr>
          <w:rStyle w:val="ECHRPara"/>
        </w:rPr>
        <w:t xml:space="preserve"> </w:t>
      </w:r>
      <w:r>
        <w:rPr>
          <w:rStyle w:val="ECHRPara"/>
        </w:rPr>
        <w:t>по силата на чл. 42</w:t>
      </w:r>
      <w:r w:rsidR="000945E2">
        <w:rPr>
          <w:rStyle w:val="ECHRPara"/>
        </w:rPr>
        <w:t>, ал.1</w:t>
      </w:r>
      <w:r>
        <w:rPr>
          <w:rStyle w:val="ECHRPara"/>
        </w:rPr>
        <w:t xml:space="preserve"> от българската Конституция и </w:t>
      </w:r>
      <w:r w:rsidR="000945E2">
        <w:rPr>
          <w:rStyle w:val="ECHRPara"/>
        </w:rPr>
        <w:t>съгласно</w:t>
      </w:r>
      <w:r>
        <w:rPr>
          <w:rStyle w:val="ECHRPara"/>
        </w:rPr>
        <w:t xml:space="preserve"> съответните разпоредби на </w:t>
      </w:r>
      <w:r w:rsidRPr="0074533B">
        <w:rPr>
          <w:rStyle w:val="ECHRPara"/>
        </w:rPr>
        <w:t xml:space="preserve">законодателството </w:t>
      </w:r>
      <w:r w:rsidR="00B06A7F" w:rsidRPr="0074533B">
        <w:rPr>
          <w:rStyle w:val="ECHRPara"/>
        </w:rPr>
        <w:t>з</w:t>
      </w:r>
      <w:r w:rsidRPr="00567DB3">
        <w:rPr>
          <w:rStyle w:val="ECHRPara"/>
        </w:rPr>
        <w:t xml:space="preserve">а </w:t>
      </w:r>
      <w:r w:rsidR="000945E2">
        <w:rPr>
          <w:rStyle w:val="ECHRPara"/>
        </w:rPr>
        <w:t>провеждане на избори за</w:t>
      </w:r>
      <w:r w:rsidR="00807B10" w:rsidRPr="00567DB3">
        <w:rPr>
          <w:rStyle w:val="ECHRPara"/>
        </w:rPr>
        <w:t xml:space="preserve"> народни представители</w:t>
      </w:r>
      <w:r w:rsidRPr="00567DB3">
        <w:rPr>
          <w:rStyle w:val="ECHRPara"/>
        </w:rPr>
        <w:t xml:space="preserve"> </w:t>
      </w:r>
      <w:r w:rsidR="00AA5FDF">
        <w:rPr>
          <w:rStyle w:val="ECHRPara"/>
        </w:rPr>
        <w:t xml:space="preserve">в България </w:t>
      </w:r>
      <w:r w:rsidRPr="0074533B">
        <w:rPr>
          <w:rStyle w:val="ECHRPara"/>
        </w:rPr>
        <w:t xml:space="preserve">и </w:t>
      </w:r>
      <w:r w:rsidR="000945E2">
        <w:rPr>
          <w:rStyle w:val="ECHRPara"/>
        </w:rPr>
        <w:t>за</w:t>
      </w:r>
      <w:r w:rsidRPr="009D56F7">
        <w:rPr>
          <w:rStyle w:val="ECHRPara"/>
        </w:rPr>
        <w:t xml:space="preserve"> </w:t>
      </w:r>
      <w:r w:rsidR="00A811F5">
        <w:rPr>
          <w:rStyle w:val="ECHRPara"/>
        </w:rPr>
        <w:t xml:space="preserve">членове на </w:t>
      </w:r>
      <w:r w:rsidR="000945E2">
        <w:rPr>
          <w:rStyle w:val="ECHRPara"/>
        </w:rPr>
        <w:t>Е</w:t>
      </w:r>
      <w:r w:rsidR="000945E2" w:rsidRPr="0074533B">
        <w:rPr>
          <w:rStyle w:val="ECHRPara"/>
        </w:rPr>
        <w:t>вропейски</w:t>
      </w:r>
      <w:r w:rsidR="000945E2">
        <w:rPr>
          <w:rStyle w:val="ECHRPara"/>
        </w:rPr>
        <w:t>я</w:t>
      </w:r>
      <w:r w:rsidR="000945E2" w:rsidRPr="0074533B">
        <w:rPr>
          <w:rStyle w:val="ECHRPara"/>
        </w:rPr>
        <w:t xml:space="preserve"> </w:t>
      </w:r>
      <w:r w:rsidRPr="0074533B">
        <w:rPr>
          <w:rStyle w:val="ECHRPara"/>
        </w:rPr>
        <w:t>парламент</w:t>
      </w:r>
      <w:r>
        <w:rPr>
          <w:rStyle w:val="ECHRPara"/>
        </w:rPr>
        <w:t xml:space="preserve"> (вж. параграфи 12 и 15 по-горе). Следователно лишаването представлява намеса в правото им на глас, залегнало в чл. 3 от Протокол </w:t>
      </w:r>
      <w:r>
        <w:rPr>
          <w:rStyle w:val="ECHRPara"/>
          <w:cs/>
        </w:rPr>
        <w:t xml:space="preserve">№ </w:t>
      </w:r>
      <w:r>
        <w:rPr>
          <w:rStyle w:val="ECHRPara"/>
        </w:rPr>
        <w:t>1.</w:t>
      </w:r>
    </w:p>
    <w:p w:rsidR="00FA6179" w:rsidRPr="005E3909" w:rsidRDefault="00FA6179" w:rsidP="00FA6179">
      <w:pPr>
        <w:pStyle w:val="ECHRHeading5"/>
      </w:pPr>
      <w:r>
        <w:rPr>
          <w:rStyle w:val="ECHRHeading5"/>
        </w:rPr>
        <w:t>(ii)  Легитимна цел</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35</w:t>
      </w:r>
      <w:r>
        <w:fldChar w:fldCharType="end"/>
      </w:r>
      <w:r>
        <w:rPr>
          <w:rStyle w:val="ECHRPara"/>
        </w:rPr>
        <w:t xml:space="preserve">.  На второ място Съдът трябва да прецени дали намесата преследва една или повече легитимни цели. Съдът изтъква в тази връзка, че за разлика от други разпоредби на Конвенцията, чл. 3 от Протокол </w:t>
      </w:r>
      <w:r>
        <w:rPr>
          <w:rStyle w:val="ECHRPara"/>
          <w:cs/>
        </w:rPr>
        <w:t xml:space="preserve">№ </w:t>
      </w:r>
      <w:r>
        <w:rPr>
          <w:rStyle w:val="ECHRPara"/>
        </w:rPr>
        <w:t xml:space="preserve">1 не конкретизира или ограничава целите, които едно ограничение може да преследва. Следователно широк набор от цели може да бъде съвместим с тази разпоредба (вж. например </w:t>
      </w:r>
      <w:proofErr w:type="spellStart"/>
      <w:r>
        <w:rPr>
          <w:rStyle w:val="ECHRPara"/>
          <w:i/>
        </w:rPr>
        <w:t>Podkolzina</w:t>
      </w:r>
      <w:proofErr w:type="spellEnd"/>
      <w:r>
        <w:rPr>
          <w:rStyle w:val="ECHRPara"/>
          <w:i/>
        </w:rPr>
        <w:t xml:space="preserve"> v. </w:t>
      </w:r>
      <w:proofErr w:type="spellStart"/>
      <w:r>
        <w:rPr>
          <w:rStyle w:val="ECHRPara"/>
          <w:i/>
        </w:rPr>
        <w:t>Latvia</w:t>
      </w:r>
      <w:proofErr w:type="spellEnd"/>
      <w:r>
        <w:rPr>
          <w:rStyle w:val="ECHRPara"/>
        </w:rPr>
        <w:t xml:space="preserve">, </w:t>
      </w:r>
      <w:r>
        <w:rPr>
          <w:rStyle w:val="ECHRPara"/>
          <w:cs/>
        </w:rPr>
        <w:t xml:space="preserve">№ </w:t>
      </w:r>
      <w:r>
        <w:rPr>
          <w:rStyle w:val="ECHRPara"/>
        </w:rPr>
        <w:t xml:space="preserve">46726/99, § 34, ЕСПЧ 2002-II, § 34). Съдът приема аргумента на Правителството, че забраната за гласуване </w:t>
      </w:r>
      <w:r w:rsidR="00A05645">
        <w:rPr>
          <w:rStyle w:val="ECHRPara"/>
        </w:rPr>
        <w:t>н</w:t>
      </w:r>
      <w:r>
        <w:rPr>
          <w:rStyle w:val="ECHRPara"/>
        </w:rPr>
        <w:t xml:space="preserve">а </w:t>
      </w:r>
      <w:r w:rsidR="00B21FBD" w:rsidRPr="00567DB3">
        <w:rPr>
          <w:rStyle w:val="ECHRPara"/>
        </w:rPr>
        <w:t>лишените от свобода лица</w:t>
      </w:r>
      <w:r>
        <w:rPr>
          <w:rStyle w:val="ECHRPara"/>
        </w:rPr>
        <w:t xml:space="preserve"> е насочена към </w:t>
      </w:r>
      <w:r w:rsidR="000945E2">
        <w:rPr>
          <w:rStyle w:val="ECHRPara"/>
        </w:rPr>
        <w:t>спазването</w:t>
      </w:r>
      <w:r>
        <w:rPr>
          <w:rStyle w:val="ECHRPara"/>
        </w:rPr>
        <w:t xml:space="preserve"> на върховенството на закона и </w:t>
      </w:r>
      <w:r w:rsidR="00A05645">
        <w:rPr>
          <w:rStyle w:val="ECHRPara"/>
        </w:rPr>
        <w:t xml:space="preserve">повишаване </w:t>
      </w:r>
      <w:r>
        <w:rPr>
          <w:rStyle w:val="ECHRPara"/>
        </w:rPr>
        <w:t xml:space="preserve">на гражданската отговорност, и двете от които са легитимни цели за </w:t>
      </w:r>
      <w:r w:rsidRPr="0074533B">
        <w:rPr>
          <w:rStyle w:val="ECHRPara"/>
        </w:rPr>
        <w:t>целите</w:t>
      </w:r>
      <w:r>
        <w:rPr>
          <w:rStyle w:val="ECHRPara"/>
        </w:rPr>
        <w:t xml:space="preserve"> на чл. 3 от Протокол </w:t>
      </w:r>
      <w:r>
        <w:rPr>
          <w:rStyle w:val="ECHRPara"/>
          <w:cs/>
        </w:rPr>
        <w:t xml:space="preserve">№ </w:t>
      </w:r>
      <w:r>
        <w:rPr>
          <w:rStyle w:val="ECHRPara"/>
        </w:rPr>
        <w:t xml:space="preserve">1 (вж. </w:t>
      </w:r>
      <w:proofErr w:type="spellStart"/>
      <w:r>
        <w:rPr>
          <w:rStyle w:val="ECHRPara"/>
          <w:i/>
        </w:rPr>
        <w:t>Hirst</w:t>
      </w:r>
      <w:proofErr w:type="spellEnd"/>
      <w:r>
        <w:rPr>
          <w:rStyle w:val="ECHRPara"/>
          <w:i/>
        </w:rPr>
        <w:t xml:space="preserve"> </w:t>
      </w:r>
      <w:proofErr w:type="spellStart"/>
      <w:r>
        <w:rPr>
          <w:rStyle w:val="ECHRPara"/>
          <w:i/>
        </w:rPr>
        <w:t>no</w:t>
      </w:r>
      <w:proofErr w:type="spellEnd"/>
      <w:r>
        <w:rPr>
          <w:rStyle w:val="ECHRPara"/>
          <w:i/>
        </w:rPr>
        <w:t>. 2</w:t>
      </w:r>
      <w:r>
        <w:rPr>
          <w:rStyle w:val="ECHRPara"/>
        </w:rPr>
        <w:t xml:space="preserve"> (GC), цитирано по-горе, §§ 74 and 75; </w:t>
      </w:r>
      <w:proofErr w:type="spellStart"/>
      <w:r>
        <w:rPr>
          <w:rStyle w:val="ECHRPara"/>
          <w:i/>
        </w:rPr>
        <w:t>Scoppola</w:t>
      </w:r>
      <w:proofErr w:type="spellEnd"/>
      <w:r>
        <w:rPr>
          <w:rStyle w:val="ECHRPara"/>
          <w:i/>
        </w:rPr>
        <w:t xml:space="preserve"> (</w:t>
      </w:r>
      <w:proofErr w:type="spellStart"/>
      <w:r>
        <w:rPr>
          <w:rStyle w:val="ECHRPara"/>
          <w:i/>
        </w:rPr>
        <w:t>no</w:t>
      </w:r>
      <w:proofErr w:type="spellEnd"/>
      <w:r>
        <w:rPr>
          <w:rStyle w:val="ECHRPara"/>
          <w:i/>
        </w:rPr>
        <w:t>. 3)</w:t>
      </w:r>
      <w:r>
        <w:rPr>
          <w:rStyle w:val="ECHRPara"/>
        </w:rPr>
        <w:t xml:space="preserve"> (GC), цитирано по-горе, § 90, и </w:t>
      </w:r>
      <w:proofErr w:type="spellStart"/>
      <w:r>
        <w:rPr>
          <w:rStyle w:val="ECHRPara"/>
          <w:i/>
        </w:rPr>
        <w:t>Anchugov</w:t>
      </w:r>
      <w:proofErr w:type="spellEnd"/>
      <w:r>
        <w:rPr>
          <w:rStyle w:val="ECHRPara"/>
          <w:i/>
        </w:rPr>
        <w:t xml:space="preserve"> and </w:t>
      </w:r>
      <w:proofErr w:type="spellStart"/>
      <w:r>
        <w:rPr>
          <w:rStyle w:val="ECHRPara"/>
          <w:i/>
        </w:rPr>
        <w:t>Gladkov</w:t>
      </w:r>
      <w:proofErr w:type="spellEnd"/>
      <w:r>
        <w:rPr>
          <w:rStyle w:val="ECHRPara"/>
        </w:rPr>
        <w:t>, цитирано по-горе, § 102).</w:t>
      </w:r>
    </w:p>
    <w:p w:rsidR="00FA6179" w:rsidRPr="005E3909" w:rsidRDefault="00FA6179" w:rsidP="00FA6179">
      <w:pPr>
        <w:pStyle w:val="ECHRHeading5"/>
      </w:pPr>
      <w:r>
        <w:rPr>
          <w:rStyle w:val="ECHRHeading5"/>
        </w:rPr>
        <w:t>(iii)  Пропорционалност</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36</w:t>
      </w:r>
      <w:r>
        <w:fldChar w:fldCharType="end"/>
      </w:r>
      <w:r>
        <w:rPr>
          <w:rStyle w:val="ECHRPara"/>
        </w:rPr>
        <w:t>.  Накрая Съдът трябва да установи дали въпросните ограничения са пропорционални на преследваните цели.</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37</w:t>
      </w:r>
      <w:r>
        <w:fldChar w:fldCharType="end"/>
      </w:r>
      <w:r>
        <w:rPr>
          <w:rStyle w:val="ECHRPara"/>
        </w:rPr>
        <w:t>.  Съдът отбелязва, че жалбоподателите са били лишени от право</w:t>
      </w:r>
      <w:r w:rsidR="00F027BA">
        <w:rPr>
          <w:rStyle w:val="ECHRPara"/>
        </w:rPr>
        <w:t xml:space="preserve"> на глас</w:t>
      </w:r>
      <w:r w:rsidR="008678EC">
        <w:rPr>
          <w:rStyle w:val="ECHRPara"/>
        </w:rPr>
        <w:t xml:space="preserve"> в из</w:t>
      </w:r>
      <w:r w:rsidR="00726EEE">
        <w:rPr>
          <w:rStyle w:val="ECHRPara"/>
        </w:rPr>
        <w:t>б</w:t>
      </w:r>
      <w:r w:rsidR="008678EC">
        <w:rPr>
          <w:rStyle w:val="ECHRPara"/>
        </w:rPr>
        <w:t xml:space="preserve">ори </w:t>
      </w:r>
      <w:r>
        <w:rPr>
          <w:rStyle w:val="ECHRPara"/>
        </w:rPr>
        <w:t xml:space="preserve">за </w:t>
      </w:r>
      <w:r w:rsidR="00651C36">
        <w:rPr>
          <w:rStyle w:val="ECHRPara"/>
        </w:rPr>
        <w:t>народни представители</w:t>
      </w:r>
      <w:r w:rsidR="00F027BA">
        <w:rPr>
          <w:rStyle w:val="ECHRPara"/>
        </w:rPr>
        <w:t>,</w:t>
      </w:r>
      <w:r>
        <w:rPr>
          <w:rStyle w:val="ECHRPara"/>
        </w:rPr>
        <w:t xml:space="preserve"> в резултат на обща забрана за гласуване, която се прилага за всички осъдени лица, които </w:t>
      </w:r>
      <w:r w:rsidR="00F027BA">
        <w:rPr>
          <w:rStyle w:val="ECHRPara"/>
        </w:rPr>
        <w:t>изтърпяват ефективно наказанието лишаване от свобода</w:t>
      </w:r>
      <w:r>
        <w:rPr>
          <w:rStyle w:val="ECHRPara"/>
        </w:rPr>
        <w:t>. Тази забрана е недвусмислена и категорична</w:t>
      </w:r>
      <w:r w:rsidR="00F027BA">
        <w:rPr>
          <w:rStyle w:val="ECHRPara"/>
        </w:rPr>
        <w:t xml:space="preserve"> и</w:t>
      </w:r>
      <w:r>
        <w:rPr>
          <w:rStyle w:val="ECHRPara"/>
        </w:rPr>
        <w:t xml:space="preserve"> произтича пряко от Конституцията (вж. параграф 10 по-горе) и е възпроизведена в няколко закона, приложими в различни моменти през въпросния времеви период (вж. параграфи </w:t>
      </w:r>
      <w:r w:rsidR="009A6B17">
        <w:rPr>
          <w:rStyle w:val="ECHRPara"/>
        </w:rPr>
        <w:t xml:space="preserve">12-15 </w:t>
      </w:r>
      <w:r>
        <w:rPr>
          <w:rStyle w:val="ECHRPara"/>
        </w:rPr>
        <w:t xml:space="preserve">по-горе). </w:t>
      </w:r>
      <w:r w:rsidR="00E26418" w:rsidRPr="00CB329B">
        <w:rPr>
          <w:rStyle w:val="ECHRPara"/>
        </w:rPr>
        <w:t>Следователно п</w:t>
      </w:r>
      <w:r w:rsidRPr="00CB329B">
        <w:rPr>
          <w:rStyle w:val="ECHRPara"/>
        </w:rPr>
        <w:t xml:space="preserve">оложението в настоящия случай </w:t>
      </w:r>
      <w:r w:rsidR="00FE18DC" w:rsidRPr="00CB329B">
        <w:rPr>
          <w:rStyle w:val="ECHRPara"/>
        </w:rPr>
        <w:t>може да се сравни</w:t>
      </w:r>
      <w:r w:rsidRPr="00CB329B">
        <w:rPr>
          <w:rStyle w:val="ECHRPara"/>
        </w:rPr>
        <w:t xml:space="preserve"> с</w:t>
      </w:r>
      <w:r w:rsidR="000F5513" w:rsidRPr="00CB329B">
        <w:rPr>
          <w:rStyle w:val="ECHRPara"/>
        </w:rPr>
        <w:t xml:space="preserve"> това,</w:t>
      </w:r>
      <w:r w:rsidRPr="00CB329B">
        <w:rPr>
          <w:rStyle w:val="ECHRPara"/>
        </w:rPr>
        <w:t xml:space="preserve"> разгледано в делото</w:t>
      </w:r>
      <w:r>
        <w:rPr>
          <w:rStyle w:val="ECHRPara"/>
        </w:rPr>
        <w:t xml:space="preserve"> </w:t>
      </w:r>
      <w:proofErr w:type="spellStart"/>
      <w:r>
        <w:rPr>
          <w:rStyle w:val="ECHRPara"/>
          <w:i/>
        </w:rPr>
        <w:t>Anchugov</w:t>
      </w:r>
      <w:proofErr w:type="spellEnd"/>
      <w:r>
        <w:rPr>
          <w:rStyle w:val="ECHRPara"/>
          <w:i/>
        </w:rPr>
        <w:t xml:space="preserve"> and </w:t>
      </w:r>
      <w:proofErr w:type="spellStart"/>
      <w:r>
        <w:rPr>
          <w:rStyle w:val="ECHRPara"/>
          <w:i/>
        </w:rPr>
        <w:t>Gladkov</w:t>
      </w:r>
      <w:proofErr w:type="spellEnd"/>
      <w:r>
        <w:rPr>
          <w:rStyle w:val="ECHRPara"/>
        </w:rPr>
        <w:t xml:space="preserve">, цитирано по-горе, § 101, второ изречение, и § 105, последно изречение, при което Конституцията налага пълна забрана за гласуване на всички осъдени затворници, изтърпяващи </w:t>
      </w:r>
      <w:r w:rsidR="001A0A68">
        <w:rPr>
          <w:rStyle w:val="ECHRPara"/>
        </w:rPr>
        <w:t>наказания</w:t>
      </w:r>
      <w:r>
        <w:rPr>
          <w:rStyle w:val="ECHRPara"/>
        </w:rPr>
        <w:t xml:space="preserve"> лишаване от свобода, и за което Съдът установява, че е в нарушение на изискванията на Конвенцията. Съдът подчертава в тази връзка, че </w:t>
      </w:r>
      <w:r w:rsidR="001A0A68">
        <w:rPr>
          <w:rStyle w:val="ECHRPara"/>
        </w:rPr>
        <w:t>лишаването от</w:t>
      </w:r>
      <w:r>
        <w:rPr>
          <w:rStyle w:val="ECHRPara"/>
        </w:rPr>
        <w:t xml:space="preserve"> </w:t>
      </w:r>
      <w:r w:rsidR="009A6B17">
        <w:rPr>
          <w:rStyle w:val="ECHRPara"/>
        </w:rPr>
        <w:t>избирателното право</w:t>
      </w:r>
      <w:r>
        <w:rPr>
          <w:rStyle w:val="ECHRPara"/>
        </w:rPr>
        <w:t xml:space="preserve"> без </w:t>
      </w:r>
      <w:proofErr w:type="spellStart"/>
      <w:r>
        <w:rPr>
          <w:rStyle w:val="ECHRPara"/>
          <w:i/>
        </w:rPr>
        <w:t>ad</w:t>
      </w:r>
      <w:proofErr w:type="spellEnd"/>
      <w:r>
        <w:rPr>
          <w:rStyle w:val="ECHRPara"/>
          <w:i/>
        </w:rPr>
        <w:t xml:space="preserve"> </w:t>
      </w:r>
      <w:proofErr w:type="spellStart"/>
      <w:r>
        <w:rPr>
          <w:rStyle w:val="ECHRPara"/>
          <w:i/>
        </w:rPr>
        <w:t>hoc</w:t>
      </w:r>
      <w:proofErr w:type="spellEnd"/>
      <w:r>
        <w:rPr>
          <w:rStyle w:val="ECHRPara"/>
        </w:rPr>
        <w:t xml:space="preserve"> съдебно решение само по себе си не поражда нарушение на чл. 3 от Протокол </w:t>
      </w:r>
      <w:r>
        <w:rPr>
          <w:rStyle w:val="ECHRPara"/>
          <w:cs/>
        </w:rPr>
        <w:t xml:space="preserve">№ </w:t>
      </w:r>
      <w:r>
        <w:rPr>
          <w:rStyle w:val="ECHRPara"/>
        </w:rPr>
        <w:t xml:space="preserve">1 (вж. </w:t>
      </w:r>
      <w:proofErr w:type="spellStart"/>
      <w:r>
        <w:rPr>
          <w:rStyle w:val="ECHRPara"/>
          <w:i/>
        </w:rPr>
        <w:t>Scoppola</w:t>
      </w:r>
      <w:proofErr w:type="spellEnd"/>
      <w:r>
        <w:rPr>
          <w:rStyle w:val="ECHRPara"/>
        </w:rPr>
        <w:t xml:space="preserve"> (</w:t>
      </w:r>
      <w:proofErr w:type="spellStart"/>
      <w:r>
        <w:rPr>
          <w:rStyle w:val="ECHRPara"/>
        </w:rPr>
        <w:t>no</w:t>
      </w:r>
      <w:proofErr w:type="spellEnd"/>
      <w:r>
        <w:rPr>
          <w:rStyle w:val="ECHRPara"/>
        </w:rPr>
        <w:t xml:space="preserve">. 3) [GC], цитирано по-горе, § 104). С оглед </w:t>
      </w:r>
      <w:r w:rsidR="00C00552">
        <w:rPr>
          <w:rStyle w:val="ECHRPara"/>
        </w:rPr>
        <w:t>зачитане</w:t>
      </w:r>
      <w:r>
        <w:rPr>
          <w:rStyle w:val="ECHRPara"/>
        </w:rPr>
        <w:t xml:space="preserve"> на правата, гарантирани от чл. 3 от Протокол </w:t>
      </w:r>
      <w:r>
        <w:rPr>
          <w:rStyle w:val="ECHRPara"/>
          <w:cs/>
        </w:rPr>
        <w:t xml:space="preserve">№ </w:t>
      </w:r>
      <w:r>
        <w:rPr>
          <w:rStyle w:val="ECHRPara"/>
        </w:rPr>
        <w:t xml:space="preserve">1, Високодоговарящите страни могат да решат дали да </w:t>
      </w:r>
      <w:r w:rsidR="00C00552">
        <w:rPr>
          <w:rStyle w:val="ECHRPara"/>
        </w:rPr>
        <w:t>пред</w:t>
      </w:r>
      <w:r>
        <w:rPr>
          <w:rStyle w:val="ECHRPara"/>
        </w:rPr>
        <w:t xml:space="preserve">оставят на </w:t>
      </w:r>
      <w:r w:rsidR="00C00552">
        <w:rPr>
          <w:rStyle w:val="ECHRPara"/>
        </w:rPr>
        <w:t>съдилищата</w:t>
      </w:r>
      <w:r>
        <w:rPr>
          <w:rStyle w:val="ECHRPara"/>
        </w:rPr>
        <w:t xml:space="preserve"> да определи </w:t>
      </w:r>
      <w:r w:rsidRPr="0074533B">
        <w:rPr>
          <w:rStyle w:val="ECHRPara"/>
        </w:rPr>
        <w:t>пропорционалността на мярка</w:t>
      </w:r>
      <w:r>
        <w:rPr>
          <w:rStyle w:val="ECHRPara"/>
        </w:rPr>
        <w:t xml:space="preserve">, която ограничава </w:t>
      </w:r>
      <w:r w:rsidR="00D41019">
        <w:rPr>
          <w:rStyle w:val="ECHRPara"/>
        </w:rPr>
        <w:t>избирателното право</w:t>
      </w:r>
      <w:r>
        <w:rPr>
          <w:rStyle w:val="ECHRPara"/>
        </w:rPr>
        <w:t xml:space="preserve"> на , лишени</w:t>
      </w:r>
      <w:r w:rsidR="00C00552">
        <w:rPr>
          <w:rStyle w:val="ECHRPara"/>
        </w:rPr>
        <w:t>те</w:t>
      </w:r>
      <w:r>
        <w:rPr>
          <w:rStyle w:val="ECHRPara"/>
        </w:rPr>
        <w:t xml:space="preserve"> от свобода, или да </w:t>
      </w:r>
      <w:r w:rsidR="00C00552">
        <w:rPr>
          <w:rStyle w:val="ECHRPara"/>
        </w:rPr>
        <w:t>приемат законови</w:t>
      </w:r>
      <w:r>
        <w:rPr>
          <w:rStyle w:val="ECHRPara"/>
        </w:rPr>
        <w:t xml:space="preserve"> разпоредби , определящи обстоятелствата, при които следва да се прилага такава мярка. В последния случай самият законодател ще трябва да балансира </w:t>
      </w:r>
      <w:r w:rsidRPr="0074533B">
        <w:rPr>
          <w:rStyle w:val="ECHRPara"/>
        </w:rPr>
        <w:t>конкуриращи се интереси</w:t>
      </w:r>
      <w:r>
        <w:rPr>
          <w:rStyle w:val="ECHRPara"/>
        </w:rPr>
        <w:t xml:space="preserve">, за да избегне всяко общо, автоматично и </w:t>
      </w:r>
      <w:proofErr w:type="spellStart"/>
      <w:r w:rsidR="00C00552">
        <w:rPr>
          <w:rStyle w:val="ECHRPara"/>
        </w:rPr>
        <w:t>недиферинцирано</w:t>
      </w:r>
      <w:proofErr w:type="spellEnd"/>
      <w:r>
        <w:rPr>
          <w:rStyle w:val="ECHRPara"/>
        </w:rPr>
        <w:t xml:space="preserve"> ограничение (</w:t>
      </w:r>
      <w:proofErr w:type="spellStart"/>
      <w:r w:rsidR="00015E09" w:rsidRPr="005E3909">
        <w:rPr>
          <w:szCs w:val="24"/>
        </w:rPr>
        <w:t>ibid</w:t>
      </w:r>
      <w:proofErr w:type="spellEnd"/>
      <w:r w:rsidR="00015E09">
        <w:rPr>
          <w:szCs w:val="24"/>
        </w:rPr>
        <w:t>.</w:t>
      </w:r>
      <w:r>
        <w:rPr>
          <w:rStyle w:val="ECHRPara"/>
        </w:rPr>
        <w:t xml:space="preserve">, § 102; а също и </w:t>
      </w:r>
      <w:proofErr w:type="spellStart"/>
      <w:r>
        <w:rPr>
          <w:rStyle w:val="ECHRPara"/>
          <w:i/>
        </w:rPr>
        <w:t>Anchugov</w:t>
      </w:r>
      <w:proofErr w:type="spellEnd"/>
      <w:r>
        <w:rPr>
          <w:rStyle w:val="ECHRPara"/>
          <w:i/>
        </w:rPr>
        <w:t xml:space="preserve"> and </w:t>
      </w:r>
      <w:proofErr w:type="spellStart"/>
      <w:r>
        <w:rPr>
          <w:rStyle w:val="ECHRPara"/>
          <w:i/>
        </w:rPr>
        <w:t>Gladkov</w:t>
      </w:r>
      <w:proofErr w:type="spellEnd"/>
      <w:r>
        <w:rPr>
          <w:rStyle w:val="ECHRPara"/>
        </w:rPr>
        <w:t xml:space="preserve">, цитирано по-горе, § 107). Съдът намира, че в настоящия случай, за разлика от </w:t>
      </w:r>
      <w:r w:rsidR="000711AD">
        <w:rPr>
          <w:rStyle w:val="ECHRPara"/>
        </w:rPr>
        <w:t>положението</w:t>
      </w:r>
      <w:r>
        <w:rPr>
          <w:rStyle w:val="ECHRPara"/>
        </w:rPr>
        <w:t>, разгледа</w:t>
      </w:r>
      <w:r w:rsidR="00015E09">
        <w:rPr>
          <w:rStyle w:val="ECHRPara"/>
        </w:rPr>
        <w:t>н</w:t>
      </w:r>
      <w:r w:rsidR="000711AD">
        <w:rPr>
          <w:rStyle w:val="ECHRPara"/>
        </w:rPr>
        <w:t>о</w:t>
      </w:r>
      <w:r>
        <w:rPr>
          <w:rStyle w:val="ECHRPara"/>
        </w:rPr>
        <w:t xml:space="preserve"> в </w:t>
      </w:r>
      <w:proofErr w:type="spellStart"/>
      <w:r>
        <w:rPr>
          <w:rStyle w:val="ECHRPara"/>
          <w:i/>
        </w:rPr>
        <w:t>Scoppola</w:t>
      </w:r>
      <w:proofErr w:type="spellEnd"/>
      <w:r>
        <w:rPr>
          <w:rStyle w:val="ECHRPara"/>
          <w:i/>
        </w:rPr>
        <w:t xml:space="preserve"> (</w:t>
      </w:r>
      <w:proofErr w:type="spellStart"/>
      <w:r>
        <w:rPr>
          <w:rStyle w:val="ECHRPara"/>
          <w:i/>
        </w:rPr>
        <w:t>no</w:t>
      </w:r>
      <w:proofErr w:type="spellEnd"/>
      <w:r>
        <w:rPr>
          <w:rStyle w:val="ECHRPara"/>
          <w:i/>
        </w:rPr>
        <w:t>. 3)</w:t>
      </w:r>
      <w:r>
        <w:rPr>
          <w:rStyle w:val="ECHRPara"/>
        </w:rPr>
        <w:t>), цитирано по-горе, където законът предвижда забрана за гласуване само по отношение на лица, осъдени на лишаване от свобода за срок от три години или повече, разглежданите</w:t>
      </w:r>
      <w:r w:rsidR="000711AD">
        <w:rPr>
          <w:rStyle w:val="ECHRPara"/>
        </w:rPr>
        <w:t xml:space="preserve">, по настоящото </w:t>
      </w:r>
      <w:proofErr w:type="spellStart"/>
      <w:r w:rsidR="000711AD">
        <w:rPr>
          <w:rStyle w:val="ECHRPara"/>
        </w:rPr>
        <w:t>дело,</w:t>
      </w:r>
      <w:r>
        <w:rPr>
          <w:rStyle w:val="ECHRPara"/>
        </w:rPr>
        <w:t>конституционни</w:t>
      </w:r>
      <w:proofErr w:type="spellEnd"/>
      <w:r>
        <w:rPr>
          <w:rStyle w:val="ECHRPara"/>
        </w:rPr>
        <w:t xml:space="preserve"> и законови разпоредби не регулират забраната за гласуване спрямо обстоятелствата </w:t>
      </w:r>
      <w:proofErr w:type="spellStart"/>
      <w:r w:rsidR="000711AD">
        <w:rPr>
          <w:rStyle w:val="ECHRPara"/>
        </w:rPr>
        <w:t>на</w:t>
      </w:r>
      <w:r>
        <w:rPr>
          <w:rStyle w:val="ECHRPara"/>
        </w:rPr>
        <w:t>конкретния</w:t>
      </w:r>
      <w:proofErr w:type="spellEnd"/>
      <w:r>
        <w:rPr>
          <w:rStyle w:val="ECHRPara"/>
        </w:rPr>
        <w:t xml:space="preserve"> случай, тежестта на нарушението или поведението на </w:t>
      </w:r>
      <w:r w:rsidRPr="0074533B">
        <w:rPr>
          <w:rStyle w:val="ECHRPara"/>
        </w:rPr>
        <w:t>нарушителя.</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38</w:t>
      </w:r>
      <w:r>
        <w:fldChar w:fldCharType="end"/>
      </w:r>
      <w:r>
        <w:rPr>
          <w:rStyle w:val="ECHRPara"/>
        </w:rPr>
        <w:t xml:space="preserve">.  По отношение на аргумента на Правителството, че държавите разполагат с широка свобода на преценка по отношение на </w:t>
      </w:r>
      <w:r w:rsidR="00F57141">
        <w:rPr>
          <w:rStyle w:val="ECHRPara"/>
        </w:rPr>
        <w:t>избирателното право</w:t>
      </w:r>
      <w:r>
        <w:rPr>
          <w:rStyle w:val="ECHRPara"/>
        </w:rPr>
        <w:t xml:space="preserve"> на хората, Съдът многократно е признавал, че тази свобода съществува, но че тя не е всеобхватна (вж. </w:t>
      </w:r>
      <w:proofErr w:type="spellStart"/>
      <w:r>
        <w:rPr>
          <w:rStyle w:val="ECHRPara"/>
          <w:i/>
        </w:rPr>
        <w:t>Hirst</w:t>
      </w:r>
      <w:proofErr w:type="spellEnd"/>
      <w:r>
        <w:rPr>
          <w:rStyle w:val="ECHRPara"/>
          <w:i/>
        </w:rPr>
        <w:t xml:space="preserve"> (</w:t>
      </w:r>
      <w:proofErr w:type="spellStart"/>
      <w:r>
        <w:rPr>
          <w:rStyle w:val="ECHRPara"/>
          <w:i/>
        </w:rPr>
        <w:t>no</w:t>
      </w:r>
      <w:proofErr w:type="spellEnd"/>
      <w:r>
        <w:rPr>
          <w:rStyle w:val="ECHRPara"/>
          <w:i/>
        </w:rPr>
        <w:t>. 2)</w:t>
      </w:r>
      <w:r>
        <w:rPr>
          <w:rStyle w:val="ECHRPara"/>
        </w:rPr>
        <w:t xml:space="preserve">, цитирано по-горе, § 82). Общо, автоматично и </w:t>
      </w:r>
      <w:r w:rsidR="000711AD">
        <w:rPr>
          <w:rStyle w:val="ECHRPara"/>
        </w:rPr>
        <w:t>недиференцирано</w:t>
      </w:r>
      <w:r>
        <w:rPr>
          <w:rStyle w:val="ECHRPara"/>
        </w:rPr>
        <w:t xml:space="preserve"> ограничаване на правото, защитено по </w:t>
      </w:r>
      <w:r w:rsidR="000711AD">
        <w:rPr>
          <w:rStyle w:val="ECHRPara"/>
        </w:rPr>
        <w:t xml:space="preserve">силата на </w:t>
      </w:r>
      <w:r>
        <w:rPr>
          <w:rStyle w:val="ECHRPara"/>
        </w:rPr>
        <w:t xml:space="preserve">чл. 3 от Протокол </w:t>
      </w:r>
      <w:r>
        <w:rPr>
          <w:rStyle w:val="ECHRPara"/>
          <w:cs/>
        </w:rPr>
        <w:t xml:space="preserve">№ </w:t>
      </w:r>
      <w:r>
        <w:rPr>
          <w:rStyle w:val="ECHRPara"/>
        </w:rPr>
        <w:t xml:space="preserve">1, трябва да се разглежда като попадащо извън всяка приемлива свобода на преценка, колкото и широка да е </w:t>
      </w:r>
      <w:r w:rsidR="000711AD">
        <w:rPr>
          <w:rStyle w:val="ECHRPara"/>
        </w:rPr>
        <w:t>последната</w:t>
      </w:r>
      <w:r>
        <w:rPr>
          <w:rStyle w:val="ECHRPara"/>
        </w:rPr>
        <w:t xml:space="preserve"> в тази област (вж. </w:t>
      </w:r>
      <w:proofErr w:type="spellStart"/>
      <w:r>
        <w:rPr>
          <w:rStyle w:val="ECHRPara"/>
        </w:rPr>
        <w:t>Hirst</w:t>
      </w:r>
      <w:proofErr w:type="spellEnd"/>
      <w:r>
        <w:rPr>
          <w:rStyle w:val="ECHRPara"/>
        </w:rPr>
        <w:t xml:space="preserve"> (</w:t>
      </w:r>
      <w:proofErr w:type="spellStart"/>
      <w:r>
        <w:rPr>
          <w:rStyle w:val="ECHRPara"/>
        </w:rPr>
        <w:t>no</w:t>
      </w:r>
      <w:proofErr w:type="spellEnd"/>
      <w:r>
        <w:rPr>
          <w:rStyle w:val="ECHRPara"/>
        </w:rPr>
        <w:t>. 2), цитирано по-горе, § 82).</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39</w:t>
      </w:r>
      <w:r>
        <w:fldChar w:fldCharType="end"/>
      </w:r>
      <w:r>
        <w:rPr>
          <w:rStyle w:val="ECHRPara"/>
        </w:rPr>
        <w:t xml:space="preserve">.  Що се отнася до </w:t>
      </w:r>
      <w:r w:rsidRPr="0074533B">
        <w:rPr>
          <w:rStyle w:val="ECHRPara"/>
        </w:rPr>
        <w:t>обхвата</w:t>
      </w:r>
      <w:r>
        <w:rPr>
          <w:rStyle w:val="ECHRPara"/>
        </w:rPr>
        <w:t xml:space="preserve"> на задължението на държавите по чл. 3 от Протокол </w:t>
      </w:r>
      <w:r>
        <w:rPr>
          <w:rStyle w:val="ECHRPara"/>
          <w:cs/>
        </w:rPr>
        <w:t xml:space="preserve">№ </w:t>
      </w:r>
      <w:r>
        <w:rPr>
          <w:rStyle w:val="ECHRPara"/>
        </w:rPr>
        <w:t xml:space="preserve">1, Съдът счита, че е изключително важно да се подчертае следното. Формулировката, използвана в този член </w:t>
      </w:r>
      <w:r>
        <w:rPr>
          <w:rStyle w:val="ECHRPara"/>
          <w:cs/>
        </w:rPr>
        <w:t>– “</w:t>
      </w:r>
      <w:r>
        <w:rPr>
          <w:rStyle w:val="ECHRPara"/>
        </w:rPr>
        <w:t>Високодоговарящите страни се задължават</w:t>
      </w:r>
      <w:r>
        <w:rPr>
          <w:rStyle w:val="ECHRPara"/>
          <w:cs/>
        </w:rPr>
        <w:t>”</w:t>
      </w:r>
      <w:r>
        <w:rPr>
          <w:rStyle w:val="ECHRPara"/>
        </w:rPr>
        <w:t xml:space="preserve">, за разлика от текста </w:t>
      </w:r>
      <w:r>
        <w:rPr>
          <w:rStyle w:val="ECHRPara"/>
          <w:cs/>
        </w:rPr>
        <w:t>“</w:t>
      </w:r>
      <w:r w:rsidRPr="0074533B">
        <w:rPr>
          <w:rStyle w:val="ECHRPara"/>
        </w:rPr>
        <w:t>Всеки има право</w:t>
      </w:r>
      <w:r w:rsidRPr="0074533B">
        <w:rPr>
          <w:rStyle w:val="ECHRPara"/>
          <w:cs/>
        </w:rPr>
        <w:t xml:space="preserve">” </w:t>
      </w:r>
      <w:r w:rsidRPr="009D56F7">
        <w:rPr>
          <w:rStyle w:val="ECHRPara"/>
        </w:rPr>
        <w:t xml:space="preserve">или </w:t>
      </w:r>
      <w:r w:rsidRPr="00567DB3">
        <w:rPr>
          <w:rStyle w:val="ECHRPara"/>
          <w:cs/>
        </w:rPr>
        <w:t>“</w:t>
      </w:r>
      <w:proofErr w:type="spellStart"/>
      <w:r w:rsidRPr="00567DB3">
        <w:rPr>
          <w:rStyle w:val="ECHRPara"/>
        </w:rPr>
        <w:t>Hикой</w:t>
      </w:r>
      <w:proofErr w:type="spellEnd"/>
      <w:r w:rsidRPr="00567DB3">
        <w:rPr>
          <w:rStyle w:val="ECHRPara"/>
        </w:rPr>
        <w:t xml:space="preserve"> не </w:t>
      </w:r>
      <w:r w:rsidR="008333D4" w:rsidRPr="00567DB3">
        <w:rPr>
          <w:rStyle w:val="ECHRPara"/>
        </w:rPr>
        <w:t>може</w:t>
      </w:r>
      <w:r>
        <w:rPr>
          <w:rStyle w:val="ECHRPara"/>
          <w:cs/>
        </w:rPr>
        <w:t>”</w:t>
      </w:r>
      <w:r>
        <w:rPr>
          <w:rStyle w:val="ECHRPara"/>
        </w:rPr>
        <w:t>, ко</w:t>
      </w:r>
      <w:r w:rsidR="000711AD">
        <w:rPr>
          <w:rStyle w:val="ECHRPara"/>
        </w:rPr>
        <w:t>и</w:t>
      </w:r>
      <w:r>
        <w:rPr>
          <w:rStyle w:val="ECHRPara"/>
        </w:rPr>
        <w:t>то се ползва</w:t>
      </w:r>
      <w:r w:rsidR="000711AD">
        <w:rPr>
          <w:rStyle w:val="ECHRPara"/>
        </w:rPr>
        <w:t>т</w:t>
      </w:r>
      <w:r>
        <w:rPr>
          <w:rStyle w:val="ECHRPara"/>
        </w:rPr>
        <w:t xml:space="preserve"> в почти всички други </w:t>
      </w:r>
      <w:proofErr w:type="spellStart"/>
      <w:r>
        <w:rPr>
          <w:rStyle w:val="ECHRPara"/>
        </w:rPr>
        <w:t>материалноправни</w:t>
      </w:r>
      <w:proofErr w:type="spellEnd"/>
      <w:r>
        <w:rPr>
          <w:rStyle w:val="ECHRPara"/>
        </w:rPr>
        <w:t xml:space="preserve"> клаузи на Конвенцията, не отразява никаква разлика</w:t>
      </w:r>
      <w:r w:rsidR="000711AD">
        <w:rPr>
          <w:rStyle w:val="ECHRPara"/>
        </w:rPr>
        <w:t xml:space="preserve"> по същество</w:t>
      </w:r>
      <w:r>
        <w:rPr>
          <w:rStyle w:val="ECHRPara"/>
        </w:rPr>
        <w:t xml:space="preserve"> между този член и други разпоредби на Конвенцията и протоколите към нея (вж. </w:t>
      </w:r>
      <w:proofErr w:type="spellStart"/>
      <w:r>
        <w:rPr>
          <w:rStyle w:val="ECHRPara"/>
          <w:i/>
        </w:rPr>
        <w:t>Mathieu-Mohin</w:t>
      </w:r>
      <w:proofErr w:type="spellEnd"/>
      <w:r>
        <w:rPr>
          <w:rStyle w:val="ECHRPara"/>
          <w:i/>
        </w:rPr>
        <w:t xml:space="preserve"> and </w:t>
      </w:r>
      <w:proofErr w:type="spellStart"/>
      <w:r>
        <w:rPr>
          <w:rStyle w:val="ECHRPara"/>
          <w:i/>
        </w:rPr>
        <w:t>Clerfayt</w:t>
      </w:r>
      <w:proofErr w:type="spellEnd"/>
      <w:r>
        <w:rPr>
          <w:rStyle w:val="ECHRPara"/>
          <w:i/>
        </w:rPr>
        <w:t xml:space="preserve"> v. </w:t>
      </w:r>
      <w:proofErr w:type="spellStart"/>
      <w:r>
        <w:rPr>
          <w:rStyle w:val="ECHRPara"/>
          <w:i/>
        </w:rPr>
        <w:t>Belgium</w:t>
      </w:r>
      <w:proofErr w:type="spellEnd"/>
      <w:r>
        <w:rPr>
          <w:rStyle w:val="ECHRPara"/>
        </w:rPr>
        <w:t xml:space="preserve">, 2 март 1987 г., §§ 48-50, Серия A </w:t>
      </w:r>
      <w:r>
        <w:rPr>
          <w:rStyle w:val="ECHRPara"/>
          <w:cs/>
        </w:rPr>
        <w:t xml:space="preserve">№ </w:t>
      </w:r>
      <w:r>
        <w:rPr>
          <w:rStyle w:val="ECHRPara"/>
        </w:rPr>
        <w:t xml:space="preserve">113). Съдът многократно е тълкувал в този член съществуването на отделни субективни права на участие - </w:t>
      </w:r>
      <w:r>
        <w:rPr>
          <w:rStyle w:val="ECHRPara"/>
          <w:cs/>
        </w:rPr>
        <w:t>“</w:t>
      </w:r>
      <w:r w:rsidRPr="0074533B">
        <w:rPr>
          <w:rStyle w:val="ECHRPara"/>
        </w:rPr>
        <w:t xml:space="preserve">правото да </w:t>
      </w:r>
      <w:r w:rsidR="007E7032" w:rsidRPr="00567DB3">
        <w:rPr>
          <w:rStyle w:val="ECHRPara"/>
        </w:rPr>
        <w:t>избираш</w:t>
      </w:r>
      <w:r w:rsidRPr="0074533B">
        <w:rPr>
          <w:rStyle w:val="ECHRPara"/>
          <w:cs/>
        </w:rPr>
        <w:t xml:space="preserve">” </w:t>
      </w:r>
      <w:r w:rsidRPr="009D56F7">
        <w:rPr>
          <w:rStyle w:val="ECHRPara"/>
        </w:rPr>
        <w:t xml:space="preserve">и </w:t>
      </w:r>
      <w:r w:rsidRPr="00567DB3">
        <w:rPr>
          <w:rStyle w:val="ECHRPara"/>
          <w:cs/>
        </w:rPr>
        <w:t>“</w:t>
      </w:r>
      <w:r w:rsidRPr="00567DB3">
        <w:rPr>
          <w:rStyle w:val="ECHRPara"/>
        </w:rPr>
        <w:t>правото да  бъдеш избиран в законодателното тяло</w:t>
      </w:r>
      <w:r>
        <w:rPr>
          <w:rStyle w:val="ECHRPara"/>
          <w:cs/>
        </w:rPr>
        <w:t>”</w:t>
      </w:r>
      <w:r>
        <w:rPr>
          <w:rStyle w:val="ECHRPara"/>
        </w:rPr>
        <w:t xml:space="preserve">, както е защитено от позитивното задължение на държавата да гарантира ефективно тези права </w:t>
      </w:r>
      <w:r w:rsidR="006B5F6C">
        <w:rPr>
          <w:rStyle w:val="ECHRPara"/>
        </w:rPr>
        <w:t>на правните субекти</w:t>
      </w:r>
      <w:r w:rsidR="00B015DC">
        <w:rPr>
          <w:rStyle w:val="ECHRPara"/>
        </w:rPr>
        <w:t>,</w:t>
      </w:r>
      <w:r>
        <w:rPr>
          <w:rStyle w:val="ECHRPara"/>
        </w:rPr>
        <w:t xml:space="preserve"> </w:t>
      </w:r>
      <w:r w:rsidR="00B015DC">
        <w:rPr>
          <w:rStyle w:val="ECHRPara"/>
        </w:rPr>
        <w:t xml:space="preserve">намиращи се </w:t>
      </w:r>
      <w:r>
        <w:rPr>
          <w:rStyle w:val="ECHRPara"/>
        </w:rPr>
        <w:t xml:space="preserve">под нейната юрисдикция (вж. </w:t>
      </w:r>
      <w:proofErr w:type="spellStart"/>
      <w:r>
        <w:rPr>
          <w:rStyle w:val="ECHRPara"/>
          <w:i/>
        </w:rPr>
        <w:t>Scoppola</w:t>
      </w:r>
      <w:proofErr w:type="spellEnd"/>
      <w:r>
        <w:rPr>
          <w:rStyle w:val="ECHRPara"/>
          <w:i/>
        </w:rPr>
        <w:t xml:space="preserve"> (</w:t>
      </w:r>
      <w:proofErr w:type="spellStart"/>
      <w:r>
        <w:rPr>
          <w:rStyle w:val="ECHRPara"/>
          <w:i/>
        </w:rPr>
        <w:t>no</w:t>
      </w:r>
      <w:proofErr w:type="spellEnd"/>
      <w:r>
        <w:rPr>
          <w:rStyle w:val="ECHRPara"/>
          <w:i/>
        </w:rPr>
        <w:t>. 3),</w:t>
      </w:r>
      <w:r>
        <w:rPr>
          <w:rStyle w:val="ECHRPara"/>
        </w:rPr>
        <w:t xml:space="preserve"> цитирано по-горе, § 81; </w:t>
      </w:r>
      <w:proofErr w:type="spellStart"/>
      <w:r>
        <w:rPr>
          <w:rStyle w:val="ECHRPara"/>
          <w:i/>
        </w:rPr>
        <w:t>Anchugov</w:t>
      </w:r>
      <w:proofErr w:type="spellEnd"/>
      <w:r>
        <w:rPr>
          <w:rStyle w:val="ECHRPara"/>
          <w:i/>
        </w:rPr>
        <w:t xml:space="preserve"> and </w:t>
      </w:r>
      <w:proofErr w:type="spellStart"/>
      <w:r>
        <w:rPr>
          <w:rStyle w:val="ECHRPara"/>
          <w:i/>
        </w:rPr>
        <w:t>Gladkov</w:t>
      </w:r>
      <w:proofErr w:type="spellEnd"/>
      <w:r>
        <w:rPr>
          <w:rStyle w:val="ECHRPara"/>
        </w:rPr>
        <w:t xml:space="preserve">, цитирано по-горе, § 93; и </w:t>
      </w:r>
      <w:proofErr w:type="spellStart"/>
      <w:r>
        <w:rPr>
          <w:rStyle w:val="ECHRPara"/>
          <w:i/>
        </w:rPr>
        <w:t>Brânduşe</w:t>
      </w:r>
      <w:proofErr w:type="spellEnd"/>
      <w:r>
        <w:rPr>
          <w:rStyle w:val="ECHRPara"/>
          <w:i/>
        </w:rPr>
        <w:t xml:space="preserve"> v. </w:t>
      </w:r>
      <w:proofErr w:type="spellStart"/>
      <w:r>
        <w:rPr>
          <w:rStyle w:val="ECHRPara"/>
          <w:i/>
        </w:rPr>
        <w:t>Romania</w:t>
      </w:r>
      <w:proofErr w:type="spellEnd"/>
      <w:r>
        <w:rPr>
          <w:rStyle w:val="ECHRPara"/>
          <w:i/>
        </w:rPr>
        <w:t xml:space="preserve"> (</w:t>
      </w:r>
      <w:proofErr w:type="spellStart"/>
      <w:r>
        <w:rPr>
          <w:rStyle w:val="ECHRPara"/>
          <w:i/>
        </w:rPr>
        <w:t>no</w:t>
      </w:r>
      <w:proofErr w:type="spellEnd"/>
      <w:r>
        <w:rPr>
          <w:rStyle w:val="ECHRPara"/>
          <w:i/>
        </w:rPr>
        <w:t>. 2)</w:t>
      </w:r>
      <w:r>
        <w:rPr>
          <w:rStyle w:val="ECHRPara"/>
        </w:rPr>
        <w:t xml:space="preserve">, </w:t>
      </w:r>
      <w:r>
        <w:rPr>
          <w:rStyle w:val="ECHRPara"/>
          <w:cs/>
        </w:rPr>
        <w:t xml:space="preserve">№ </w:t>
      </w:r>
      <w:r>
        <w:rPr>
          <w:rStyle w:val="ECHRPara"/>
        </w:rPr>
        <w:t>39951/08, § 44, 27 октомври 2015 г.).</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40</w:t>
      </w:r>
      <w:r>
        <w:fldChar w:fldCharType="end"/>
      </w:r>
      <w:r>
        <w:rPr>
          <w:rStyle w:val="ECHRPara"/>
        </w:rPr>
        <w:t>.  </w:t>
      </w:r>
      <w:r w:rsidRPr="00567DB3">
        <w:rPr>
          <w:rStyle w:val="ECHRPara"/>
        </w:rPr>
        <w:t>Ответното Правителство</w:t>
      </w:r>
      <w:r>
        <w:rPr>
          <w:rStyle w:val="ECHRPara"/>
        </w:rPr>
        <w:t xml:space="preserve"> твърди, че броят на лишените от свобода, които не биха могли да упражнят правото си на глас, е </w:t>
      </w:r>
      <w:r w:rsidR="006B5F6C">
        <w:rPr>
          <w:rStyle w:val="ECHRPara"/>
        </w:rPr>
        <w:t>нисък</w:t>
      </w:r>
      <w:r>
        <w:rPr>
          <w:rStyle w:val="ECHRPara"/>
        </w:rPr>
        <w:t xml:space="preserve"> (вж. параграф 30 по-горе, последно изречение), в резултат на което ограничението не води до непропорционална намеса в </w:t>
      </w:r>
      <w:r w:rsidR="00FD66D9">
        <w:rPr>
          <w:rStyle w:val="ECHRPara"/>
        </w:rPr>
        <w:t>избирателните права</w:t>
      </w:r>
      <w:r>
        <w:rPr>
          <w:rStyle w:val="ECHRPara"/>
        </w:rPr>
        <w:t xml:space="preserve"> на жалбоподателите. Съдът констатира, че доколкото такива статистически данни могат да се смятат за относими, тези цифри са преди всичко показателни за броя на лицата, които са лишени от упражняване на правото си на глас по време на изтърпяване на </w:t>
      </w:r>
      <w:r w:rsidR="00FD66D9">
        <w:rPr>
          <w:rStyle w:val="ECHRPara"/>
        </w:rPr>
        <w:t>наказания</w:t>
      </w:r>
      <w:r>
        <w:rPr>
          <w:rStyle w:val="ECHRPara"/>
        </w:rPr>
        <w:t xml:space="preserve"> лишаване от свобода.</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41</w:t>
      </w:r>
      <w:r>
        <w:fldChar w:fldCharType="end"/>
      </w:r>
      <w:r>
        <w:rPr>
          <w:rStyle w:val="ECHRPara"/>
        </w:rPr>
        <w:t xml:space="preserve">.  Накрая, по отношение на довода, че </w:t>
      </w:r>
      <w:r w:rsidR="00543F0F">
        <w:rPr>
          <w:rStyle w:val="ECHRPara"/>
        </w:rPr>
        <w:t xml:space="preserve">на лишените от свобода </w:t>
      </w:r>
      <w:r>
        <w:rPr>
          <w:rStyle w:val="ECHRPara"/>
        </w:rPr>
        <w:t>с</w:t>
      </w:r>
      <w:r w:rsidR="00543F0F">
        <w:rPr>
          <w:rStyle w:val="ECHRPara"/>
        </w:rPr>
        <w:t>е</w:t>
      </w:r>
      <w:r>
        <w:rPr>
          <w:rStyle w:val="ECHRPara"/>
        </w:rPr>
        <w:t xml:space="preserve"> възстановяват </w:t>
      </w:r>
      <w:r w:rsidR="00543F0F">
        <w:rPr>
          <w:rStyle w:val="ECHRPara"/>
        </w:rPr>
        <w:t>избирателните права</w:t>
      </w:r>
      <w:r>
        <w:rPr>
          <w:rStyle w:val="ECHRPara"/>
        </w:rPr>
        <w:t xml:space="preserve"> </w:t>
      </w:r>
      <w:r w:rsidR="00543F0F">
        <w:rPr>
          <w:rStyle w:val="ECHRPara"/>
        </w:rPr>
        <w:t xml:space="preserve">след </w:t>
      </w:r>
      <w:r>
        <w:rPr>
          <w:rStyle w:val="ECHRPara"/>
        </w:rPr>
        <w:t xml:space="preserve">освобождаването им от затвора, Съдът отбелязва, че тази </w:t>
      </w:r>
      <w:r w:rsidR="006B5F6C">
        <w:rPr>
          <w:rStyle w:val="ECHRPara"/>
        </w:rPr>
        <w:t>особеност</w:t>
      </w:r>
      <w:r>
        <w:rPr>
          <w:rStyle w:val="ECHRPara"/>
        </w:rPr>
        <w:t xml:space="preserve"> на системата по никакъв начин</w:t>
      </w:r>
      <w:r w:rsidR="00740D25" w:rsidRPr="00567DB3">
        <w:rPr>
          <w:rStyle w:val="ECHRPara"/>
        </w:rPr>
        <w:t xml:space="preserve"> </w:t>
      </w:r>
      <w:r w:rsidR="00740D25">
        <w:rPr>
          <w:rStyle w:val="ECHRPara"/>
        </w:rPr>
        <w:t>не</w:t>
      </w:r>
      <w:r w:rsidR="00CA11AF">
        <w:rPr>
          <w:rStyle w:val="ECHRPara"/>
        </w:rPr>
        <w:t xml:space="preserve"> </w:t>
      </w:r>
      <w:r>
        <w:rPr>
          <w:rStyle w:val="ECHRPara"/>
        </w:rPr>
        <w:t xml:space="preserve">променя факта, че според закона и практиката по време на въпросните избори, всички осъдени затворници, независимо от техните индивидуални обстоятелства, тяхното поведение и тежестта на извършените престъпления, са </w:t>
      </w:r>
      <w:r w:rsidR="003C023C">
        <w:rPr>
          <w:rStyle w:val="ECHRPara"/>
        </w:rPr>
        <w:t xml:space="preserve">били </w:t>
      </w:r>
      <w:r>
        <w:rPr>
          <w:rStyle w:val="ECHRPara"/>
        </w:rPr>
        <w:t>лишени от правото да гласуват.</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42</w:t>
      </w:r>
      <w:r>
        <w:fldChar w:fldCharType="end"/>
      </w:r>
      <w:r>
        <w:rPr>
          <w:rStyle w:val="ECHRPara"/>
        </w:rPr>
        <w:t>.  </w:t>
      </w:r>
      <w:r w:rsidRPr="0074533B">
        <w:rPr>
          <w:rStyle w:val="ECHRPara"/>
        </w:rPr>
        <w:t>Горните съображения</w:t>
      </w:r>
      <w:r>
        <w:rPr>
          <w:rStyle w:val="ECHRPara"/>
        </w:rPr>
        <w:t xml:space="preserve"> са достатъчни, за да дадат възможност на Съда да заключи, че е налице нарушение на чл. 3 от Протокол </w:t>
      </w:r>
      <w:r>
        <w:rPr>
          <w:rStyle w:val="ECHRPara"/>
          <w:cs/>
        </w:rPr>
        <w:t xml:space="preserve">№ </w:t>
      </w:r>
      <w:r>
        <w:rPr>
          <w:rStyle w:val="ECHRPara"/>
        </w:rPr>
        <w:t xml:space="preserve">1 </w:t>
      </w:r>
      <w:r w:rsidR="00E17A96">
        <w:rPr>
          <w:rStyle w:val="ECHRPara"/>
        </w:rPr>
        <w:t xml:space="preserve">от </w:t>
      </w:r>
      <w:r>
        <w:rPr>
          <w:rStyle w:val="ECHRPara"/>
        </w:rPr>
        <w:t xml:space="preserve">Конвенцията по отношение на двамата жалбоподатели във връзка с изборите за Европейски парламент </w:t>
      </w:r>
      <w:r w:rsidR="003C023C">
        <w:rPr>
          <w:rStyle w:val="ECHRPara"/>
        </w:rPr>
        <w:t>от</w:t>
      </w:r>
      <w:r>
        <w:rPr>
          <w:rStyle w:val="ECHRPara"/>
        </w:rPr>
        <w:t xml:space="preserve"> 7 юни 2009 г. и </w:t>
      </w:r>
      <w:r w:rsidR="00CF5522">
        <w:rPr>
          <w:rStyle w:val="ECHRPara"/>
        </w:rPr>
        <w:t xml:space="preserve"> парламентарни избори</w:t>
      </w:r>
      <w:r>
        <w:rPr>
          <w:rStyle w:val="ECHRPara"/>
        </w:rPr>
        <w:t xml:space="preserve"> </w:t>
      </w:r>
      <w:r w:rsidR="003C023C">
        <w:rPr>
          <w:rStyle w:val="ECHRPara"/>
        </w:rPr>
        <w:t xml:space="preserve">в България, проведени </w:t>
      </w:r>
      <w:r>
        <w:rPr>
          <w:rStyle w:val="ECHRPara"/>
        </w:rPr>
        <w:t xml:space="preserve">на 5 юли 2009 г. Съдът също така констатира, че е налице нарушение на тази разпоредба по отношение на втория жалбоподател във връзка с </w:t>
      </w:r>
      <w:r w:rsidR="00331E6C">
        <w:rPr>
          <w:rStyle w:val="ECHRPara"/>
        </w:rPr>
        <w:t xml:space="preserve"> парламентарни </w:t>
      </w:r>
      <w:r>
        <w:rPr>
          <w:rStyle w:val="ECHRPara"/>
        </w:rPr>
        <w:t xml:space="preserve">избори </w:t>
      </w:r>
      <w:r w:rsidR="003C023C">
        <w:rPr>
          <w:rStyle w:val="ECHRPara"/>
        </w:rPr>
        <w:t xml:space="preserve">в България, проведени </w:t>
      </w:r>
      <w:r>
        <w:rPr>
          <w:rStyle w:val="ECHRPara"/>
        </w:rPr>
        <w:t>на 12 май 2013 г. и 5 октомври 2014 г</w:t>
      </w:r>
      <w:r w:rsidR="003C023C">
        <w:rPr>
          <w:rStyle w:val="ECHRPara"/>
        </w:rPr>
        <w:t>, както</w:t>
      </w:r>
      <w:r>
        <w:rPr>
          <w:rStyle w:val="ECHRPara"/>
        </w:rPr>
        <w:t xml:space="preserve"> и </w:t>
      </w:r>
      <w:r w:rsidR="003C023C">
        <w:rPr>
          <w:rStyle w:val="ECHRPara"/>
        </w:rPr>
        <w:t xml:space="preserve">за </w:t>
      </w:r>
      <w:r>
        <w:rPr>
          <w:rStyle w:val="ECHRPara"/>
        </w:rPr>
        <w:t xml:space="preserve">изборите за Европейски парламент </w:t>
      </w:r>
      <w:r w:rsidR="003C023C">
        <w:rPr>
          <w:rStyle w:val="ECHRPara"/>
        </w:rPr>
        <w:t>от</w:t>
      </w:r>
      <w:r>
        <w:rPr>
          <w:rStyle w:val="ECHRPara"/>
        </w:rPr>
        <w:t xml:space="preserve"> 25 май 2014 г.</w:t>
      </w:r>
    </w:p>
    <w:p w:rsidR="00FA6179" w:rsidRPr="005E3909" w:rsidRDefault="00FA6179" w:rsidP="00FA6179">
      <w:pPr>
        <w:pStyle w:val="ECHRHeading1"/>
      </w:pPr>
      <w:r>
        <w:rPr>
          <w:rStyle w:val="ECHRHeading1"/>
        </w:rPr>
        <w:t>II.  ТВЪРДЯНО НАРУШЕНИЕ НА ЧЛ. 13 ОТ КОНВЕНЦИЯТА ВЪВ ВРЪЗКА С ЧЛ. 3 ОТ ПРОТОКОЛ</w:t>
      </w:r>
      <w:r w:rsidR="00033A01">
        <w:rPr>
          <w:rStyle w:val="ECHRHeading1"/>
        </w:rPr>
        <w:t xml:space="preserve"> №</w:t>
      </w:r>
      <w:r>
        <w:rPr>
          <w:rStyle w:val="ECHRHeading1"/>
          <w:cs/>
        </w:rPr>
        <w:t xml:space="preserve"> </w:t>
      </w:r>
      <w:r>
        <w:rPr>
          <w:rStyle w:val="ECHRHeading1"/>
        </w:rPr>
        <w:t>1</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43</w:t>
      </w:r>
      <w:r>
        <w:fldChar w:fldCharType="end"/>
      </w:r>
      <w:r>
        <w:rPr>
          <w:rStyle w:val="ECHRPara"/>
        </w:rPr>
        <w:t xml:space="preserve">.  И двамата жалбоподатели се оплакват, че </w:t>
      </w:r>
      <w:r w:rsidR="00331E6C">
        <w:rPr>
          <w:rStyle w:val="ECHRPara"/>
        </w:rPr>
        <w:t xml:space="preserve">са имали на разположение </w:t>
      </w:r>
      <w:r>
        <w:rPr>
          <w:rStyle w:val="ECHRPara"/>
        </w:rPr>
        <w:t>ефективни вътрешн</w:t>
      </w:r>
      <w:r w:rsidR="00D1694E">
        <w:rPr>
          <w:rStyle w:val="ECHRPara"/>
        </w:rPr>
        <w:t>о</w:t>
      </w:r>
      <w:r>
        <w:rPr>
          <w:rStyle w:val="ECHRPara"/>
        </w:rPr>
        <w:t xml:space="preserve">правни средства за защита по отношение на оплакването си по чл. 3 от Протокол </w:t>
      </w:r>
      <w:r>
        <w:rPr>
          <w:rStyle w:val="ECHRPara"/>
          <w:cs/>
        </w:rPr>
        <w:t xml:space="preserve">№ </w:t>
      </w:r>
      <w:r>
        <w:rPr>
          <w:rStyle w:val="ECHRPara"/>
        </w:rPr>
        <w:t xml:space="preserve">1 </w:t>
      </w:r>
      <w:r w:rsidR="00E17A96">
        <w:rPr>
          <w:rStyle w:val="ECHRPara"/>
        </w:rPr>
        <w:t xml:space="preserve">от </w:t>
      </w:r>
      <w:r>
        <w:rPr>
          <w:rStyle w:val="ECHRPara"/>
        </w:rPr>
        <w:t xml:space="preserve">Конвенцията във връзка с </w:t>
      </w:r>
      <w:r w:rsidRPr="0074533B">
        <w:rPr>
          <w:rStyle w:val="ECHRPara"/>
        </w:rPr>
        <w:t xml:space="preserve">невъзможността </w:t>
      </w:r>
      <w:r w:rsidR="00D1694E" w:rsidRPr="00567DB3">
        <w:rPr>
          <w:rStyle w:val="ECHRPara"/>
        </w:rPr>
        <w:t xml:space="preserve">им </w:t>
      </w:r>
      <w:r w:rsidRPr="00567DB3">
        <w:rPr>
          <w:rStyle w:val="ECHRPara"/>
        </w:rPr>
        <w:t>да гласуват</w:t>
      </w:r>
      <w:r>
        <w:rPr>
          <w:rStyle w:val="ECHRPara"/>
        </w:rPr>
        <w:t>, докато изтърпяват наказанието си лишаване от свобода. Те се позовават на чл. 13 от Конвенцията, който гласи следното:</w:t>
      </w:r>
    </w:p>
    <w:p w:rsidR="00FA6179" w:rsidRPr="005E3909" w:rsidRDefault="00FA6179" w:rsidP="00FA6179">
      <w:pPr>
        <w:pStyle w:val="ECHRParaQuote"/>
      </w:pPr>
      <w:r>
        <w:rPr>
          <w:rStyle w:val="ECHRParaQuote"/>
        </w:rPr>
        <w:t>"</w:t>
      </w:r>
      <w:proofErr w:type="spellStart"/>
      <w:r>
        <w:rPr>
          <w:rStyle w:val="ECHRParaQuote"/>
        </w:rPr>
        <w:t>Βсеки</w:t>
      </w:r>
      <w:proofErr w:type="spellEnd"/>
      <w:r>
        <w:rPr>
          <w:rStyle w:val="ECHRParaQuote"/>
        </w:rP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FA6179" w:rsidRPr="005E3909" w:rsidRDefault="00FA6179" w:rsidP="00FA6179">
      <w:pPr>
        <w:pStyle w:val="ECHRHeading2"/>
      </w:pPr>
      <w:r>
        <w:rPr>
          <w:rStyle w:val="ECHRHeading2"/>
        </w:rPr>
        <w:t xml:space="preserve">А. </w:t>
      </w:r>
      <w:r w:rsidR="00BE4B83">
        <w:rPr>
          <w:rStyle w:val="ECHRHeading2"/>
        </w:rPr>
        <w:t xml:space="preserve">Становища </w:t>
      </w:r>
      <w:r>
        <w:rPr>
          <w:rStyle w:val="ECHRHeading2"/>
        </w:rPr>
        <w:t>на страните</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44</w:t>
      </w:r>
      <w:r>
        <w:fldChar w:fldCharType="end"/>
      </w:r>
      <w:r>
        <w:rPr>
          <w:rStyle w:val="ECHRPara"/>
        </w:rPr>
        <w:t xml:space="preserve">.  Според Правителството жалбоподателите са имали на разположение няколко средства за защита по отношение на </w:t>
      </w:r>
      <w:r w:rsidR="00181668">
        <w:rPr>
          <w:rStyle w:val="ECHRPara"/>
        </w:rPr>
        <w:t xml:space="preserve">тяхното </w:t>
      </w:r>
      <w:r>
        <w:rPr>
          <w:rStyle w:val="ECHRPara"/>
        </w:rPr>
        <w:t xml:space="preserve">оплакване. На първо място, те могат да подадат </w:t>
      </w:r>
      <w:r w:rsidRPr="0074533B">
        <w:rPr>
          <w:rStyle w:val="ECHRPara"/>
        </w:rPr>
        <w:t>жалба</w:t>
      </w:r>
      <w:r>
        <w:rPr>
          <w:rStyle w:val="ECHRPara"/>
        </w:rPr>
        <w:t xml:space="preserve"> до омбудсмана, който от своя страна може да </w:t>
      </w:r>
      <w:r w:rsidR="003C023C">
        <w:rPr>
          <w:rStyle w:val="ECHRPara"/>
        </w:rPr>
        <w:t xml:space="preserve">сезира </w:t>
      </w:r>
      <w:r>
        <w:rPr>
          <w:rStyle w:val="ECHRPara"/>
        </w:rPr>
        <w:t xml:space="preserve"> Конституционния съд (вж. параграф 21 по-горе). На второ място, след изтърпяване на най-малко половината от </w:t>
      </w:r>
      <w:r w:rsidR="007455A9">
        <w:rPr>
          <w:rStyle w:val="ECHRPara"/>
        </w:rPr>
        <w:t xml:space="preserve">наказанието </w:t>
      </w:r>
      <w:r>
        <w:rPr>
          <w:rStyle w:val="ECHRPara"/>
        </w:rPr>
        <w:t xml:space="preserve">си, те биха могли да </w:t>
      </w:r>
      <w:r w:rsidRPr="0074533B">
        <w:rPr>
          <w:rStyle w:val="ECHRPara"/>
        </w:rPr>
        <w:t>кандидатстват и да получат условно предсрочно освобождаване</w:t>
      </w:r>
      <w:r>
        <w:rPr>
          <w:rStyle w:val="ECHRPara"/>
        </w:rPr>
        <w:t xml:space="preserve">, ако </w:t>
      </w:r>
      <w:r w:rsidR="00702D3B">
        <w:rPr>
          <w:rStyle w:val="ECHRPara"/>
        </w:rPr>
        <w:t xml:space="preserve">докажат </w:t>
      </w:r>
      <w:r>
        <w:rPr>
          <w:rStyle w:val="ECHRPara"/>
        </w:rPr>
        <w:t xml:space="preserve">чрез </w:t>
      </w:r>
      <w:r w:rsidR="00702D3B">
        <w:rPr>
          <w:rStyle w:val="ECHRPara"/>
        </w:rPr>
        <w:t xml:space="preserve">примерно </w:t>
      </w:r>
      <w:r>
        <w:rPr>
          <w:rStyle w:val="ECHRPara"/>
        </w:rPr>
        <w:t>поведение и честно отношение към труда, че са се поправили (вж. параграф 17 по-горе). На трето място,</w:t>
      </w:r>
      <w:r w:rsidR="00C102D4">
        <w:rPr>
          <w:rStyle w:val="ECHRPara"/>
        </w:rPr>
        <w:t xml:space="preserve"> </w:t>
      </w:r>
      <w:r>
        <w:rPr>
          <w:rStyle w:val="ECHRPara"/>
        </w:rPr>
        <w:t xml:space="preserve">жалбоподателите могат да получат </w:t>
      </w:r>
      <w:r w:rsidR="00C102D4">
        <w:rPr>
          <w:rStyle w:val="ECHRPara"/>
        </w:rPr>
        <w:t>намаляване на срока на наказанието</w:t>
      </w:r>
      <w:r>
        <w:rPr>
          <w:rStyle w:val="ECHRPara"/>
        </w:rPr>
        <w:t xml:space="preserve"> си чрез </w:t>
      </w:r>
      <w:r w:rsidR="0065033E">
        <w:rPr>
          <w:rStyle w:val="ECHRPara"/>
        </w:rPr>
        <w:t>полагане на труд</w:t>
      </w:r>
      <w:r>
        <w:rPr>
          <w:rStyle w:val="ECHRPara"/>
        </w:rPr>
        <w:t xml:space="preserve"> в затвора, като се има предвид, че по силата на приложимото законодателство, два работни дни се равняват на три  дни </w:t>
      </w:r>
      <w:r w:rsidR="00E40CDA">
        <w:rPr>
          <w:rStyle w:val="ECHRPara"/>
        </w:rPr>
        <w:t xml:space="preserve">лишаване от свобода </w:t>
      </w:r>
      <w:r>
        <w:rPr>
          <w:rStyle w:val="ECHRPara"/>
        </w:rPr>
        <w:t xml:space="preserve">(вж. параграф 18 по-горе). </w:t>
      </w:r>
      <w:r w:rsidRPr="0074533B">
        <w:rPr>
          <w:rStyle w:val="ECHRPara"/>
        </w:rPr>
        <w:t xml:space="preserve">Прекратяването </w:t>
      </w:r>
      <w:r w:rsidR="003752E1">
        <w:rPr>
          <w:rStyle w:val="ECHRPara"/>
        </w:rPr>
        <w:t xml:space="preserve">на </w:t>
      </w:r>
      <w:r w:rsidR="00E40CDA">
        <w:rPr>
          <w:rStyle w:val="ECHRPara"/>
        </w:rPr>
        <w:t xml:space="preserve">изтърпяването </w:t>
      </w:r>
      <w:r w:rsidRPr="0074533B">
        <w:rPr>
          <w:rStyle w:val="ECHRPara"/>
        </w:rPr>
        <w:t>на ефективн</w:t>
      </w:r>
      <w:r w:rsidR="00E40CDA">
        <w:rPr>
          <w:rStyle w:val="ECHRPara"/>
        </w:rPr>
        <w:t xml:space="preserve">о </w:t>
      </w:r>
      <w:r w:rsidR="00E919E8">
        <w:rPr>
          <w:rStyle w:val="ECHRPara"/>
        </w:rPr>
        <w:t>изтърпявани наказания</w:t>
      </w:r>
      <w:r>
        <w:rPr>
          <w:rStyle w:val="ECHRPara"/>
        </w:rPr>
        <w:t xml:space="preserve"> в случа</w:t>
      </w:r>
      <w:r w:rsidR="003752E1">
        <w:rPr>
          <w:rStyle w:val="ECHRPara"/>
        </w:rPr>
        <w:t>ите</w:t>
      </w:r>
      <w:r>
        <w:rPr>
          <w:rStyle w:val="ECHRPara"/>
        </w:rPr>
        <w:t xml:space="preserve"> на предсрочно освобождаване и намаляване на</w:t>
      </w:r>
      <w:r w:rsidR="008F5E44">
        <w:rPr>
          <w:rStyle w:val="ECHRPara"/>
        </w:rPr>
        <w:t xml:space="preserve"> срока на</w:t>
      </w:r>
      <w:r>
        <w:rPr>
          <w:rStyle w:val="ECHRPara"/>
        </w:rPr>
        <w:t xml:space="preserve"> </w:t>
      </w:r>
      <w:r w:rsidR="008F5E44">
        <w:rPr>
          <w:rStyle w:val="ECHRPara"/>
        </w:rPr>
        <w:t>наказанието</w:t>
      </w:r>
      <w:r>
        <w:rPr>
          <w:rStyle w:val="ECHRPara"/>
        </w:rPr>
        <w:t xml:space="preserve">, макар и условно, би имало </w:t>
      </w:r>
      <w:r w:rsidRPr="0074533B">
        <w:rPr>
          <w:rStyle w:val="ECHRPara"/>
        </w:rPr>
        <w:t>правно</w:t>
      </w:r>
      <w:r w:rsidR="00AB652D" w:rsidRPr="00567DB3">
        <w:rPr>
          <w:rStyle w:val="ECHRPara"/>
        </w:rPr>
        <w:t>то</w:t>
      </w:r>
      <w:r w:rsidRPr="0074533B">
        <w:rPr>
          <w:rStyle w:val="ECHRPara"/>
        </w:rPr>
        <w:t xml:space="preserve"> действие</w:t>
      </w:r>
      <w:r>
        <w:rPr>
          <w:rStyle w:val="ECHRPara"/>
        </w:rPr>
        <w:t xml:space="preserve"> да позволи на въпросните лица да упражнят </w:t>
      </w:r>
      <w:r w:rsidR="00AC5A3D">
        <w:rPr>
          <w:rStyle w:val="ECHRPara"/>
        </w:rPr>
        <w:t>избирателните си права</w:t>
      </w:r>
      <w:r>
        <w:rPr>
          <w:rStyle w:val="ECHRPara"/>
        </w:rPr>
        <w:t xml:space="preserve">, тъй като те в такъв случай не биха изтърпявали </w:t>
      </w:r>
      <w:r w:rsidR="00362A62">
        <w:rPr>
          <w:rStyle w:val="ECHRPara"/>
        </w:rPr>
        <w:t>наказания</w:t>
      </w:r>
      <w:r>
        <w:rPr>
          <w:rStyle w:val="ECHRPara"/>
        </w:rPr>
        <w:t xml:space="preserve"> лишаване от свобода. И накрая, освобождаване може да бъде постигнато в резултат на амнистия или пълно или частично помилване (вж. параграфи 19-20 по-горе).</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45</w:t>
      </w:r>
      <w:r>
        <w:fldChar w:fldCharType="end"/>
      </w:r>
      <w:r>
        <w:rPr>
          <w:rStyle w:val="ECHRPara"/>
        </w:rPr>
        <w:t>.  </w:t>
      </w:r>
      <w:r w:rsidR="004778C3">
        <w:rPr>
          <w:rStyle w:val="ECHRPara"/>
        </w:rPr>
        <w:t>Според позицията</w:t>
      </w:r>
      <w:r>
        <w:rPr>
          <w:rStyle w:val="ECHRPara"/>
        </w:rPr>
        <w:t xml:space="preserve"> Правителството, горе</w:t>
      </w:r>
      <w:r w:rsidR="004778C3">
        <w:rPr>
          <w:rStyle w:val="ECHRPara"/>
        </w:rPr>
        <w:t>посочените</w:t>
      </w:r>
      <w:r>
        <w:rPr>
          <w:rStyle w:val="ECHRPara"/>
        </w:rPr>
        <w:t xml:space="preserve"> правни механизми за намаляване </w:t>
      </w:r>
      <w:r w:rsidR="00F70D29">
        <w:rPr>
          <w:rStyle w:val="ECHRPara"/>
        </w:rPr>
        <w:t>срока на наказанието</w:t>
      </w:r>
      <w:r>
        <w:rPr>
          <w:rStyle w:val="ECHRPara"/>
        </w:rPr>
        <w:t xml:space="preserve"> представляват ефективни средства за защита, които позволяват предсрочно възстановяване на </w:t>
      </w:r>
      <w:r w:rsidR="00F70D29">
        <w:rPr>
          <w:rStyle w:val="ECHRPara"/>
        </w:rPr>
        <w:t>избирателното право</w:t>
      </w:r>
      <w:r>
        <w:rPr>
          <w:rStyle w:val="ECHRPara"/>
        </w:rPr>
        <w:t xml:space="preserve">; това от своя страна </w:t>
      </w:r>
      <w:r w:rsidR="00104E3A">
        <w:rPr>
          <w:rStyle w:val="ECHRPara"/>
        </w:rPr>
        <w:t>доказва</w:t>
      </w:r>
      <w:r>
        <w:rPr>
          <w:rStyle w:val="ECHRPara"/>
        </w:rPr>
        <w:t xml:space="preserve">, че </w:t>
      </w:r>
      <w:r w:rsidRPr="0074533B">
        <w:rPr>
          <w:rStyle w:val="ECHRPara"/>
        </w:rPr>
        <w:t xml:space="preserve">българската </w:t>
      </w:r>
      <w:r w:rsidR="008B7D3D">
        <w:rPr>
          <w:rStyle w:val="ECHRPara"/>
        </w:rPr>
        <w:t>наказателно правна система</w:t>
      </w:r>
      <w:r>
        <w:rPr>
          <w:rStyle w:val="ECHRPara"/>
        </w:rPr>
        <w:t xml:space="preserve"> </w:t>
      </w:r>
      <w:r w:rsidR="00104E3A">
        <w:rPr>
          <w:rStyle w:val="ECHRPara"/>
        </w:rPr>
        <w:t xml:space="preserve">притежава  определена </w:t>
      </w:r>
      <w:r>
        <w:rPr>
          <w:rStyle w:val="ECHRPara"/>
        </w:rPr>
        <w:t>степен на гъвкавост, както се изисква от Конвенцията.</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46</w:t>
      </w:r>
      <w:r>
        <w:fldChar w:fldCharType="end"/>
      </w:r>
      <w:r>
        <w:rPr>
          <w:rStyle w:val="ECHRPara"/>
        </w:rPr>
        <w:t xml:space="preserve">.  По отношение на втория жалбоподател, Правителството посочва, че </w:t>
      </w:r>
      <w:r w:rsidR="00F67B34">
        <w:rPr>
          <w:rStyle w:val="ECHRPara"/>
        </w:rPr>
        <w:t>наказанието</w:t>
      </w:r>
      <w:r w:rsidR="00CA11AF">
        <w:rPr>
          <w:rStyle w:val="ECHRPara"/>
        </w:rPr>
        <w:t xml:space="preserve"> </w:t>
      </w:r>
      <w:r>
        <w:rPr>
          <w:rStyle w:val="ECHRPara"/>
        </w:rPr>
        <w:t>доживотен затвор може да бъде заменена с наказание лишаване от свобода за срок от тридесет години (вж. параграф 22 по-горе).</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47</w:t>
      </w:r>
      <w:r>
        <w:fldChar w:fldCharType="end"/>
      </w:r>
      <w:r>
        <w:rPr>
          <w:rStyle w:val="ECHRPara"/>
        </w:rPr>
        <w:t>.  Жалбоподателите оспорват горните аргументи.</w:t>
      </w:r>
    </w:p>
    <w:p w:rsidR="00FA6179" w:rsidRPr="005E3909" w:rsidRDefault="00FA6179" w:rsidP="00FA6179">
      <w:pPr>
        <w:pStyle w:val="ECHRHeading2"/>
      </w:pPr>
      <w:r>
        <w:rPr>
          <w:rStyle w:val="ECHRHeading2"/>
        </w:rPr>
        <w:t>Б. Преценка на Съда</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48</w:t>
      </w:r>
      <w:r>
        <w:fldChar w:fldCharType="end"/>
      </w:r>
      <w:r>
        <w:rPr>
          <w:rStyle w:val="ECHRPara"/>
        </w:rPr>
        <w:t>.  Съдът на първо място отбелязва, че това оплакване е свързано с разгледаното по-горе и също трябва да бъде обявено за допустимо.</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49</w:t>
      </w:r>
      <w:r>
        <w:fldChar w:fldCharType="end"/>
      </w:r>
      <w:r>
        <w:rPr>
          <w:rStyle w:val="ECHRPara"/>
        </w:rPr>
        <w:t xml:space="preserve">.  Съдът след това припомня, че вече е приел, че чл. 13 не достига </w:t>
      </w:r>
      <w:r w:rsidRPr="0074533B">
        <w:rPr>
          <w:rStyle w:val="ECHRPara"/>
        </w:rPr>
        <w:t>дотам</w:t>
      </w:r>
      <w:r>
        <w:rPr>
          <w:rStyle w:val="ECHRPara"/>
        </w:rPr>
        <w:t xml:space="preserve">, че да гарантира средство за защита, позволяващо законите на </w:t>
      </w:r>
      <w:proofErr w:type="spellStart"/>
      <w:r>
        <w:rPr>
          <w:rStyle w:val="ECHRPara"/>
        </w:rPr>
        <w:t>Високодоговаряща</w:t>
      </w:r>
      <w:proofErr w:type="spellEnd"/>
      <w:r>
        <w:rPr>
          <w:rStyle w:val="ECHRPara"/>
        </w:rPr>
        <w:t xml:space="preserve"> страна като такива да бъдат оспорвани пред </w:t>
      </w:r>
      <w:r w:rsidRPr="0074533B">
        <w:rPr>
          <w:rStyle w:val="ECHRPara"/>
        </w:rPr>
        <w:t>национален</w:t>
      </w:r>
      <w:r>
        <w:rPr>
          <w:rStyle w:val="ECHRPara"/>
        </w:rPr>
        <w:t xml:space="preserve"> орган на основание, че са в противоречие с Конвенцията или с еквивалентни вътрешни правни норми (вж. </w:t>
      </w:r>
      <w:proofErr w:type="spellStart"/>
      <w:r>
        <w:rPr>
          <w:rStyle w:val="ECHRPara"/>
          <w:i/>
        </w:rPr>
        <w:t>Greens</w:t>
      </w:r>
      <w:proofErr w:type="spellEnd"/>
      <w:r>
        <w:rPr>
          <w:rStyle w:val="ECHRPara"/>
          <w:i/>
        </w:rPr>
        <w:t xml:space="preserve"> and M.T. v. </w:t>
      </w:r>
      <w:proofErr w:type="spellStart"/>
      <w:r>
        <w:rPr>
          <w:rStyle w:val="ECHRPara"/>
          <w:i/>
        </w:rPr>
        <w:t>the</w:t>
      </w:r>
      <w:proofErr w:type="spellEnd"/>
      <w:r>
        <w:rPr>
          <w:rStyle w:val="ECHRPara"/>
          <w:i/>
        </w:rPr>
        <w:t xml:space="preserve"> </w:t>
      </w:r>
      <w:proofErr w:type="spellStart"/>
      <w:r>
        <w:rPr>
          <w:rStyle w:val="ECHRPara"/>
          <w:i/>
        </w:rPr>
        <w:t>United</w:t>
      </w:r>
      <w:proofErr w:type="spellEnd"/>
      <w:r>
        <w:rPr>
          <w:rStyle w:val="ECHRPara"/>
          <w:i/>
        </w:rPr>
        <w:t xml:space="preserve"> </w:t>
      </w:r>
      <w:proofErr w:type="spellStart"/>
      <w:r>
        <w:rPr>
          <w:rStyle w:val="ECHRPara"/>
          <w:i/>
        </w:rPr>
        <w:t>Kingdom</w:t>
      </w:r>
      <w:proofErr w:type="spellEnd"/>
      <w:r>
        <w:rPr>
          <w:rStyle w:val="ECHRPara"/>
        </w:rPr>
        <w:t xml:space="preserve">, </w:t>
      </w:r>
      <w:r>
        <w:rPr>
          <w:rStyle w:val="ECHRPara"/>
          <w:cs/>
        </w:rPr>
        <w:t xml:space="preserve">№ </w:t>
      </w:r>
      <w:r>
        <w:rPr>
          <w:rStyle w:val="ECHRPara"/>
        </w:rPr>
        <w:t>60041/08 и 60054/08, §§ 90-92, ЕСПЧ 2010 г. (</w:t>
      </w:r>
      <w:r w:rsidR="003B04FD">
        <w:rPr>
          <w:rStyle w:val="ECHRPara"/>
        </w:rPr>
        <w:t>извадки</w:t>
      </w:r>
      <w:r>
        <w:rPr>
          <w:rStyle w:val="ECHRPara"/>
        </w:rPr>
        <w:t xml:space="preserve">), и </w:t>
      </w:r>
      <w:proofErr w:type="spellStart"/>
      <w:r>
        <w:rPr>
          <w:rStyle w:val="ECHRPara"/>
          <w:i/>
        </w:rPr>
        <w:t>Szabó</w:t>
      </w:r>
      <w:proofErr w:type="spellEnd"/>
      <w:r>
        <w:rPr>
          <w:rStyle w:val="ECHRPara"/>
          <w:i/>
        </w:rPr>
        <w:t xml:space="preserve"> and </w:t>
      </w:r>
      <w:proofErr w:type="spellStart"/>
      <w:r>
        <w:rPr>
          <w:rStyle w:val="ECHRPara"/>
          <w:i/>
        </w:rPr>
        <w:t>Vissy</w:t>
      </w:r>
      <w:proofErr w:type="spellEnd"/>
      <w:r>
        <w:rPr>
          <w:rStyle w:val="ECHRPara"/>
          <w:i/>
        </w:rPr>
        <w:t xml:space="preserve"> v. </w:t>
      </w:r>
      <w:proofErr w:type="spellStart"/>
      <w:r>
        <w:rPr>
          <w:rStyle w:val="ECHRPara"/>
          <w:i/>
        </w:rPr>
        <w:t>Hungary</w:t>
      </w:r>
      <w:proofErr w:type="spellEnd"/>
      <w:r>
        <w:rPr>
          <w:rStyle w:val="ECHRPara"/>
        </w:rPr>
        <w:t xml:space="preserve">, </w:t>
      </w:r>
      <w:r>
        <w:rPr>
          <w:rStyle w:val="ECHRPara"/>
          <w:cs/>
        </w:rPr>
        <w:t>№</w:t>
      </w:r>
      <w:r>
        <w:rPr>
          <w:rStyle w:val="ECHRPara"/>
        </w:rPr>
        <w:t> 37138/14, § 93, 12 януари 2016 г., и цитираните там решения).</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50</w:t>
      </w:r>
      <w:r>
        <w:fldChar w:fldCharType="end"/>
      </w:r>
      <w:r>
        <w:rPr>
          <w:rStyle w:val="ECHRPara"/>
        </w:rPr>
        <w:t xml:space="preserve">.  В настоящия случай Съдът констатира нарушение на чл. 3 от Протокол </w:t>
      </w:r>
      <w:r>
        <w:rPr>
          <w:rStyle w:val="ECHRPara"/>
          <w:cs/>
        </w:rPr>
        <w:t xml:space="preserve">№ </w:t>
      </w:r>
      <w:r>
        <w:rPr>
          <w:rStyle w:val="ECHRPara"/>
        </w:rPr>
        <w:t>1 в резултат на това, че жалбоподателите са били лишени от право</w:t>
      </w:r>
      <w:r w:rsidR="00D46EA8">
        <w:rPr>
          <w:rStyle w:val="ECHRPara"/>
        </w:rPr>
        <w:t xml:space="preserve"> на глас</w:t>
      </w:r>
      <w:r>
        <w:rPr>
          <w:rStyle w:val="ECHRPara"/>
        </w:rPr>
        <w:t xml:space="preserve"> по силата на чл. 42</w:t>
      </w:r>
      <w:r w:rsidR="00D46EA8">
        <w:rPr>
          <w:rStyle w:val="ECHRPara"/>
        </w:rPr>
        <w:t>, ал.1</w:t>
      </w:r>
      <w:r>
        <w:rPr>
          <w:rStyle w:val="ECHRPara"/>
        </w:rPr>
        <w:t xml:space="preserve"> от  Конституция </w:t>
      </w:r>
      <w:r w:rsidR="00D46EA8">
        <w:rPr>
          <w:rStyle w:val="ECHRPara"/>
        </w:rPr>
        <w:t xml:space="preserve">на Република България </w:t>
      </w:r>
      <w:r>
        <w:rPr>
          <w:rStyle w:val="ECHRPara"/>
        </w:rPr>
        <w:t xml:space="preserve">и съответните разпоредби на законодателството на </w:t>
      </w:r>
      <w:r w:rsidR="00D34258">
        <w:rPr>
          <w:rStyle w:val="ECHRPara"/>
        </w:rPr>
        <w:t>българските парламентарни избори</w:t>
      </w:r>
      <w:r>
        <w:rPr>
          <w:rStyle w:val="ECHRPara"/>
        </w:rPr>
        <w:t xml:space="preserve"> и </w:t>
      </w:r>
      <w:r w:rsidR="00D34258">
        <w:rPr>
          <w:rStyle w:val="ECHRPara"/>
        </w:rPr>
        <w:t xml:space="preserve">избори </w:t>
      </w:r>
      <w:r>
        <w:rPr>
          <w:rStyle w:val="ECHRPara"/>
        </w:rPr>
        <w:t>за Европейски парламент (вж. параграфи 12 и 15 по-горе).</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51</w:t>
      </w:r>
      <w:r>
        <w:fldChar w:fldCharType="end"/>
      </w:r>
      <w:r>
        <w:rPr>
          <w:rStyle w:val="ECHRPara"/>
        </w:rPr>
        <w:t>.  Съдът следователно достига до заключението, че не е налице нарушение на чл. 13.</w:t>
      </w:r>
    </w:p>
    <w:p w:rsidR="00FA6179" w:rsidRPr="005E3909" w:rsidRDefault="00FA6179" w:rsidP="00FA6179">
      <w:pPr>
        <w:pStyle w:val="ECHRHeading1"/>
      </w:pPr>
      <w:r>
        <w:rPr>
          <w:rStyle w:val="ECHRHeading1"/>
        </w:rPr>
        <w:t>III.  </w:t>
      </w:r>
      <w:r w:rsidRPr="0074533B">
        <w:rPr>
          <w:rStyle w:val="ECHRHeading1"/>
        </w:rPr>
        <w:t>ПРИЛАГАНЕ НА ЧЛЕН 41 ОТ КОНВЕНЦИЯТА</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52</w:t>
      </w:r>
      <w:r>
        <w:fldChar w:fldCharType="end"/>
      </w:r>
      <w:r>
        <w:rPr>
          <w:rStyle w:val="ECHRPara"/>
        </w:rPr>
        <w:t>.  Чл. 41 от Конвенцията гласи:</w:t>
      </w:r>
    </w:p>
    <w:p w:rsidR="00FA6179" w:rsidRPr="005E3909" w:rsidRDefault="00FA6179" w:rsidP="00FA6179">
      <w:pPr>
        <w:pStyle w:val="ECHRParaQuote"/>
        <w:keepNext/>
        <w:keepLines/>
      </w:pPr>
      <w:r>
        <w:rPr>
          <w:rStyle w:val="ECHRParaQuote"/>
          <w:cs/>
        </w:rPr>
        <w:t>“</w:t>
      </w:r>
      <w:r>
        <w:rPr>
          <w:rStyle w:val="ECHRParaQuote"/>
        </w:rPr>
        <w:t xml:space="preserve">Ако Съдът установи нарушение на Конвенцията или на Протоколите към нея и ако вътрешното право на съответната </w:t>
      </w:r>
      <w:proofErr w:type="spellStart"/>
      <w:r>
        <w:rPr>
          <w:rStyle w:val="ECHRParaQuote"/>
        </w:rPr>
        <w:t>Високодоговаряща</w:t>
      </w:r>
      <w:proofErr w:type="spellEnd"/>
      <w:r>
        <w:rPr>
          <w:rStyle w:val="ECHRParaQuote"/>
        </w:rP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r>
        <w:rPr>
          <w:rStyle w:val="ECHRParaQuote"/>
          <w:cs/>
        </w:rPr>
        <w:t>”</w:t>
      </w:r>
    </w:p>
    <w:p w:rsidR="00FA6179" w:rsidRPr="005E3909" w:rsidRDefault="00FA6179" w:rsidP="00FA6179">
      <w:pPr>
        <w:pStyle w:val="ECHRHeading2"/>
      </w:pPr>
      <w:r>
        <w:rPr>
          <w:rStyle w:val="ECHRHeading2"/>
        </w:rPr>
        <w:t>А. Обезщетение за вреди</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53</w:t>
      </w:r>
      <w:r>
        <w:fldChar w:fldCharType="end"/>
      </w:r>
      <w:r>
        <w:rPr>
          <w:rStyle w:val="ECHRPara"/>
        </w:rPr>
        <w:t xml:space="preserve">.  Г-н </w:t>
      </w:r>
      <w:proofErr w:type="spellStart"/>
      <w:r>
        <w:rPr>
          <w:rStyle w:val="ECHRPara"/>
        </w:rPr>
        <w:t>Кулински</w:t>
      </w:r>
      <w:proofErr w:type="spellEnd"/>
      <w:r>
        <w:rPr>
          <w:rStyle w:val="ECHRPara"/>
        </w:rPr>
        <w:t xml:space="preserve"> претендира 2000 евро  по отношение на неимуществени вреди, а г-н Събев претендира 5000 евро по отношение на неимуществени вреди.</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54</w:t>
      </w:r>
      <w:r>
        <w:fldChar w:fldCharType="end"/>
      </w:r>
      <w:r>
        <w:rPr>
          <w:rStyle w:val="ECHRPara"/>
        </w:rPr>
        <w:t xml:space="preserve">.  Правителството смята, че и двете претенции са необосновани и </w:t>
      </w:r>
      <w:r w:rsidR="00E40C89">
        <w:rPr>
          <w:rStyle w:val="ECHRPara"/>
        </w:rPr>
        <w:t>прекомерни</w:t>
      </w:r>
      <w:r>
        <w:rPr>
          <w:rStyle w:val="ECHRPara"/>
        </w:rPr>
        <w:t>.</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55</w:t>
      </w:r>
      <w:r>
        <w:fldChar w:fldCharType="end"/>
      </w:r>
      <w:r>
        <w:rPr>
          <w:rStyle w:val="ECHRPara"/>
        </w:rPr>
        <w:t xml:space="preserve">.  Като взема предвид обстоятелствата по настоящото дело, Съдът счита, че установяването на нарушение представлява достатъчно справедливо обезщетение в конкретния случай за каквито и да било неимуществени вреди, претърпени от жалбоподателите (вж. </w:t>
      </w:r>
      <w:proofErr w:type="spellStart"/>
      <w:r>
        <w:rPr>
          <w:rStyle w:val="ECHRPara"/>
          <w:i/>
        </w:rPr>
        <w:t>Hirst</w:t>
      </w:r>
      <w:proofErr w:type="spellEnd"/>
      <w:r>
        <w:rPr>
          <w:rStyle w:val="ECHRPara"/>
          <w:i/>
        </w:rPr>
        <w:t xml:space="preserve"> (</w:t>
      </w:r>
      <w:proofErr w:type="spellStart"/>
      <w:r>
        <w:rPr>
          <w:rStyle w:val="ECHRPara"/>
          <w:i/>
        </w:rPr>
        <w:t>no</w:t>
      </w:r>
      <w:proofErr w:type="spellEnd"/>
      <w:r>
        <w:rPr>
          <w:rStyle w:val="ECHRPara"/>
          <w:i/>
        </w:rPr>
        <w:t>. 2)</w:t>
      </w:r>
      <w:r>
        <w:rPr>
          <w:rStyle w:val="ECHRPara"/>
        </w:rPr>
        <w:t xml:space="preserve"> [GC], цитирано по-горе, §§ 93-94;. </w:t>
      </w:r>
      <w:proofErr w:type="spellStart"/>
      <w:r>
        <w:rPr>
          <w:rStyle w:val="ECHRPara"/>
          <w:i/>
        </w:rPr>
        <w:t>Greens</w:t>
      </w:r>
      <w:proofErr w:type="spellEnd"/>
      <w:r>
        <w:rPr>
          <w:rStyle w:val="ECHRPara"/>
          <w:i/>
        </w:rPr>
        <w:t xml:space="preserve"> and M.T. v. </w:t>
      </w:r>
      <w:proofErr w:type="spellStart"/>
      <w:r>
        <w:rPr>
          <w:rStyle w:val="ECHRPara"/>
          <w:i/>
        </w:rPr>
        <w:t>the</w:t>
      </w:r>
      <w:proofErr w:type="spellEnd"/>
      <w:r>
        <w:rPr>
          <w:rStyle w:val="ECHRPara"/>
          <w:i/>
        </w:rPr>
        <w:t xml:space="preserve"> </w:t>
      </w:r>
      <w:proofErr w:type="spellStart"/>
      <w:r>
        <w:rPr>
          <w:rStyle w:val="ECHRPara"/>
          <w:i/>
        </w:rPr>
        <w:t>United</w:t>
      </w:r>
      <w:proofErr w:type="spellEnd"/>
      <w:r>
        <w:rPr>
          <w:rStyle w:val="ECHRPara"/>
          <w:i/>
        </w:rPr>
        <w:t xml:space="preserve"> </w:t>
      </w:r>
      <w:proofErr w:type="spellStart"/>
      <w:r>
        <w:rPr>
          <w:rStyle w:val="ECHRPara"/>
          <w:i/>
        </w:rPr>
        <w:t>Kingdom</w:t>
      </w:r>
      <w:proofErr w:type="spellEnd"/>
      <w:r>
        <w:rPr>
          <w:rStyle w:val="ECHRPara"/>
        </w:rPr>
        <w:t xml:space="preserve">, </w:t>
      </w:r>
      <w:r>
        <w:rPr>
          <w:rStyle w:val="ECHRPara"/>
          <w:cs/>
        </w:rPr>
        <w:t xml:space="preserve">№ </w:t>
      </w:r>
      <w:r>
        <w:rPr>
          <w:rStyle w:val="ECHRPara"/>
        </w:rPr>
        <w:t>60041/08 и 60054/08, § 98, ЕСПЧ 2010 г. (</w:t>
      </w:r>
      <w:r w:rsidR="00E40C89">
        <w:rPr>
          <w:rStyle w:val="ECHRPara"/>
        </w:rPr>
        <w:t>извадки</w:t>
      </w:r>
      <w:r>
        <w:rPr>
          <w:rStyle w:val="ECHRPara"/>
        </w:rPr>
        <w:t xml:space="preserve">); и </w:t>
      </w:r>
      <w:proofErr w:type="spellStart"/>
      <w:r>
        <w:rPr>
          <w:rStyle w:val="ECHRPara"/>
          <w:i/>
        </w:rPr>
        <w:t>Anchugov</w:t>
      </w:r>
      <w:proofErr w:type="spellEnd"/>
      <w:r>
        <w:rPr>
          <w:rStyle w:val="ECHRPara"/>
          <w:i/>
        </w:rPr>
        <w:t xml:space="preserve"> and </w:t>
      </w:r>
      <w:proofErr w:type="spellStart"/>
      <w:r>
        <w:rPr>
          <w:rStyle w:val="ECHRPara"/>
          <w:i/>
        </w:rPr>
        <w:t>Gladkov</w:t>
      </w:r>
      <w:proofErr w:type="spellEnd"/>
      <w:r>
        <w:rPr>
          <w:rStyle w:val="ECHRPara"/>
        </w:rPr>
        <w:t>, цитирано по-горе, § 122).</w:t>
      </w:r>
    </w:p>
    <w:p w:rsidR="00FA6179" w:rsidRPr="005E3909" w:rsidRDefault="00FA6179" w:rsidP="00FA6179">
      <w:pPr>
        <w:pStyle w:val="ECHRHeading2"/>
      </w:pPr>
      <w:r>
        <w:rPr>
          <w:rStyle w:val="ECHRHeading2"/>
        </w:rPr>
        <w:t>Б. Разходи и разноски</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56</w:t>
      </w:r>
      <w:r>
        <w:fldChar w:fldCharType="end"/>
      </w:r>
      <w:r>
        <w:rPr>
          <w:rStyle w:val="ECHRPara"/>
        </w:rPr>
        <w:t xml:space="preserve">.  Жалбоподателите претендират също </w:t>
      </w:r>
      <w:r w:rsidR="00B83CF5">
        <w:rPr>
          <w:rStyle w:val="ECHRPara"/>
        </w:rPr>
        <w:t>възстановяване на</w:t>
      </w:r>
      <w:r>
        <w:rPr>
          <w:rStyle w:val="ECHRPara"/>
        </w:rPr>
        <w:t xml:space="preserve"> 2 727 евро за разходите и разноските, направени пред Съда. Те </w:t>
      </w:r>
      <w:r w:rsidRPr="0074533B">
        <w:rPr>
          <w:rStyle w:val="ECHRPara"/>
        </w:rPr>
        <w:t>молят</w:t>
      </w:r>
      <w:r>
        <w:rPr>
          <w:rStyle w:val="ECHRPara"/>
        </w:rPr>
        <w:t xml:space="preserve"> тази сума да бъде изплатена директно по банковата сметка на Българския хелзинкски комитет.</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57</w:t>
      </w:r>
      <w:r>
        <w:fldChar w:fldCharType="end"/>
      </w:r>
      <w:r>
        <w:rPr>
          <w:rStyle w:val="ECHRPara"/>
        </w:rPr>
        <w:t xml:space="preserve">.  Правителството смята, че тези претенции са </w:t>
      </w:r>
      <w:r w:rsidR="001465C4">
        <w:rPr>
          <w:rStyle w:val="ECHRPara"/>
        </w:rPr>
        <w:t xml:space="preserve">прекомерни </w:t>
      </w:r>
      <w:r>
        <w:rPr>
          <w:rStyle w:val="ECHRPara"/>
        </w:rPr>
        <w:t>и необосновани.</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58</w:t>
      </w:r>
      <w:r>
        <w:fldChar w:fldCharType="end"/>
      </w:r>
      <w:r>
        <w:rPr>
          <w:rStyle w:val="ECHRPara"/>
        </w:rPr>
        <w:t>.  </w:t>
      </w:r>
      <w:r w:rsidR="006763B2">
        <w:rPr>
          <w:rStyle w:val="ECHRPara"/>
        </w:rPr>
        <w:t xml:space="preserve">Съгласно </w:t>
      </w:r>
      <w:r>
        <w:rPr>
          <w:rStyle w:val="ECHRPara"/>
        </w:rPr>
        <w:t xml:space="preserve">съдебната практика на Съда, жалбоподателят има право на възстановяване на разходи и разноски само </w:t>
      </w:r>
      <w:r w:rsidR="006763B2">
        <w:rPr>
          <w:rStyle w:val="ECHRPara"/>
        </w:rPr>
        <w:t>в случай, че може да бъде</w:t>
      </w:r>
      <w:r>
        <w:rPr>
          <w:rStyle w:val="ECHRPara"/>
        </w:rPr>
        <w:t xml:space="preserve"> доказано, че те са били действително</w:t>
      </w:r>
      <w:r w:rsidR="006763B2">
        <w:rPr>
          <w:rStyle w:val="ECHRPara"/>
        </w:rPr>
        <w:t xml:space="preserve"> направени</w:t>
      </w:r>
      <w:r>
        <w:rPr>
          <w:rStyle w:val="ECHRPara"/>
        </w:rPr>
        <w:t xml:space="preserve"> и </w:t>
      </w:r>
      <w:r w:rsidR="006763B2">
        <w:rPr>
          <w:rStyle w:val="ECHRPara"/>
        </w:rPr>
        <w:t xml:space="preserve">нужни </w:t>
      </w:r>
      <w:r>
        <w:rPr>
          <w:rStyle w:val="ECHRPara"/>
        </w:rPr>
        <w:t xml:space="preserve">и </w:t>
      </w:r>
      <w:r w:rsidR="006763B2">
        <w:rPr>
          <w:rStyle w:val="ECHRPara"/>
        </w:rPr>
        <w:t xml:space="preserve">разумни като </w:t>
      </w:r>
      <w:r>
        <w:rPr>
          <w:rStyle w:val="ECHRPara"/>
        </w:rPr>
        <w:t>размер.</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59</w:t>
      </w:r>
      <w:r>
        <w:fldChar w:fldCharType="end"/>
      </w:r>
      <w:r>
        <w:rPr>
          <w:rStyle w:val="ECHRPara"/>
        </w:rPr>
        <w:t>.  По отношение на разходите и разноските, направени пред този Съд, като се имат предвид документите, с които разполага, и горните критерии, Съдът счита за разумно да присъди сумата от 2 727 евро.</w:t>
      </w:r>
    </w:p>
    <w:p w:rsidR="00FA6179" w:rsidRPr="005E3909" w:rsidRDefault="00FA6179" w:rsidP="00FA6179">
      <w:pPr>
        <w:pStyle w:val="ECHRHeading2"/>
      </w:pPr>
      <w:r>
        <w:rPr>
          <w:rStyle w:val="ECHRHeading2"/>
        </w:rPr>
        <w:t>В. Лихва за забава</w:t>
      </w:r>
    </w:p>
    <w:p w:rsidR="00FA6179" w:rsidRPr="005E3909" w:rsidRDefault="00FA6179" w:rsidP="00FA6179">
      <w:pPr>
        <w:pStyle w:val="ECHRPara"/>
      </w:pPr>
      <w:r>
        <w:fldChar w:fldCharType="begin"/>
      </w:r>
      <w:r>
        <w:rPr>
          <w:rStyle w:val="ECHRPara"/>
        </w:rPr>
        <w:instrText xml:space="preserve"> SEQ level0 \*arabic </w:instrText>
      </w:r>
      <w:r>
        <w:fldChar w:fldCharType="separate"/>
      </w:r>
      <w:r>
        <w:rPr>
          <w:rStyle w:val="ECHRPara"/>
        </w:rPr>
        <w:t>60</w:t>
      </w:r>
      <w:r>
        <w:fldChar w:fldCharType="end"/>
      </w:r>
      <w:r>
        <w:rPr>
          <w:rStyle w:val="ECHRPara"/>
        </w:rPr>
        <w:t xml:space="preserve">.  Съдът счита за уместно лихвата за забава да </w:t>
      </w:r>
      <w:r w:rsidR="006763B2">
        <w:rPr>
          <w:rStyle w:val="ECHRPara"/>
        </w:rPr>
        <w:t>се основава на лихвения процент</w:t>
      </w:r>
      <w:r>
        <w:rPr>
          <w:rStyle w:val="ECHRPara"/>
        </w:rPr>
        <w:t xml:space="preserve"> по заеми на Европейската централна банка, към ко</w:t>
      </w:r>
      <w:r w:rsidR="006763B2">
        <w:rPr>
          <w:rStyle w:val="ECHRPara"/>
        </w:rPr>
        <w:t>и</w:t>
      </w:r>
      <w:r>
        <w:rPr>
          <w:rStyle w:val="ECHRPara"/>
        </w:rPr>
        <w:t xml:space="preserve">то </w:t>
      </w:r>
      <w:r w:rsidR="006763B2">
        <w:rPr>
          <w:rStyle w:val="ECHRPara"/>
        </w:rPr>
        <w:t xml:space="preserve">следва да се </w:t>
      </w:r>
      <w:r>
        <w:rPr>
          <w:rStyle w:val="ECHRPara"/>
        </w:rPr>
        <w:t>добавят три процентни пункта.</w:t>
      </w:r>
    </w:p>
    <w:p w:rsidR="00FA6179" w:rsidRPr="005E3909" w:rsidRDefault="00FA6179" w:rsidP="00FA6179">
      <w:pPr>
        <w:pStyle w:val="ECHRTitle1"/>
      </w:pPr>
      <w:r>
        <w:rPr>
          <w:rStyle w:val="ECHRTitle1"/>
        </w:rPr>
        <w:t>ПО ТЕЗИ СЪОБРАЖЕНИЯ СЪДЪТ ЕДИНОДУШНО</w:t>
      </w:r>
    </w:p>
    <w:p w:rsidR="00FA6179" w:rsidRPr="005E3909" w:rsidRDefault="00FA6179" w:rsidP="00FA6179">
      <w:pPr>
        <w:pStyle w:val="JuList"/>
      </w:pPr>
      <w:r>
        <w:rPr>
          <w:rStyle w:val="JuList"/>
        </w:rPr>
        <w:t>1.  </w:t>
      </w:r>
      <w:r>
        <w:rPr>
          <w:rStyle w:val="JuList"/>
          <w:i/>
        </w:rPr>
        <w:t>Обявява</w:t>
      </w:r>
      <w:r>
        <w:rPr>
          <w:rStyle w:val="JuList"/>
        </w:rPr>
        <w:t xml:space="preserve"> жалбата за допустима;</w:t>
      </w:r>
    </w:p>
    <w:p w:rsidR="00FA6179" w:rsidRPr="005E3909" w:rsidRDefault="00FA6179" w:rsidP="00FA6179">
      <w:pPr>
        <w:pStyle w:val="JuList"/>
        <w:ind w:left="0" w:firstLine="0"/>
      </w:pPr>
    </w:p>
    <w:p w:rsidR="00FA6179" w:rsidRPr="005E3909" w:rsidRDefault="00FA6179" w:rsidP="00FA6179">
      <w:pPr>
        <w:pStyle w:val="JuList"/>
      </w:pPr>
      <w:r>
        <w:rPr>
          <w:rStyle w:val="JuList"/>
        </w:rPr>
        <w:t>2.  </w:t>
      </w:r>
      <w:r>
        <w:rPr>
          <w:rStyle w:val="JuList"/>
          <w:i/>
        </w:rPr>
        <w:t>Приема</w:t>
      </w:r>
      <w:r>
        <w:rPr>
          <w:rStyle w:val="JuList"/>
        </w:rPr>
        <w:t xml:space="preserve">, че е налице нарушение на чл. 3 от Протокол </w:t>
      </w:r>
      <w:r>
        <w:rPr>
          <w:rStyle w:val="JuList"/>
          <w:cs/>
        </w:rPr>
        <w:t xml:space="preserve">№ </w:t>
      </w:r>
      <w:r>
        <w:rPr>
          <w:rStyle w:val="JuList"/>
        </w:rPr>
        <w:t>1 от Конвенцията;</w:t>
      </w:r>
    </w:p>
    <w:p w:rsidR="00FA6179" w:rsidRPr="005E3909" w:rsidRDefault="00FA6179" w:rsidP="00FA6179">
      <w:pPr>
        <w:pStyle w:val="JuList"/>
      </w:pPr>
    </w:p>
    <w:p w:rsidR="00FA6179" w:rsidRPr="005E3909" w:rsidRDefault="00FA6179" w:rsidP="00FA6179">
      <w:pPr>
        <w:pStyle w:val="JuList"/>
        <w:rPr>
          <w:i/>
        </w:rPr>
      </w:pPr>
      <w:r>
        <w:rPr>
          <w:rStyle w:val="JuList"/>
        </w:rPr>
        <w:t>3.  </w:t>
      </w:r>
      <w:r>
        <w:rPr>
          <w:rStyle w:val="JuList"/>
          <w:i/>
        </w:rPr>
        <w:t>Приема</w:t>
      </w:r>
      <w:r>
        <w:rPr>
          <w:rStyle w:val="JuList"/>
        </w:rPr>
        <w:t>, че не е налице нарушение на чл. 13 от Конвенцията;</w:t>
      </w:r>
    </w:p>
    <w:p w:rsidR="00FA6179" w:rsidRPr="005E3909" w:rsidRDefault="00FA6179" w:rsidP="00FA6179">
      <w:pPr>
        <w:pStyle w:val="JuList"/>
        <w:ind w:left="0" w:firstLine="0"/>
      </w:pPr>
    </w:p>
    <w:p w:rsidR="00FA6179" w:rsidRPr="005E3909" w:rsidRDefault="00FA6179" w:rsidP="00FA6179">
      <w:pPr>
        <w:pStyle w:val="JuList"/>
      </w:pPr>
      <w:r>
        <w:rPr>
          <w:rStyle w:val="JuList"/>
        </w:rPr>
        <w:t>4.  </w:t>
      </w:r>
      <w:r>
        <w:rPr>
          <w:rStyle w:val="JuList"/>
          <w:i/>
        </w:rPr>
        <w:t>Приема</w:t>
      </w:r>
      <w:r>
        <w:rPr>
          <w:rStyle w:val="JuList"/>
        </w:rPr>
        <w:t>, че установяването на нарушение представлява само по себе си достатъчно справедливо обезщетение за всякакви неимуществени вреди, претърпени от жалбоподателите;</w:t>
      </w:r>
    </w:p>
    <w:p w:rsidR="00FA6179" w:rsidRPr="005E3909" w:rsidRDefault="00FA6179" w:rsidP="00FA6179">
      <w:pPr>
        <w:pStyle w:val="JuList"/>
      </w:pPr>
    </w:p>
    <w:p w:rsidR="00FA6179" w:rsidRPr="005E3909" w:rsidRDefault="00FA6179" w:rsidP="00FA6179">
      <w:pPr>
        <w:pStyle w:val="JuList"/>
      </w:pPr>
      <w:r>
        <w:rPr>
          <w:rStyle w:val="JuList"/>
        </w:rPr>
        <w:t>5.  </w:t>
      </w:r>
      <w:r>
        <w:rPr>
          <w:rStyle w:val="JuList"/>
          <w:i/>
        </w:rPr>
        <w:t>Приема,</w:t>
      </w:r>
    </w:p>
    <w:p w:rsidR="00FA6179" w:rsidRPr="005E3909" w:rsidRDefault="00FA6179" w:rsidP="00FA6179">
      <w:pPr>
        <w:pStyle w:val="JuLista"/>
      </w:pPr>
      <w:r>
        <w:rPr>
          <w:rStyle w:val="JuLista"/>
        </w:rPr>
        <w:t xml:space="preserve">(а) че държавата-ответник </w:t>
      </w:r>
      <w:r w:rsidR="00A2497B">
        <w:rPr>
          <w:rStyle w:val="JuLista"/>
        </w:rPr>
        <w:t xml:space="preserve">следва </w:t>
      </w:r>
      <w:r>
        <w:rPr>
          <w:rStyle w:val="JuLista"/>
        </w:rPr>
        <w:t>да заплати на жалбоподателите в срок от три месеца</w:t>
      </w:r>
      <w:r w:rsidR="00A2497B">
        <w:rPr>
          <w:rStyle w:val="JuLista"/>
        </w:rPr>
        <w:t>, считано</w:t>
      </w:r>
      <w:r>
        <w:rPr>
          <w:rStyle w:val="JuLista"/>
        </w:rPr>
        <w:t xml:space="preserve"> от датата, на която решението стане окончателно в съответствие с чл. 44, § 2 от Конвенцията, следните суми, които се </w:t>
      </w:r>
      <w:r w:rsidR="00A2497B">
        <w:rPr>
          <w:rStyle w:val="JuLista"/>
        </w:rPr>
        <w:t xml:space="preserve">конвертират </w:t>
      </w:r>
      <w:r>
        <w:rPr>
          <w:rStyle w:val="JuLista"/>
        </w:rPr>
        <w:t>в български лева по курса към датата на плащането:</w:t>
      </w:r>
    </w:p>
    <w:p w:rsidR="00FA6179" w:rsidRPr="005E3909" w:rsidRDefault="00FA6179" w:rsidP="00FA6179">
      <w:pPr>
        <w:pStyle w:val="JuListi"/>
      </w:pPr>
      <w:r>
        <w:rPr>
          <w:rStyle w:val="JuListi"/>
        </w:rPr>
        <w:t xml:space="preserve">(ii) 2 727 </w:t>
      </w:r>
      <w:r w:rsidR="00A2497B">
        <w:rPr>
          <w:rStyle w:val="JuListi"/>
        </w:rPr>
        <w:t xml:space="preserve">евро </w:t>
      </w:r>
      <w:r>
        <w:rPr>
          <w:rStyle w:val="JuListi"/>
        </w:rPr>
        <w:t xml:space="preserve">(две хиляди седемстотин двадесет и седем евро), </w:t>
      </w:r>
      <w:r w:rsidR="00A2497B">
        <w:rPr>
          <w:rStyle w:val="JuListi"/>
        </w:rPr>
        <w:t xml:space="preserve">както и </w:t>
      </w:r>
      <w:r>
        <w:rPr>
          <w:rStyle w:val="JuListi"/>
        </w:rPr>
        <w:t xml:space="preserve">всякакви данъци, които </w:t>
      </w:r>
      <w:r w:rsidR="00DF7D74">
        <w:rPr>
          <w:rStyle w:val="JuListi"/>
        </w:rPr>
        <w:t>могат</w:t>
      </w:r>
      <w:r>
        <w:rPr>
          <w:rStyle w:val="JuListi"/>
        </w:rPr>
        <w:t xml:space="preserve"> да </w:t>
      </w:r>
      <w:r w:rsidR="00DF7D74">
        <w:rPr>
          <w:rStyle w:val="JuListi"/>
        </w:rPr>
        <w:t>бъдат наложени</w:t>
      </w:r>
      <w:r>
        <w:rPr>
          <w:rStyle w:val="JuListi"/>
        </w:rPr>
        <w:t xml:space="preserve"> на жалбоподателите, по отношение на разходи и разноски, които трябва да бъдат изплатени директно по банковата сметка на Българския хелзинкски комитет;</w:t>
      </w:r>
    </w:p>
    <w:p w:rsidR="00FA6179" w:rsidRPr="005E3909" w:rsidRDefault="00FA6179" w:rsidP="00FA6179">
      <w:pPr>
        <w:pStyle w:val="JuLista"/>
      </w:pPr>
      <w:r>
        <w:rPr>
          <w:rStyle w:val="JuLista"/>
        </w:rPr>
        <w:t xml:space="preserve">(б) че от изтичането на </w:t>
      </w:r>
      <w:proofErr w:type="spellStart"/>
      <w:r w:rsidR="00692D82">
        <w:rPr>
          <w:rStyle w:val="JuLista"/>
        </w:rPr>
        <w:t>горе</w:t>
      </w:r>
      <w:r>
        <w:rPr>
          <w:rStyle w:val="JuLista"/>
        </w:rPr>
        <w:t>упоменатия</w:t>
      </w:r>
      <w:proofErr w:type="spellEnd"/>
      <w:r>
        <w:rPr>
          <w:rStyle w:val="JuLista"/>
        </w:rPr>
        <w:t xml:space="preserve"> </w:t>
      </w:r>
      <w:r w:rsidR="00610AF5">
        <w:rPr>
          <w:rStyle w:val="JuLista"/>
        </w:rPr>
        <w:t xml:space="preserve">срок </w:t>
      </w:r>
      <w:proofErr w:type="spellStart"/>
      <w:r w:rsidR="00610AF5">
        <w:rPr>
          <w:rStyle w:val="JuLista"/>
        </w:rPr>
        <w:t>от</w:t>
      </w:r>
      <w:r w:rsidR="00692D82">
        <w:rPr>
          <w:rStyle w:val="JuLista"/>
        </w:rPr>
        <w:t>три</w:t>
      </w:r>
      <w:proofErr w:type="spellEnd"/>
      <w:r w:rsidR="00692D82">
        <w:rPr>
          <w:rStyle w:val="JuLista"/>
        </w:rPr>
        <w:t xml:space="preserve"> месеца </w:t>
      </w:r>
      <w:r>
        <w:rPr>
          <w:rStyle w:val="JuLista"/>
        </w:rPr>
        <w:t xml:space="preserve">до </w:t>
      </w:r>
      <w:r w:rsidR="00692D82">
        <w:rPr>
          <w:rStyle w:val="JuLista"/>
        </w:rPr>
        <w:t>раз</w:t>
      </w:r>
      <w:r>
        <w:rPr>
          <w:rStyle w:val="JuLista"/>
        </w:rPr>
        <w:t>плащането</w:t>
      </w:r>
      <w:r w:rsidR="00692D82">
        <w:rPr>
          <w:rStyle w:val="JuLista"/>
        </w:rPr>
        <w:t>, по горните суми следва да</w:t>
      </w:r>
      <w:r>
        <w:rPr>
          <w:rStyle w:val="JuLista"/>
        </w:rPr>
        <w:t xml:space="preserve"> се дължи проста лихва в размер, равен на </w:t>
      </w:r>
      <w:r w:rsidR="00A2497B">
        <w:rPr>
          <w:rStyle w:val="JuLista"/>
        </w:rPr>
        <w:t>лихвения процент</w:t>
      </w:r>
      <w:r>
        <w:rPr>
          <w:rStyle w:val="JuLista"/>
        </w:rPr>
        <w:t xml:space="preserve"> по заеми на Европейската централна банка по време на </w:t>
      </w:r>
      <w:r w:rsidR="00A2497B">
        <w:rPr>
          <w:rStyle w:val="JuLista"/>
        </w:rPr>
        <w:t>просрочения период</w:t>
      </w:r>
      <w:r>
        <w:rPr>
          <w:rStyle w:val="JuLista"/>
        </w:rPr>
        <w:t>, към която се добавят три процентни пункта;</w:t>
      </w:r>
    </w:p>
    <w:p w:rsidR="00FA6179" w:rsidRPr="005E3909" w:rsidRDefault="00FA6179" w:rsidP="00FA6179">
      <w:pPr>
        <w:pStyle w:val="JuList"/>
        <w:ind w:left="0" w:firstLine="0"/>
      </w:pPr>
    </w:p>
    <w:p w:rsidR="00FA6179" w:rsidRPr="005E3909" w:rsidRDefault="00FA6179" w:rsidP="00FA6179">
      <w:pPr>
        <w:pStyle w:val="JuList"/>
      </w:pPr>
      <w:r>
        <w:rPr>
          <w:rStyle w:val="JuList"/>
        </w:rPr>
        <w:t>6.  </w:t>
      </w:r>
      <w:r>
        <w:rPr>
          <w:rStyle w:val="JuList"/>
          <w:i/>
        </w:rPr>
        <w:t>Отхвърля</w:t>
      </w:r>
      <w:r>
        <w:rPr>
          <w:rStyle w:val="JuList"/>
        </w:rPr>
        <w:t xml:space="preserve"> останалата част от иска на жалбоподателите за справедливо обезщетение.</w:t>
      </w:r>
    </w:p>
    <w:p w:rsidR="00FA6179" w:rsidRPr="005E3909" w:rsidRDefault="00FA6179" w:rsidP="00FA6179">
      <w:pPr>
        <w:pStyle w:val="JuParaLast"/>
      </w:pPr>
      <w:r>
        <w:rPr>
          <w:rStyle w:val="JuParaLast"/>
        </w:rPr>
        <w:t xml:space="preserve">Изготвено на английски език и оповестено писмено на 21 юли 2016 г., в съответствие с </w:t>
      </w:r>
      <w:r w:rsidR="001624A7">
        <w:rPr>
          <w:rStyle w:val="JuParaLast"/>
        </w:rPr>
        <w:t>правило</w:t>
      </w:r>
      <w:r>
        <w:rPr>
          <w:rStyle w:val="JuParaLast"/>
        </w:rPr>
        <w:t xml:space="preserve"> 77 §§ 2 и 3 от Правилника на Съда.</w:t>
      </w:r>
    </w:p>
    <w:p w:rsidR="00FA6179" w:rsidRPr="005E3909" w:rsidRDefault="00FA6179" w:rsidP="00033A01">
      <w:pPr>
        <w:pStyle w:val="JuSigned"/>
        <w:tabs>
          <w:tab w:val="clear" w:pos="851"/>
          <w:tab w:val="center" w:pos="993"/>
        </w:tabs>
        <w:ind w:left="-1134" w:right="-1006"/>
      </w:pPr>
      <w:r>
        <w:rPr>
          <w:rStyle w:val="JuSigned"/>
        </w:rPr>
        <w:tab/>
      </w:r>
      <w:proofErr w:type="spellStart"/>
      <w:r>
        <w:rPr>
          <w:rStyle w:val="JuSigned"/>
        </w:rPr>
        <w:t>Клаудия</w:t>
      </w:r>
      <w:proofErr w:type="spellEnd"/>
      <w:r>
        <w:rPr>
          <w:rStyle w:val="JuSigned"/>
        </w:rPr>
        <w:t xml:space="preserve"> </w:t>
      </w:r>
      <w:proofErr w:type="spellStart"/>
      <w:r>
        <w:rPr>
          <w:rStyle w:val="JuSigned"/>
        </w:rPr>
        <w:t>Вестердик</w:t>
      </w:r>
      <w:proofErr w:type="spellEnd"/>
      <w:r>
        <w:rPr>
          <w:rStyle w:val="JuSigned"/>
        </w:rPr>
        <w:t xml:space="preserve"> </w:t>
      </w:r>
      <w:r w:rsidR="00033A01">
        <w:rPr>
          <w:rStyle w:val="JuSigned"/>
        </w:rPr>
        <w:tab/>
      </w:r>
      <w:proofErr w:type="spellStart"/>
      <w:r>
        <w:rPr>
          <w:rStyle w:val="JuSigned"/>
        </w:rPr>
        <w:t>Ангелика</w:t>
      </w:r>
      <w:proofErr w:type="spellEnd"/>
      <w:r>
        <w:rPr>
          <w:rStyle w:val="JuSigned"/>
        </w:rPr>
        <w:t xml:space="preserve"> </w:t>
      </w:r>
      <w:proofErr w:type="spellStart"/>
      <w:r>
        <w:rPr>
          <w:rStyle w:val="JuSigned"/>
        </w:rPr>
        <w:t>Нусбергер</w:t>
      </w:r>
      <w:proofErr w:type="spellEnd"/>
      <w:r>
        <w:rPr>
          <w:rStyle w:val="JuSigned"/>
        </w:rPr>
        <w:t xml:space="preserve"> </w:t>
      </w:r>
      <w:r>
        <w:br/>
      </w:r>
      <w:r>
        <w:rPr>
          <w:rStyle w:val="JuSigned"/>
        </w:rPr>
        <w:tab/>
      </w:r>
      <w:r w:rsidR="004B6AFE">
        <w:rPr>
          <w:rStyle w:val="JuSigned"/>
        </w:rPr>
        <w:t>с</w:t>
      </w:r>
      <w:r>
        <w:rPr>
          <w:rStyle w:val="JuSigned"/>
        </w:rPr>
        <w:t>екретар</w:t>
      </w:r>
      <w:r>
        <w:rPr>
          <w:rStyle w:val="JuSigned"/>
        </w:rPr>
        <w:tab/>
      </w:r>
      <w:r w:rsidR="004B6AFE">
        <w:rPr>
          <w:rStyle w:val="JuSigned"/>
        </w:rPr>
        <w:t>п</w:t>
      </w:r>
      <w:r>
        <w:rPr>
          <w:rStyle w:val="JuSigned"/>
        </w:rPr>
        <w:t>редседател</w:t>
      </w:r>
    </w:p>
    <w:sectPr w:rsidR="00FA6179" w:rsidRPr="005E3909" w:rsidSect="00FA6179">
      <w:headerReference w:type="even" r:id="rId14"/>
      <w:headerReference w:type="default" r:id="rId15"/>
      <w:footerReference w:type="default" r:id="rId16"/>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EE2" w:rsidRDefault="00051EE2" w:rsidP="00FA6179">
      <w:r>
        <w:separator/>
      </w:r>
    </w:p>
  </w:endnote>
  <w:endnote w:type="continuationSeparator" w:id="0">
    <w:p w:rsidR="00051EE2" w:rsidRDefault="00051EE2" w:rsidP="00FA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09" w:rsidRDefault="00452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79" w:rsidRPr="00150BFA" w:rsidRDefault="00452E09" w:rsidP="00FA6179">
    <w:pPr>
      <w:jc w:val="center"/>
    </w:pPr>
    <w:r>
      <w:rPr>
        <w:noProof/>
        <w:lang w:val="en-US" w:eastAsia="en-US"/>
      </w:rPr>
      <w:drawing>
        <wp:inline distT="0" distB="0" distL="0" distR="0">
          <wp:extent cx="771525" cy="619125"/>
          <wp:effectExtent l="0" t="0" r="0" b="0"/>
          <wp:docPr id="2" name="Picture 2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A6179" w:rsidRPr="006F712D" w:rsidRDefault="00FA6179" w:rsidP="00FA6179">
    <w:pPr>
      <w:pStyle w:val="Footer"/>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09" w:rsidRDefault="00452E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79" w:rsidRPr="00150BFA" w:rsidRDefault="00FA6179" w:rsidP="00FA6179">
    <w:pPr>
      <w:jc w:val="center"/>
    </w:pPr>
  </w:p>
  <w:p w:rsidR="00FA6179" w:rsidRPr="006F712D" w:rsidRDefault="00FA6179" w:rsidP="00FA6179">
    <w:pPr>
      <w:pStyle w:val="Footer"/>
      <w:jc w:val="cen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EE2" w:rsidRDefault="00051EE2" w:rsidP="00FA6179">
      <w:r>
        <w:separator/>
      </w:r>
    </w:p>
  </w:footnote>
  <w:footnote w:type="continuationSeparator" w:id="0">
    <w:p w:rsidR="00051EE2" w:rsidRDefault="00051EE2" w:rsidP="00FA6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E09" w:rsidRDefault="0045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79" w:rsidRPr="00A45145" w:rsidRDefault="00452E09" w:rsidP="00FA6179">
    <w:pPr>
      <w:jc w:val="center"/>
    </w:pPr>
    <w:r>
      <w:rPr>
        <w:noProof/>
        <w:lang w:val="en-US" w:eastAsia="en-US"/>
      </w:rPr>
      <w:drawing>
        <wp:inline distT="0" distB="0" distL="0" distR="0">
          <wp:extent cx="2962275" cy="1219200"/>
          <wp:effectExtent l="0" t="0" r="0" b="0"/>
          <wp:docPr id="1" name="Picture 2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A6179" w:rsidRPr="006F712D" w:rsidRDefault="00FA6179" w:rsidP="00FA6179">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79" w:rsidRPr="00A45145" w:rsidRDefault="00452E09" w:rsidP="00FA6179">
    <w:pPr>
      <w:jc w:val="center"/>
    </w:pPr>
    <w:r>
      <w:rPr>
        <w:noProof/>
        <w:lang w:val="en-US" w:eastAsia="en-US"/>
      </w:rPr>
      <w:drawing>
        <wp:inline distT="0" distB="0" distL="0" distR="0">
          <wp:extent cx="2962275" cy="1219200"/>
          <wp:effectExtent l="0" t="0" r="0" b="0"/>
          <wp:docPr id="3" name="Picture 2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A6179" w:rsidRPr="006F712D" w:rsidRDefault="00FA617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79" w:rsidRPr="00FF2306" w:rsidRDefault="00FA6179" w:rsidP="00FA6179">
    <w:pPr>
      <w:pStyle w:val="ECHRHeader"/>
    </w:pPr>
    <w:r>
      <w:rPr>
        <w:rStyle w:val="PageNumber"/>
      </w:rPr>
      <w:fldChar w:fldCharType="begin"/>
    </w:r>
    <w:r>
      <w:rPr>
        <w:rStyle w:val="PageNumber"/>
      </w:rPr>
      <w:instrText xml:space="preserve"> PAGE </w:instrText>
    </w:r>
    <w:r>
      <w:rPr>
        <w:rStyle w:val="PageNumber"/>
      </w:rPr>
      <w:fldChar w:fldCharType="separate"/>
    </w:r>
    <w:r w:rsidR="00EE4CB1">
      <w:rPr>
        <w:rStyle w:val="PageNumber"/>
        <w:noProof/>
      </w:rPr>
      <w:t>14</w:t>
    </w:r>
    <w:r>
      <w:rPr>
        <w:rStyle w:val="PageNumber"/>
      </w:rPr>
      <w:fldChar w:fldCharType="end"/>
    </w:r>
    <w:r>
      <w:rPr>
        <w:rStyle w:val="ECHRHeader"/>
      </w:rPr>
      <w:tab/>
      <w:t xml:space="preserve">РЕШЕНИЕ КУЛИНСКИ И СЪБЕВ </w:t>
    </w:r>
    <w:r w:rsidR="00ED69F0">
      <w:rPr>
        <w:rStyle w:val="ECHRHeader"/>
      </w:rPr>
      <w:t xml:space="preserve">срещу </w:t>
    </w:r>
    <w:r>
      <w:rPr>
        <w:rStyle w:val="ECHRHeader"/>
      </w:rPr>
      <w:t>БЪЛГАРИЯ</w:t>
    </w:r>
  </w:p>
  <w:p w:rsidR="00FA6179" w:rsidRDefault="00FA6179"/>
  <w:p w:rsidR="00FA6179" w:rsidRDefault="00FA617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79" w:rsidRPr="00D60D87" w:rsidRDefault="00FA6179" w:rsidP="00FA6179">
    <w:pPr>
      <w:pStyle w:val="ECHRHeader"/>
    </w:pPr>
    <w:r>
      <w:rPr>
        <w:rStyle w:val="ECHRHeader"/>
      </w:rPr>
      <w:tab/>
    </w:r>
    <w:r>
      <w:rPr>
        <w:rStyle w:val="ECHRHeader"/>
      </w:rPr>
      <w:t xml:space="preserve">РЕШЕНИЕ КУЛИНСКИ И СЪБЕВ </w:t>
    </w:r>
    <w:r w:rsidR="00ED69F0">
      <w:rPr>
        <w:rStyle w:val="ECHRHeader"/>
      </w:rPr>
      <w:t xml:space="preserve">срещу </w:t>
    </w:r>
    <w:r>
      <w:rPr>
        <w:rStyle w:val="ECHRHeader"/>
      </w:rPr>
      <w:t>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EE4CB1">
      <w:rPr>
        <w:rStyle w:val="PageNumber"/>
        <w:noProof/>
      </w:rPr>
      <w:t>15</w:t>
    </w:r>
    <w:r>
      <w:rPr>
        <w:rStyle w:val="PageNumber"/>
      </w:rPr>
      <w:fldChar w:fldCharType="end"/>
    </w:r>
  </w:p>
  <w:p w:rsidR="00FA6179" w:rsidRDefault="00FA6179"/>
  <w:p w:rsidR="00FA6179" w:rsidRDefault="00FA61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182609"/>
    <w:rsid w:val="00000455"/>
    <w:rsid w:val="00004A97"/>
    <w:rsid w:val="00006E7B"/>
    <w:rsid w:val="00015E09"/>
    <w:rsid w:val="00027C80"/>
    <w:rsid w:val="00033A01"/>
    <w:rsid w:val="00045267"/>
    <w:rsid w:val="00045651"/>
    <w:rsid w:val="00046D9C"/>
    <w:rsid w:val="00051EE2"/>
    <w:rsid w:val="0005297F"/>
    <w:rsid w:val="0005611E"/>
    <w:rsid w:val="00060493"/>
    <w:rsid w:val="000711AD"/>
    <w:rsid w:val="00084A25"/>
    <w:rsid w:val="00084A82"/>
    <w:rsid w:val="00091901"/>
    <w:rsid w:val="00092B0F"/>
    <w:rsid w:val="000945E2"/>
    <w:rsid w:val="000B551B"/>
    <w:rsid w:val="000C4DE1"/>
    <w:rsid w:val="000D407D"/>
    <w:rsid w:val="000F0291"/>
    <w:rsid w:val="000F5513"/>
    <w:rsid w:val="00104574"/>
    <w:rsid w:val="00104E3A"/>
    <w:rsid w:val="001053A5"/>
    <w:rsid w:val="00124CB1"/>
    <w:rsid w:val="00130384"/>
    <w:rsid w:val="00132DC2"/>
    <w:rsid w:val="0013627D"/>
    <w:rsid w:val="001465C4"/>
    <w:rsid w:val="001556ED"/>
    <w:rsid w:val="001624A7"/>
    <w:rsid w:val="00181668"/>
    <w:rsid w:val="001954B2"/>
    <w:rsid w:val="001A0A68"/>
    <w:rsid w:val="001E433D"/>
    <w:rsid w:val="00215CEB"/>
    <w:rsid w:val="002224A3"/>
    <w:rsid w:val="00235384"/>
    <w:rsid w:val="00244302"/>
    <w:rsid w:val="00245D2F"/>
    <w:rsid w:val="00246760"/>
    <w:rsid w:val="00252DD2"/>
    <w:rsid w:val="00263666"/>
    <w:rsid w:val="00271E28"/>
    <w:rsid w:val="002771C6"/>
    <w:rsid w:val="00284100"/>
    <w:rsid w:val="0029270A"/>
    <w:rsid w:val="00293018"/>
    <w:rsid w:val="002A072C"/>
    <w:rsid w:val="002A2955"/>
    <w:rsid w:val="002B634C"/>
    <w:rsid w:val="002F473D"/>
    <w:rsid w:val="00303FCD"/>
    <w:rsid w:val="00331E6C"/>
    <w:rsid w:val="00333D60"/>
    <w:rsid w:val="00337D6A"/>
    <w:rsid w:val="00355D78"/>
    <w:rsid w:val="00355F0B"/>
    <w:rsid w:val="00362A62"/>
    <w:rsid w:val="00363E88"/>
    <w:rsid w:val="00364257"/>
    <w:rsid w:val="003752E1"/>
    <w:rsid w:val="00394FAF"/>
    <w:rsid w:val="003B04FD"/>
    <w:rsid w:val="003B7C29"/>
    <w:rsid w:val="003C023C"/>
    <w:rsid w:val="003C3698"/>
    <w:rsid w:val="003D0123"/>
    <w:rsid w:val="003D6622"/>
    <w:rsid w:val="003E3EEC"/>
    <w:rsid w:val="003F739C"/>
    <w:rsid w:val="004053E7"/>
    <w:rsid w:val="004130F4"/>
    <w:rsid w:val="00422665"/>
    <w:rsid w:val="00435E38"/>
    <w:rsid w:val="00437E81"/>
    <w:rsid w:val="0044086E"/>
    <w:rsid w:val="0044730D"/>
    <w:rsid w:val="00451C3A"/>
    <w:rsid w:val="00452E09"/>
    <w:rsid w:val="00455DC2"/>
    <w:rsid w:val="00465CF1"/>
    <w:rsid w:val="00465F28"/>
    <w:rsid w:val="004778C3"/>
    <w:rsid w:val="004859D1"/>
    <w:rsid w:val="00491D75"/>
    <w:rsid w:val="00496967"/>
    <w:rsid w:val="004A7F06"/>
    <w:rsid w:val="004B6A7A"/>
    <w:rsid w:val="004B6AFE"/>
    <w:rsid w:val="004B7F48"/>
    <w:rsid w:val="004E2FF5"/>
    <w:rsid w:val="004E67B5"/>
    <w:rsid w:val="004F6A68"/>
    <w:rsid w:val="00505015"/>
    <w:rsid w:val="005140FC"/>
    <w:rsid w:val="00516AC5"/>
    <w:rsid w:val="0053570D"/>
    <w:rsid w:val="00537397"/>
    <w:rsid w:val="00543F0F"/>
    <w:rsid w:val="00544FFC"/>
    <w:rsid w:val="00567DB3"/>
    <w:rsid w:val="00573C15"/>
    <w:rsid w:val="00585830"/>
    <w:rsid w:val="00593661"/>
    <w:rsid w:val="005B5311"/>
    <w:rsid w:val="005B7A43"/>
    <w:rsid w:val="005D1B73"/>
    <w:rsid w:val="005E1DAF"/>
    <w:rsid w:val="005E2D2F"/>
    <w:rsid w:val="005E6E54"/>
    <w:rsid w:val="00605041"/>
    <w:rsid w:val="00610AF5"/>
    <w:rsid w:val="0061729E"/>
    <w:rsid w:val="006356DA"/>
    <w:rsid w:val="00644FAD"/>
    <w:rsid w:val="0065033E"/>
    <w:rsid w:val="00651C36"/>
    <w:rsid w:val="006557FA"/>
    <w:rsid w:val="006605A8"/>
    <w:rsid w:val="00673B66"/>
    <w:rsid w:val="0067568D"/>
    <w:rsid w:val="006763B2"/>
    <w:rsid w:val="00677612"/>
    <w:rsid w:val="00685056"/>
    <w:rsid w:val="006916C2"/>
    <w:rsid w:val="00692D82"/>
    <w:rsid w:val="00695D2B"/>
    <w:rsid w:val="006A1D68"/>
    <w:rsid w:val="006B5DDB"/>
    <w:rsid w:val="006B5F6C"/>
    <w:rsid w:val="006C314A"/>
    <w:rsid w:val="006D1B43"/>
    <w:rsid w:val="006E1E1C"/>
    <w:rsid w:val="006E37FA"/>
    <w:rsid w:val="00702D3B"/>
    <w:rsid w:val="00711B66"/>
    <w:rsid w:val="00725979"/>
    <w:rsid w:val="00726EEE"/>
    <w:rsid w:val="00727835"/>
    <w:rsid w:val="00737D99"/>
    <w:rsid w:val="00740D25"/>
    <w:rsid w:val="007433B9"/>
    <w:rsid w:val="00744424"/>
    <w:rsid w:val="0074533B"/>
    <w:rsid w:val="007455A9"/>
    <w:rsid w:val="00745F10"/>
    <w:rsid w:val="007515DF"/>
    <w:rsid w:val="00752FFA"/>
    <w:rsid w:val="00756BD3"/>
    <w:rsid w:val="00770441"/>
    <w:rsid w:val="007738BE"/>
    <w:rsid w:val="00780012"/>
    <w:rsid w:val="00787566"/>
    <w:rsid w:val="00795B7B"/>
    <w:rsid w:val="00797535"/>
    <w:rsid w:val="007C3F8E"/>
    <w:rsid w:val="007C55C5"/>
    <w:rsid w:val="007E2727"/>
    <w:rsid w:val="007E7032"/>
    <w:rsid w:val="00807B10"/>
    <w:rsid w:val="00817E77"/>
    <w:rsid w:val="008238ED"/>
    <w:rsid w:val="00825F8D"/>
    <w:rsid w:val="008333D4"/>
    <w:rsid w:val="008678EC"/>
    <w:rsid w:val="008732F2"/>
    <w:rsid w:val="0088343D"/>
    <w:rsid w:val="00891AA2"/>
    <w:rsid w:val="008958EA"/>
    <w:rsid w:val="008965E7"/>
    <w:rsid w:val="008B7D3D"/>
    <w:rsid w:val="008C417D"/>
    <w:rsid w:val="008F09A5"/>
    <w:rsid w:val="008F5E44"/>
    <w:rsid w:val="008F66B4"/>
    <w:rsid w:val="00900177"/>
    <w:rsid w:val="00901A1D"/>
    <w:rsid w:val="00916FFF"/>
    <w:rsid w:val="009360ED"/>
    <w:rsid w:val="00944F49"/>
    <w:rsid w:val="0094678E"/>
    <w:rsid w:val="009564E6"/>
    <w:rsid w:val="009730D8"/>
    <w:rsid w:val="009A049D"/>
    <w:rsid w:val="009A63A2"/>
    <w:rsid w:val="009A6B17"/>
    <w:rsid w:val="009B2848"/>
    <w:rsid w:val="009B6942"/>
    <w:rsid w:val="009C1D6A"/>
    <w:rsid w:val="009C3EE1"/>
    <w:rsid w:val="009D02E8"/>
    <w:rsid w:val="009D1E13"/>
    <w:rsid w:val="009D4498"/>
    <w:rsid w:val="009D56F7"/>
    <w:rsid w:val="009E1A45"/>
    <w:rsid w:val="009F139E"/>
    <w:rsid w:val="00A05645"/>
    <w:rsid w:val="00A130A1"/>
    <w:rsid w:val="00A2497B"/>
    <w:rsid w:val="00A3482D"/>
    <w:rsid w:val="00A43E5C"/>
    <w:rsid w:val="00A61C44"/>
    <w:rsid w:val="00A811F5"/>
    <w:rsid w:val="00AA5FDF"/>
    <w:rsid w:val="00AB652D"/>
    <w:rsid w:val="00AC5A3D"/>
    <w:rsid w:val="00AE22F9"/>
    <w:rsid w:val="00AE3B8C"/>
    <w:rsid w:val="00AF0FC9"/>
    <w:rsid w:val="00AF3623"/>
    <w:rsid w:val="00B015DC"/>
    <w:rsid w:val="00B06A7F"/>
    <w:rsid w:val="00B21FBD"/>
    <w:rsid w:val="00B277F1"/>
    <w:rsid w:val="00B40B46"/>
    <w:rsid w:val="00B43395"/>
    <w:rsid w:val="00B45B7F"/>
    <w:rsid w:val="00B508BE"/>
    <w:rsid w:val="00B638C6"/>
    <w:rsid w:val="00B66AAD"/>
    <w:rsid w:val="00B75401"/>
    <w:rsid w:val="00B76259"/>
    <w:rsid w:val="00B83CF5"/>
    <w:rsid w:val="00B96FF4"/>
    <w:rsid w:val="00BA1852"/>
    <w:rsid w:val="00BA2A8A"/>
    <w:rsid w:val="00BA5A6D"/>
    <w:rsid w:val="00BB491C"/>
    <w:rsid w:val="00BE15ED"/>
    <w:rsid w:val="00BE4B83"/>
    <w:rsid w:val="00C00552"/>
    <w:rsid w:val="00C015D9"/>
    <w:rsid w:val="00C102D4"/>
    <w:rsid w:val="00C12B70"/>
    <w:rsid w:val="00C20492"/>
    <w:rsid w:val="00C23AB5"/>
    <w:rsid w:val="00C42709"/>
    <w:rsid w:val="00C50211"/>
    <w:rsid w:val="00C54CFE"/>
    <w:rsid w:val="00C70C72"/>
    <w:rsid w:val="00C72396"/>
    <w:rsid w:val="00CA11AF"/>
    <w:rsid w:val="00CB2FCA"/>
    <w:rsid w:val="00CB329B"/>
    <w:rsid w:val="00CB6A21"/>
    <w:rsid w:val="00CC3994"/>
    <w:rsid w:val="00CD5B39"/>
    <w:rsid w:val="00CD62AE"/>
    <w:rsid w:val="00CF5522"/>
    <w:rsid w:val="00CF6FDD"/>
    <w:rsid w:val="00CF7AF6"/>
    <w:rsid w:val="00D069AB"/>
    <w:rsid w:val="00D06FAF"/>
    <w:rsid w:val="00D114A7"/>
    <w:rsid w:val="00D1694E"/>
    <w:rsid w:val="00D251AE"/>
    <w:rsid w:val="00D325D5"/>
    <w:rsid w:val="00D34258"/>
    <w:rsid w:val="00D40D2A"/>
    <w:rsid w:val="00D41019"/>
    <w:rsid w:val="00D461CD"/>
    <w:rsid w:val="00D46EA8"/>
    <w:rsid w:val="00D9258C"/>
    <w:rsid w:val="00DB46B3"/>
    <w:rsid w:val="00DB78EB"/>
    <w:rsid w:val="00DE11A7"/>
    <w:rsid w:val="00DE23E2"/>
    <w:rsid w:val="00DF08E0"/>
    <w:rsid w:val="00DF43B5"/>
    <w:rsid w:val="00DF7D74"/>
    <w:rsid w:val="00E17A96"/>
    <w:rsid w:val="00E25A77"/>
    <w:rsid w:val="00E26418"/>
    <w:rsid w:val="00E26CFE"/>
    <w:rsid w:val="00E26D87"/>
    <w:rsid w:val="00E3637A"/>
    <w:rsid w:val="00E40C89"/>
    <w:rsid w:val="00E40CDA"/>
    <w:rsid w:val="00E53537"/>
    <w:rsid w:val="00E5487E"/>
    <w:rsid w:val="00E63E34"/>
    <w:rsid w:val="00E66B6B"/>
    <w:rsid w:val="00E77F3E"/>
    <w:rsid w:val="00E919E8"/>
    <w:rsid w:val="00EA0EA3"/>
    <w:rsid w:val="00EA2D14"/>
    <w:rsid w:val="00EA352D"/>
    <w:rsid w:val="00EC2465"/>
    <w:rsid w:val="00EC2DC9"/>
    <w:rsid w:val="00EC5FFD"/>
    <w:rsid w:val="00EC6134"/>
    <w:rsid w:val="00ED516B"/>
    <w:rsid w:val="00ED69F0"/>
    <w:rsid w:val="00EE0243"/>
    <w:rsid w:val="00EE02F5"/>
    <w:rsid w:val="00EE137B"/>
    <w:rsid w:val="00EE4CB1"/>
    <w:rsid w:val="00EF601F"/>
    <w:rsid w:val="00F027BA"/>
    <w:rsid w:val="00F403A8"/>
    <w:rsid w:val="00F410C2"/>
    <w:rsid w:val="00F447C0"/>
    <w:rsid w:val="00F45790"/>
    <w:rsid w:val="00F57141"/>
    <w:rsid w:val="00F6321D"/>
    <w:rsid w:val="00F67B34"/>
    <w:rsid w:val="00F70D29"/>
    <w:rsid w:val="00F809D0"/>
    <w:rsid w:val="00F87D5F"/>
    <w:rsid w:val="00F952A0"/>
    <w:rsid w:val="00FA5292"/>
    <w:rsid w:val="00FA5B5E"/>
    <w:rsid w:val="00FA6179"/>
    <w:rsid w:val="00FB14F0"/>
    <w:rsid w:val="00FB17B7"/>
    <w:rsid w:val="00FC0DBA"/>
    <w:rsid w:val="00FD66D9"/>
    <w:rsid w:val="00FE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72F9C"/>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D72F9C"/>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D72F9C"/>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D72F9C"/>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D72F9C"/>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D72F9C"/>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D72F9C"/>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D72F9C"/>
    <w:pPr>
      <w:outlineLvl w:val="6"/>
    </w:pPr>
    <w:rPr>
      <w:rFonts w:eastAsia="MS Gothic"/>
      <w:i/>
      <w:iCs/>
      <w:sz w:val="22"/>
      <w:lang w:bidi="en-US"/>
    </w:rPr>
  </w:style>
  <w:style w:type="paragraph" w:styleId="Heading8">
    <w:name w:val="heading 8"/>
    <w:basedOn w:val="Normal"/>
    <w:next w:val="Normal"/>
    <w:link w:val="Heading8Char"/>
    <w:uiPriority w:val="99"/>
    <w:semiHidden/>
    <w:qFormat/>
    <w:rsid w:val="00D72F9C"/>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D72F9C"/>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2F9C"/>
    <w:rPr>
      <w:rFonts w:ascii="Tahoma" w:hAnsi="Tahoma" w:cs="Tahoma"/>
      <w:sz w:val="16"/>
      <w:szCs w:val="16"/>
    </w:rPr>
  </w:style>
  <w:style w:type="character" w:customStyle="1" w:styleId="BalloonTextChar">
    <w:name w:val="Balloon Text Char"/>
    <w:link w:val="BalloonText"/>
    <w:uiPriority w:val="99"/>
    <w:semiHidden/>
    <w:rsid w:val="00D72F9C"/>
    <w:rPr>
      <w:rFonts w:ascii="Tahoma" w:eastAsia="MS Mincho" w:hAnsi="Tahoma" w:cs="Tahoma"/>
      <w:sz w:val="16"/>
      <w:szCs w:val="16"/>
      <w:lang w:val="bg-BG" w:eastAsia="bg-BG"/>
    </w:rPr>
  </w:style>
  <w:style w:type="character" w:styleId="BookTitle">
    <w:name w:val="Book Title"/>
    <w:uiPriority w:val="99"/>
    <w:semiHidden/>
    <w:qFormat/>
    <w:rsid w:val="00D72F9C"/>
    <w:rPr>
      <w:i/>
      <w:iCs/>
      <w:smallCaps/>
      <w:spacing w:val="5"/>
      <w:lang w:val="bg-BG" w:eastAsia="bg-BG"/>
    </w:rPr>
  </w:style>
  <w:style w:type="paragraph" w:customStyle="1" w:styleId="ECHRHeader">
    <w:name w:val="ECHR_Header"/>
    <w:aliases w:val="Ju_Header"/>
    <w:basedOn w:val="Header"/>
    <w:uiPriority w:val="4"/>
    <w:qFormat/>
    <w:rsid w:val="00D72F9C"/>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D72F9C"/>
    <w:pPr>
      <w:jc w:val="left"/>
    </w:pPr>
    <w:rPr>
      <w:sz w:val="8"/>
    </w:rPr>
  </w:style>
  <w:style w:type="character" w:styleId="Strong">
    <w:name w:val="Strong"/>
    <w:uiPriority w:val="99"/>
    <w:semiHidden/>
    <w:qFormat/>
    <w:rsid w:val="00D72F9C"/>
    <w:rPr>
      <w:b/>
      <w:bCs/>
      <w:lang w:val="bg-BG" w:eastAsia="bg-BG"/>
    </w:rPr>
  </w:style>
  <w:style w:type="paragraph" w:styleId="NoSpacing">
    <w:name w:val="No Spacing"/>
    <w:basedOn w:val="Normal"/>
    <w:link w:val="NoSpacingChar"/>
    <w:semiHidden/>
    <w:qFormat/>
    <w:rsid w:val="00D72F9C"/>
    <w:rPr>
      <w:sz w:val="22"/>
    </w:rPr>
  </w:style>
  <w:style w:type="character" w:customStyle="1" w:styleId="NoSpacingChar">
    <w:name w:val="No Spacing Char"/>
    <w:link w:val="NoSpacing"/>
    <w:semiHidden/>
    <w:rsid w:val="00D72F9C"/>
    <w:rPr>
      <w:rFonts w:eastAsia="MS Mincho"/>
      <w:lang w:val="bg-BG" w:eastAsia="bg-BG"/>
    </w:rPr>
  </w:style>
  <w:style w:type="paragraph" w:customStyle="1" w:styleId="ECHRFooterLine">
    <w:name w:val="ECHR_Footer_Line"/>
    <w:aliases w:val="Footer_Line"/>
    <w:basedOn w:val="Normal"/>
    <w:next w:val="ECHRFooter"/>
    <w:uiPriority w:val="57"/>
    <w:semiHidden/>
    <w:rsid w:val="00D72F9C"/>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D72F9C"/>
    <w:pPr>
      <w:numPr>
        <w:numId w:val="14"/>
      </w:numPr>
      <w:jc w:val="left"/>
    </w:pPr>
    <w:rPr>
      <w:b/>
    </w:rPr>
  </w:style>
  <w:style w:type="paragraph" w:customStyle="1" w:styleId="OpiPara">
    <w:name w:val="Opi_Para"/>
    <w:basedOn w:val="ECHRPara"/>
    <w:uiPriority w:val="46"/>
    <w:qFormat/>
    <w:rsid w:val="00D72F9C"/>
  </w:style>
  <w:style w:type="paragraph" w:customStyle="1" w:styleId="JuParaSub">
    <w:name w:val="Ju_Para_Sub"/>
    <w:basedOn w:val="ECHRPara"/>
    <w:uiPriority w:val="13"/>
    <w:qFormat/>
    <w:rsid w:val="00D72F9C"/>
    <w:pPr>
      <w:ind w:left="284"/>
    </w:pPr>
  </w:style>
  <w:style w:type="paragraph" w:customStyle="1" w:styleId="ECHRTitleCentre3">
    <w:name w:val="ECHR_Title_Centre_3"/>
    <w:aliases w:val="Ju_H_Article"/>
    <w:basedOn w:val="Normal"/>
    <w:next w:val="ECHRParaQuote"/>
    <w:uiPriority w:val="27"/>
    <w:qFormat/>
    <w:rsid w:val="00D72F9C"/>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D72F9C"/>
    <w:pPr>
      <w:keepNext/>
      <w:keepLines/>
      <w:spacing w:after="240"/>
      <w:jc w:val="center"/>
      <w:outlineLvl w:val="0"/>
    </w:pPr>
    <w:rPr>
      <w:sz w:val="28"/>
    </w:rPr>
  </w:style>
  <w:style w:type="paragraph" w:customStyle="1" w:styleId="OpiParaSub">
    <w:name w:val="Opi_Para_Sub"/>
    <w:basedOn w:val="JuParaSub"/>
    <w:uiPriority w:val="47"/>
    <w:qFormat/>
    <w:rsid w:val="00D72F9C"/>
  </w:style>
  <w:style w:type="paragraph" w:customStyle="1" w:styleId="OpiQuot">
    <w:name w:val="Opi_Quot"/>
    <w:basedOn w:val="ECHRParaQuote"/>
    <w:uiPriority w:val="48"/>
    <w:qFormat/>
    <w:rsid w:val="00D72F9C"/>
  </w:style>
  <w:style w:type="paragraph" w:customStyle="1" w:styleId="OpiQuotSub">
    <w:name w:val="Opi_Quot_Sub"/>
    <w:basedOn w:val="JuQuotSub"/>
    <w:uiPriority w:val="49"/>
    <w:qFormat/>
    <w:rsid w:val="00D72F9C"/>
  </w:style>
  <w:style w:type="paragraph" w:customStyle="1" w:styleId="ECHRTitleCentre2">
    <w:name w:val="ECHR_Title_Centre_2"/>
    <w:aliases w:val="Dec_H_Case"/>
    <w:basedOn w:val="Normal"/>
    <w:next w:val="ECHRPara"/>
    <w:uiPriority w:val="8"/>
    <w:qFormat/>
    <w:rsid w:val="00D72F9C"/>
    <w:pPr>
      <w:spacing w:after="240"/>
      <w:jc w:val="center"/>
      <w:outlineLvl w:val="0"/>
    </w:pPr>
    <w:rPr>
      <w:i/>
    </w:rPr>
  </w:style>
  <w:style w:type="paragraph" w:customStyle="1" w:styleId="JuTitle">
    <w:name w:val="Ju_Title"/>
    <w:basedOn w:val="Normal"/>
    <w:next w:val="ECHRPara"/>
    <w:uiPriority w:val="3"/>
    <w:qFormat/>
    <w:rsid w:val="00D72F9C"/>
    <w:pPr>
      <w:spacing w:before="720" w:after="240"/>
      <w:jc w:val="center"/>
      <w:outlineLvl w:val="0"/>
    </w:pPr>
    <w:rPr>
      <w:b/>
      <w:caps/>
    </w:rPr>
  </w:style>
  <w:style w:type="paragraph" w:styleId="Title">
    <w:name w:val="Title"/>
    <w:basedOn w:val="Normal"/>
    <w:next w:val="Normal"/>
    <w:link w:val="TitleChar"/>
    <w:uiPriority w:val="99"/>
    <w:semiHidden/>
    <w:qFormat/>
    <w:rsid w:val="00D72F9C"/>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D72F9C"/>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D72F9C"/>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D72F9C"/>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D72F9C"/>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D72F9C"/>
    <w:pPr>
      <w:keepNext/>
      <w:keepLines/>
      <w:tabs>
        <w:tab w:val="left" w:pos="1372"/>
      </w:tabs>
      <w:spacing w:before="240" w:after="120" w:line="240" w:lineRule="auto"/>
      <w:ind w:left="1373" w:hanging="335"/>
    </w:pPr>
    <w:rPr>
      <w:b w:val="0"/>
      <w:i w:val="0"/>
      <w:color w:val="000000"/>
      <w:sz w:val="20"/>
    </w:rPr>
  </w:style>
  <w:style w:type="paragraph" w:customStyle="1" w:styleId="ECHRHeading7">
    <w:name w:val="ECHR_Heading_7"/>
    <w:aliases w:val="Ju_H_–"/>
    <w:basedOn w:val="Heading7"/>
    <w:next w:val="ECHRPara"/>
    <w:uiPriority w:val="25"/>
    <w:qFormat/>
    <w:rsid w:val="00D72F9C"/>
    <w:pPr>
      <w:keepNext/>
      <w:keepLines/>
      <w:spacing w:before="240" w:after="120"/>
      <w:ind w:left="1236"/>
    </w:pPr>
    <w:rPr>
      <w:sz w:val="20"/>
    </w:rPr>
  </w:style>
  <w:style w:type="paragraph" w:customStyle="1" w:styleId="JuQuotSub">
    <w:name w:val="Ju_Quot_Sub"/>
    <w:basedOn w:val="ECHRParaQuote"/>
    <w:uiPriority w:val="15"/>
    <w:qFormat/>
    <w:rsid w:val="00D72F9C"/>
    <w:pPr>
      <w:ind w:left="567"/>
    </w:pPr>
  </w:style>
  <w:style w:type="paragraph" w:customStyle="1" w:styleId="JuInitialled">
    <w:name w:val="Ju_Initialled"/>
    <w:basedOn w:val="Normal"/>
    <w:uiPriority w:val="31"/>
    <w:qFormat/>
    <w:rsid w:val="00D72F9C"/>
    <w:pPr>
      <w:tabs>
        <w:tab w:val="center" w:pos="6407"/>
      </w:tabs>
      <w:spacing w:before="720"/>
      <w:jc w:val="right"/>
    </w:pPr>
  </w:style>
  <w:style w:type="paragraph" w:customStyle="1" w:styleId="OpiHA">
    <w:name w:val="Opi_H_A"/>
    <w:basedOn w:val="ECHRHeading1"/>
    <w:next w:val="OpiPara"/>
    <w:uiPriority w:val="41"/>
    <w:qFormat/>
    <w:rsid w:val="00D72F9C"/>
    <w:pPr>
      <w:tabs>
        <w:tab w:val="clear" w:pos="357"/>
      </w:tabs>
      <w:outlineLvl w:val="1"/>
    </w:pPr>
    <w:rPr>
      <w:b/>
    </w:rPr>
  </w:style>
  <w:style w:type="paragraph" w:styleId="Header">
    <w:name w:val="header"/>
    <w:basedOn w:val="Normal"/>
    <w:link w:val="HeaderChar"/>
    <w:uiPriority w:val="57"/>
    <w:semiHidden/>
    <w:rsid w:val="00D72F9C"/>
    <w:pPr>
      <w:tabs>
        <w:tab w:val="center" w:pos="4536"/>
        <w:tab w:val="right" w:pos="9072"/>
      </w:tabs>
    </w:pPr>
    <w:rPr>
      <w:rFonts w:eastAsia="Times New Roman"/>
    </w:rPr>
  </w:style>
  <w:style w:type="character" w:customStyle="1" w:styleId="HeaderChar">
    <w:name w:val="Header Char"/>
    <w:link w:val="Header"/>
    <w:uiPriority w:val="57"/>
    <w:semiHidden/>
    <w:rsid w:val="00D72F9C"/>
    <w:rPr>
      <w:sz w:val="24"/>
      <w:lang w:val="bg-BG" w:eastAsia="bg-BG"/>
    </w:rPr>
  </w:style>
  <w:style w:type="character" w:customStyle="1" w:styleId="Heading1Char">
    <w:name w:val="Heading 1 Char"/>
    <w:link w:val="Heading1"/>
    <w:uiPriority w:val="99"/>
    <w:semiHidden/>
    <w:rsid w:val="00D72F9C"/>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D72F9C"/>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D72F9C"/>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D72F9C"/>
    <w:rPr>
      <w:rFonts w:ascii="Times New Roman" w:eastAsia="MS Gothic" w:hAnsi="Times New Roman" w:cs="Times New Roman"/>
      <w:b/>
      <w:bCs/>
      <w:color w:val="4D4D4D"/>
      <w:sz w:val="26"/>
      <w:szCs w:val="26"/>
      <w:lang w:val="bg-BG" w:eastAsia="bg-BG"/>
    </w:rPr>
  </w:style>
  <w:style w:type="character" w:customStyle="1" w:styleId="JUNAMES">
    <w:name w:val="JU_NAMES"/>
    <w:uiPriority w:val="17"/>
    <w:qFormat/>
    <w:rsid w:val="00D72F9C"/>
    <w:rPr>
      <w:smallCaps/>
      <w:lang w:val="bg-BG" w:eastAsia="bg-BG"/>
    </w:rPr>
  </w:style>
  <w:style w:type="paragraph" w:customStyle="1" w:styleId="JuCase">
    <w:name w:val="Ju_Case"/>
    <w:basedOn w:val="Normal"/>
    <w:next w:val="ECHRPara"/>
    <w:uiPriority w:val="10"/>
    <w:rsid w:val="00D72F9C"/>
    <w:pPr>
      <w:ind w:firstLine="284"/>
    </w:pPr>
    <w:rPr>
      <w:b/>
    </w:rPr>
  </w:style>
  <w:style w:type="character" w:customStyle="1" w:styleId="Heading3Char">
    <w:name w:val="Heading 3 Char"/>
    <w:link w:val="Heading3"/>
    <w:uiPriority w:val="99"/>
    <w:semiHidden/>
    <w:rsid w:val="00D72F9C"/>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D72F9C"/>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D72F9C"/>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D72F9C"/>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D72F9C"/>
    <w:pPr>
      <w:keepNext/>
      <w:keepLines/>
      <w:spacing w:before="720" w:after="240"/>
      <w:outlineLvl w:val="0"/>
    </w:pPr>
    <w:rPr>
      <w:sz w:val="28"/>
    </w:rPr>
  </w:style>
  <w:style w:type="character" w:styleId="Emphasis">
    <w:name w:val="Emphasis"/>
    <w:uiPriority w:val="99"/>
    <w:semiHidden/>
    <w:qFormat/>
    <w:rsid w:val="00D72F9C"/>
    <w:rPr>
      <w:b/>
      <w:bCs/>
      <w:i/>
      <w:iCs/>
      <w:spacing w:val="10"/>
      <w:bdr w:val="none" w:sz="0" w:space="0" w:color="auto"/>
      <w:lang w:val="bg-BG" w:eastAsia="bg-BG"/>
    </w:rPr>
  </w:style>
  <w:style w:type="paragraph" w:styleId="Footer">
    <w:name w:val="footer"/>
    <w:basedOn w:val="Normal"/>
    <w:link w:val="FooterChar"/>
    <w:uiPriority w:val="57"/>
    <w:semiHidden/>
    <w:rsid w:val="00D72F9C"/>
    <w:pPr>
      <w:tabs>
        <w:tab w:val="center" w:pos="4536"/>
        <w:tab w:val="right" w:pos="9696"/>
      </w:tabs>
      <w:ind w:left="-680" w:right="-680"/>
    </w:pPr>
    <w:rPr>
      <w:rFonts w:eastAsia="Times New Roman"/>
    </w:rPr>
  </w:style>
  <w:style w:type="character" w:customStyle="1" w:styleId="FooterChar">
    <w:name w:val="Footer Char"/>
    <w:link w:val="Footer"/>
    <w:uiPriority w:val="57"/>
    <w:semiHidden/>
    <w:rsid w:val="00D72F9C"/>
    <w:rPr>
      <w:sz w:val="24"/>
      <w:lang w:val="bg-BG" w:eastAsia="bg-BG"/>
    </w:rPr>
  </w:style>
  <w:style w:type="character" w:styleId="FootnoteReference">
    <w:name w:val="footnote reference"/>
    <w:uiPriority w:val="99"/>
    <w:semiHidden/>
    <w:rsid w:val="00D72F9C"/>
    <w:rPr>
      <w:vertAlign w:val="superscript"/>
      <w:lang w:val="bg-BG" w:eastAsia="bg-BG"/>
    </w:rPr>
  </w:style>
  <w:style w:type="paragraph" w:styleId="FootnoteText">
    <w:name w:val="footnote text"/>
    <w:basedOn w:val="Normal"/>
    <w:link w:val="FootnoteTextChar"/>
    <w:uiPriority w:val="99"/>
    <w:semiHidden/>
    <w:rsid w:val="00D72F9C"/>
    <w:rPr>
      <w:sz w:val="20"/>
      <w:szCs w:val="20"/>
    </w:rPr>
  </w:style>
  <w:style w:type="character" w:customStyle="1" w:styleId="FootnoteTextChar">
    <w:name w:val="Footnote Text Char"/>
    <w:link w:val="FootnoteText"/>
    <w:uiPriority w:val="99"/>
    <w:semiHidden/>
    <w:rsid w:val="00D72F9C"/>
    <w:rPr>
      <w:rFonts w:eastAsia="MS Mincho"/>
      <w:sz w:val="20"/>
      <w:szCs w:val="20"/>
      <w:lang w:val="bg-BG" w:eastAsia="bg-BG"/>
    </w:rPr>
  </w:style>
  <w:style w:type="character" w:customStyle="1" w:styleId="Heading6Char">
    <w:name w:val="Heading 6 Char"/>
    <w:link w:val="Heading6"/>
    <w:uiPriority w:val="99"/>
    <w:semiHidden/>
    <w:rsid w:val="00D72F9C"/>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D72F9C"/>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D72F9C"/>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D72F9C"/>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D72F9C"/>
    <w:rPr>
      <w:color w:val="0072BC"/>
      <w:u w:val="single"/>
      <w:lang w:val="bg-BG" w:eastAsia="bg-BG"/>
    </w:rPr>
  </w:style>
  <w:style w:type="character" w:styleId="IntenseEmphasis">
    <w:name w:val="Intense Emphasis"/>
    <w:uiPriority w:val="99"/>
    <w:semiHidden/>
    <w:qFormat/>
    <w:rsid w:val="00D72F9C"/>
    <w:rPr>
      <w:b/>
      <w:bCs/>
      <w:lang w:val="bg-BG" w:eastAsia="bg-BG"/>
    </w:rPr>
  </w:style>
  <w:style w:type="paragraph" w:styleId="IntenseQuote">
    <w:name w:val="Intense Quote"/>
    <w:basedOn w:val="Normal"/>
    <w:next w:val="Normal"/>
    <w:link w:val="IntenseQuoteChar"/>
    <w:uiPriority w:val="99"/>
    <w:semiHidden/>
    <w:qFormat/>
    <w:rsid w:val="00D72F9C"/>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D72F9C"/>
    <w:rPr>
      <w:rFonts w:eastAsia="MS Mincho"/>
      <w:b/>
      <w:bCs/>
      <w:i/>
      <w:iCs/>
      <w:lang w:val="bg-BG" w:eastAsia="bg-BG" w:bidi="en-US"/>
    </w:rPr>
  </w:style>
  <w:style w:type="character" w:styleId="IntenseReference">
    <w:name w:val="Intense Reference"/>
    <w:uiPriority w:val="99"/>
    <w:semiHidden/>
    <w:qFormat/>
    <w:rsid w:val="00D72F9C"/>
    <w:rPr>
      <w:smallCaps/>
      <w:spacing w:val="5"/>
      <w:u w:val="single"/>
      <w:lang w:val="bg-BG" w:eastAsia="bg-BG"/>
    </w:rPr>
  </w:style>
  <w:style w:type="paragraph" w:styleId="ListParagraph">
    <w:name w:val="List Paragraph"/>
    <w:basedOn w:val="Normal"/>
    <w:uiPriority w:val="99"/>
    <w:semiHidden/>
    <w:qFormat/>
    <w:rsid w:val="00D72F9C"/>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D72F9C"/>
    <w:pPr>
      <w:spacing w:before="200"/>
      <w:ind w:left="360" w:right="360"/>
    </w:pPr>
    <w:rPr>
      <w:i/>
      <w:iCs/>
      <w:sz w:val="22"/>
      <w:lang w:bidi="en-US"/>
    </w:rPr>
  </w:style>
  <w:style w:type="character" w:customStyle="1" w:styleId="QuoteChar">
    <w:name w:val="Quote Char"/>
    <w:link w:val="Quote"/>
    <w:uiPriority w:val="99"/>
    <w:semiHidden/>
    <w:rsid w:val="00D72F9C"/>
    <w:rPr>
      <w:rFonts w:eastAsia="MS Mincho"/>
      <w:i/>
      <w:iCs/>
      <w:lang w:val="bg-BG" w:eastAsia="bg-BG" w:bidi="en-US"/>
    </w:rPr>
  </w:style>
  <w:style w:type="character" w:styleId="SubtleReference">
    <w:name w:val="Subtle Reference"/>
    <w:uiPriority w:val="99"/>
    <w:semiHidden/>
    <w:qFormat/>
    <w:rsid w:val="00D72F9C"/>
    <w:rPr>
      <w:smallCaps/>
      <w:lang w:val="bg-BG" w:eastAsia="bg-BG"/>
    </w:rPr>
  </w:style>
  <w:style w:type="table" w:styleId="TableGrid">
    <w:name w:val="Table Grid"/>
    <w:basedOn w:val="TableNormal"/>
    <w:uiPriority w:val="59"/>
    <w:semiHidden/>
    <w:rsid w:val="00D72F9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72F9C"/>
    <w:pPr>
      <w:spacing w:before="120" w:after="60"/>
      <w:ind w:left="340" w:right="340" w:hanging="340"/>
    </w:pPr>
    <w:rPr>
      <w:color w:val="0D0D0D"/>
    </w:rPr>
  </w:style>
  <w:style w:type="paragraph" w:styleId="TOC2">
    <w:name w:val="toc 2"/>
    <w:basedOn w:val="Normal"/>
    <w:next w:val="Normal"/>
    <w:autoRedefine/>
    <w:uiPriority w:val="99"/>
    <w:semiHidden/>
    <w:rsid w:val="00D72F9C"/>
    <w:pPr>
      <w:spacing w:after="60"/>
      <w:ind w:left="680" w:right="340" w:hanging="340"/>
    </w:pPr>
  </w:style>
  <w:style w:type="paragraph" w:styleId="TOC3">
    <w:name w:val="toc 3"/>
    <w:basedOn w:val="Normal"/>
    <w:next w:val="Normal"/>
    <w:autoRedefine/>
    <w:uiPriority w:val="99"/>
    <w:semiHidden/>
    <w:rsid w:val="00D72F9C"/>
    <w:pPr>
      <w:spacing w:after="60"/>
      <w:ind w:left="1020" w:right="340" w:hanging="340"/>
    </w:pPr>
  </w:style>
  <w:style w:type="paragraph" w:styleId="TOC4">
    <w:name w:val="toc 4"/>
    <w:basedOn w:val="Normal"/>
    <w:next w:val="Normal"/>
    <w:autoRedefine/>
    <w:uiPriority w:val="99"/>
    <w:semiHidden/>
    <w:rsid w:val="00D72F9C"/>
    <w:pPr>
      <w:tabs>
        <w:tab w:val="right" w:leader="dot" w:pos="9017"/>
      </w:tabs>
      <w:spacing w:after="60"/>
      <w:ind w:left="1361" w:right="340" w:hanging="340"/>
    </w:pPr>
  </w:style>
  <w:style w:type="paragraph" w:styleId="TOC5">
    <w:name w:val="toc 5"/>
    <w:basedOn w:val="Normal"/>
    <w:next w:val="Normal"/>
    <w:autoRedefine/>
    <w:uiPriority w:val="99"/>
    <w:semiHidden/>
    <w:rsid w:val="00D72F9C"/>
    <w:pPr>
      <w:spacing w:after="60"/>
      <w:ind w:left="1701" w:right="340" w:hanging="340"/>
    </w:pPr>
  </w:style>
  <w:style w:type="paragraph" w:styleId="TOCHeading">
    <w:name w:val="TOC Heading"/>
    <w:basedOn w:val="Normal"/>
    <w:next w:val="Normal"/>
    <w:uiPriority w:val="99"/>
    <w:semiHidden/>
    <w:qFormat/>
    <w:rsid w:val="00D72F9C"/>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D72F9C"/>
    <w:pPr>
      <w:spacing w:before="120"/>
    </w:pPr>
    <w:rPr>
      <w:rFonts w:eastAsia="MS Gothic"/>
      <w:b/>
      <w:bCs/>
      <w:color w:val="474747"/>
      <w:szCs w:val="24"/>
    </w:rPr>
  </w:style>
  <w:style w:type="paragraph" w:customStyle="1" w:styleId="ECHRParaQuote">
    <w:name w:val="ECHR_Para_Quote"/>
    <w:aliases w:val="Ju_Quot"/>
    <w:basedOn w:val="Normal"/>
    <w:uiPriority w:val="14"/>
    <w:qFormat/>
    <w:rsid w:val="00D72F9C"/>
    <w:pPr>
      <w:spacing w:before="120" w:after="120"/>
      <w:ind w:left="425" w:firstLine="142"/>
    </w:pPr>
    <w:rPr>
      <w:sz w:val="20"/>
    </w:rPr>
  </w:style>
  <w:style w:type="paragraph" w:customStyle="1" w:styleId="ECHRPara">
    <w:name w:val="ECHR_Para"/>
    <w:aliases w:val="Ju_Para"/>
    <w:basedOn w:val="Normal"/>
    <w:link w:val="ECHRParaChar"/>
    <w:uiPriority w:val="12"/>
    <w:qFormat/>
    <w:rsid w:val="00D72F9C"/>
    <w:pPr>
      <w:ind w:firstLine="284"/>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D72F9C"/>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D72F9C"/>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D72F9C"/>
    <w:pPr>
      <w:ind w:left="340" w:hanging="340"/>
    </w:pPr>
  </w:style>
  <w:style w:type="paragraph" w:customStyle="1" w:styleId="JuSigned">
    <w:name w:val="Ju_Signed"/>
    <w:basedOn w:val="Normal"/>
    <w:next w:val="JuParaLast"/>
    <w:uiPriority w:val="32"/>
    <w:qFormat/>
    <w:rsid w:val="00D72F9C"/>
    <w:pPr>
      <w:tabs>
        <w:tab w:val="center" w:pos="851"/>
        <w:tab w:val="center" w:pos="6407"/>
      </w:tabs>
      <w:spacing w:before="720"/>
      <w:jc w:val="left"/>
    </w:pPr>
  </w:style>
  <w:style w:type="paragraph" w:customStyle="1" w:styleId="JuParaLast">
    <w:name w:val="Ju_Para_Last"/>
    <w:basedOn w:val="Normal"/>
    <w:next w:val="ECHRPara"/>
    <w:uiPriority w:val="30"/>
    <w:qFormat/>
    <w:rsid w:val="00D72F9C"/>
    <w:pPr>
      <w:keepNext/>
      <w:keepLines/>
      <w:spacing w:before="240"/>
      <w:ind w:firstLine="284"/>
    </w:pPr>
  </w:style>
  <w:style w:type="character" w:customStyle="1" w:styleId="JuITMark">
    <w:name w:val="Ju_ITMark"/>
    <w:uiPriority w:val="38"/>
    <w:qFormat/>
    <w:rsid w:val="00D72F9C"/>
    <w:rPr>
      <w:color w:val="000000"/>
      <w:sz w:val="14"/>
      <w:lang w:val="bg-BG" w:eastAsia="bg-BG"/>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D72F9C"/>
    <w:pPr>
      <w:ind w:left="346" w:firstLine="0"/>
    </w:pPr>
  </w:style>
  <w:style w:type="paragraph" w:customStyle="1" w:styleId="JuListi">
    <w:name w:val="Ju_List_i"/>
    <w:basedOn w:val="Normal"/>
    <w:next w:val="JuLista"/>
    <w:uiPriority w:val="28"/>
    <w:qFormat/>
    <w:rsid w:val="00D72F9C"/>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semiHidden/>
    <w:rsid w:val="00014566"/>
    <w:rPr>
      <w:sz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Translation">
    <w:name w:val="Opi_Translation"/>
    <w:basedOn w:val="Normal"/>
    <w:next w:val="OpiPara"/>
    <w:uiPriority w:val="40"/>
    <w:qFormat/>
    <w:rsid w:val="00D72F9C"/>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qFormat/>
    <w:rsid w:val="00D72F9C"/>
  </w:style>
  <w:style w:type="paragraph" w:styleId="Subtitle">
    <w:name w:val="Subtitle"/>
    <w:basedOn w:val="Normal"/>
    <w:next w:val="Normal"/>
    <w:link w:val="SubtitleChar"/>
    <w:uiPriority w:val="99"/>
    <w:semiHidden/>
    <w:qFormat/>
    <w:rsid w:val="00D72F9C"/>
    <w:pPr>
      <w:spacing w:after="600"/>
    </w:pPr>
    <w:rPr>
      <w:rFonts w:eastAsia="MS Gothic"/>
      <w:i/>
      <w:iCs/>
      <w:spacing w:val="13"/>
      <w:szCs w:val="24"/>
      <w:lang w:bidi="en-US"/>
    </w:rPr>
  </w:style>
  <w:style w:type="character" w:customStyle="1" w:styleId="SubtitleChar">
    <w:name w:val="Subtitle Char"/>
    <w:link w:val="Subtitle"/>
    <w:uiPriority w:val="99"/>
    <w:semiHidden/>
    <w:rsid w:val="00D72F9C"/>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uiPriority w:val="99"/>
    <w:semiHidden/>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uiPriority w:val="99"/>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014566"/>
    <w:rPr>
      <w:color w:val="808080"/>
      <w:lang w:val="bg-BG" w:eastAsia="bg-BG"/>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D72F9C"/>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D72F9C"/>
    <w:pPr>
      <w:spacing w:before="240"/>
      <w:ind w:left="284"/>
    </w:pPr>
  </w:style>
  <w:style w:type="paragraph" w:customStyle="1" w:styleId="OpiH1">
    <w:name w:val="Opi_H_1"/>
    <w:basedOn w:val="ECHRHeading2"/>
    <w:uiPriority w:val="42"/>
    <w:qFormat/>
    <w:rsid w:val="00D72F9C"/>
    <w:pPr>
      <w:ind w:left="635" w:hanging="357"/>
      <w:outlineLvl w:val="2"/>
    </w:pPr>
  </w:style>
  <w:style w:type="paragraph" w:customStyle="1" w:styleId="OpiHa0">
    <w:name w:val="Opi_H_a"/>
    <w:basedOn w:val="ECHRHeading3"/>
    <w:uiPriority w:val="43"/>
    <w:qFormat/>
    <w:rsid w:val="00D72F9C"/>
    <w:pPr>
      <w:ind w:left="833" w:hanging="357"/>
      <w:outlineLvl w:val="3"/>
    </w:pPr>
    <w:rPr>
      <w:b/>
      <w:i w:val="0"/>
      <w:sz w:val="20"/>
    </w:rPr>
  </w:style>
  <w:style w:type="paragraph" w:customStyle="1" w:styleId="OpiHi">
    <w:name w:val="Opi_H_i"/>
    <w:basedOn w:val="ECHRHeading4"/>
    <w:uiPriority w:val="44"/>
    <w:qFormat/>
    <w:rsid w:val="00D72F9C"/>
    <w:pPr>
      <w:ind w:left="1037" w:hanging="357"/>
      <w:outlineLvl w:val="4"/>
    </w:pPr>
    <w:rPr>
      <w:b w:val="0"/>
      <w:i/>
    </w:rPr>
  </w:style>
  <w:style w:type="paragraph" w:customStyle="1" w:styleId="DummyStyle">
    <w:name w:val="Dummy_Style"/>
    <w:basedOn w:val="Normal"/>
    <w:semiHidden/>
    <w:qFormat/>
    <w:rsid w:val="00D72F9C"/>
    <w:rPr>
      <w:color w:val="00B050"/>
    </w:rPr>
  </w:style>
  <w:style w:type="paragraph" w:customStyle="1" w:styleId="JuHeaderLandscape">
    <w:name w:val="Ju_Header_Landscape"/>
    <w:basedOn w:val="ECHRHeader"/>
    <w:uiPriority w:val="4"/>
    <w:qFormat/>
    <w:rsid w:val="00D72F9C"/>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692D62"/>
    <w:rPr>
      <w:rFonts w:eastAsia="MS Mincho"/>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hudoc.echr.coe.int/sites/eng/Pages/search.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4834</Words>
  <Characters>27554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32324</CharactersWithSpaces>
  <SharedDoc>false</SharedDoc>
  <HLinks>
    <vt:vector size="6" baseType="variant">
      <vt:variant>
        <vt:i4>7143521</vt:i4>
      </vt:variant>
      <vt:variant>
        <vt:i4>75</vt:i4>
      </vt:variant>
      <vt:variant>
        <vt:i4>0</vt:i4>
      </vt:variant>
      <vt:variant>
        <vt:i4>5</vt:i4>
      </vt:variant>
      <vt:variant>
        <vt:lpwstr>http://hudoc.echr.coe.int/sites/eng/Pages/search.aspx</vt:lpwstr>
      </vt:variant>
      <vt:variant>
        <vt:lpwstr>{"appno":["126/05"]}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2016-11-02T12:39:00Z</dcterms:created>
  <dcterms:modified xsi:type="dcterms:W3CDTF">2016-11-02T12:39:00Z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