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4" w:rsidRPr="00144309" w:rsidRDefault="004B30F4" w:rsidP="004B30F4">
      <w:pPr>
        <w:tabs>
          <w:tab w:val="left" w:pos="5670"/>
        </w:tabs>
        <w:rPr>
          <w:b/>
        </w:rPr>
      </w:pPr>
    </w:p>
    <w:p w:rsidR="004B30F4" w:rsidRPr="00144309" w:rsidRDefault="004B30F4" w:rsidP="004B30F4">
      <w:pPr>
        <w:tabs>
          <w:tab w:val="left" w:pos="5670"/>
        </w:tabs>
        <w:rPr>
          <w:b/>
        </w:rPr>
      </w:pPr>
    </w:p>
    <w:p w:rsidR="004B30F4" w:rsidRPr="00144309" w:rsidRDefault="004B30F4" w:rsidP="004B30F4">
      <w:pPr>
        <w:tabs>
          <w:tab w:val="left" w:pos="5670"/>
        </w:tabs>
        <w:rPr>
          <w:b/>
        </w:rPr>
      </w:pPr>
    </w:p>
    <w:p w:rsidR="004B30F4" w:rsidRPr="00144309" w:rsidRDefault="004B30F4" w:rsidP="004B30F4">
      <w:pPr>
        <w:jc w:val="center"/>
      </w:pPr>
      <w:r>
        <w:rPr>
          <w:rStyle w:val="Normal"/>
        </w:rPr>
        <w:t>ПЕТО ОТДЕЛЕНИЕ</w:t>
      </w:r>
    </w:p>
    <w:p w:rsidR="004B30F4" w:rsidRPr="00144309" w:rsidRDefault="004B30F4" w:rsidP="004B30F4">
      <w:pPr>
        <w:jc w:val="center"/>
      </w:pPr>
      <w:bookmarkStart w:id="0" w:name="To"/>
    </w:p>
    <w:p w:rsidR="004B30F4" w:rsidRPr="00144309" w:rsidRDefault="004B30F4" w:rsidP="004B30F4">
      <w:pPr>
        <w:jc w:val="center"/>
      </w:pPr>
    </w:p>
    <w:p w:rsidR="004B30F4" w:rsidRPr="008144F9" w:rsidRDefault="004B30F4" w:rsidP="004B30F4">
      <w:pPr>
        <w:jc w:val="center"/>
      </w:pPr>
      <w:bookmarkStart w:id="1" w:name="_GoBack"/>
      <w:bookmarkEnd w:id="1"/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  <w:rPr>
          <w:b/>
        </w:rPr>
      </w:pPr>
      <w:r>
        <w:rPr>
          <w:rStyle w:val="Normal"/>
          <w:b/>
        </w:rPr>
        <w:t xml:space="preserve">ДЕЛО </w:t>
      </w:r>
      <w:bookmarkEnd w:id="0"/>
      <w:r>
        <w:rPr>
          <w:rStyle w:val="Normal"/>
          <w:b/>
        </w:rPr>
        <w:t>ВЪЛКОВА СРЕЩУ БЪЛГАРИЯ</w:t>
      </w:r>
    </w:p>
    <w:p w:rsidR="004B30F4" w:rsidRPr="00144309" w:rsidRDefault="004B30F4" w:rsidP="004B30F4">
      <w:pPr>
        <w:jc w:val="center"/>
        <w:rPr>
          <w:b/>
        </w:rPr>
      </w:pPr>
    </w:p>
    <w:p w:rsidR="004B30F4" w:rsidRPr="00144309" w:rsidRDefault="004B30F4" w:rsidP="004B30F4">
      <w:pPr>
        <w:jc w:val="center"/>
        <w:rPr>
          <w:i/>
        </w:rPr>
      </w:pPr>
      <w:r>
        <w:rPr>
          <w:rStyle w:val="Normal"/>
          <w:i/>
        </w:rPr>
        <w:t xml:space="preserve">(Жалба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48149/09)</w:t>
      </w: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  <w:outlineLvl w:val="0"/>
      </w:pPr>
      <w:r>
        <w:rPr>
          <w:rStyle w:val="Normal"/>
        </w:rPr>
        <w:t>РЕШЕНИЕ</w:t>
      </w:r>
    </w:p>
    <w:p w:rsidR="004B30F4" w:rsidRPr="00144309" w:rsidRDefault="004B30F4" w:rsidP="004B30F4">
      <w:pPr>
        <w:jc w:val="center"/>
        <w:rPr>
          <w:i/>
        </w:rPr>
      </w:pPr>
    </w:p>
    <w:p w:rsidR="004B30F4" w:rsidRPr="00144309" w:rsidRDefault="004B30F4" w:rsidP="004B30F4">
      <w:pPr>
        <w:jc w:val="center"/>
        <w:rPr>
          <w:i/>
        </w:rPr>
      </w:pPr>
    </w:p>
    <w:p w:rsidR="004B30F4" w:rsidRPr="00144309" w:rsidRDefault="004B30F4" w:rsidP="004B30F4">
      <w:pPr>
        <w:jc w:val="center"/>
        <w:outlineLvl w:val="0"/>
      </w:pPr>
      <w:r>
        <w:rPr>
          <w:rStyle w:val="Normal"/>
        </w:rPr>
        <w:t>СТРАСБУРГ</w:t>
      </w: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  <w:r>
        <w:rPr>
          <w:rStyle w:val="Normal"/>
        </w:rPr>
        <w:t>10 януари 2019 г.</w:t>
      </w: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jc w:val="center"/>
      </w:pPr>
    </w:p>
    <w:p w:rsidR="004B30F4" w:rsidRPr="00144309" w:rsidRDefault="004B30F4" w:rsidP="004B30F4">
      <w:pPr>
        <w:rPr>
          <w:szCs w:val="24"/>
        </w:rPr>
      </w:pPr>
      <w:r>
        <w:rPr>
          <w:rStyle w:val="Normal"/>
          <w:i/>
          <w:sz w:val="22"/>
        </w:rPr>
        <w:t>Настоящото решение е окончателно, но може да бъде предмет на редакционни промени.</w:t>
      </w:r>
    </w:p>
    <w:p w:rsidR="004B30F4" w:rsidRPr="00144309" w:rsidRDefault="004B30F4" w:rsidP="004B30F4">
      <w:pPr>
        <w:pStyle w:val="JuCase"/>
      </w:pPr>
    </w:p>
    <w:p w:rsidR="004B30F4" w:rsidRDefault="004B30F4" w:rsidP="004B30F4">
      <w:pPr>
        <w:pStyle w:val="ECHRPara"/>
        <w:sectPr w:rsidR="004B30F4" w:rsidSect="004B30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4B30F4" w:rsidRPr="00144309" w:rsidRDefault="004B30F4" w:rsidP="004B30F4">
      <w:pPr>
        <w:pStyle w:val="JuCase"/>
        <w:rPr>
          <w:bCs/>
        </w:rPr>
      </w:pPr>
      <w:r>
        <w:rPr>
          <w:rStyle w:val="JuCase"/>
        </w:rPr>
        <w:lastRenderedPageBreak/>
        <w:t>По делото Вълкова срещу България,</w:t>
      </w:r>
    </w:p>
    <w:p w:rsidR="004B30F4" w:rsidRPr="00144309" w:rsidRDefault="004B30F4" w:rsidP="004B30F4">
      <w:pPr>
        <w:pStyle w:val="ECHRPara"/>
      </w:pPr>
      <w:r>
        <w:rPr>
          <w:rStyle w:val="ECHRPara"/>
        </w:rPr>
        <w:t>Европейският съд по правата на човека (Пето отделение), заседаващ като комитет</w:t>
      </w:r>
      <w:r w:rsidR="00BC249A">
        <w:rPr>
          <w:rStyle w:val="ECHRPara"/>
        </w:rPr>
        <w:t>, в състав</w:t>
      </w:r>
      <w:r>
        <w:rPr>
          <w:rStyle w:val="ECHRPara"/>
        </w:rPr>
        <w:t>:</w:t>
      </w:r>
    </w:p>
    <w:p w:rsidR="004B30F4" w:rsidRPr="00144309" w:rsidRDefault="004B30F4" w:rsidP="004B30F4">
      <w:pPr>
        <w:pStyle w:val="ECHRDecisionBody"/>
      </w:pPr>
      <w:r>
        <w:rPr>
          <w:rStyle w:val="ECHRDecisionBody"/>
        </w:rPr>
        <w:tab/>
        <w:t>Габриеле Куцко-Щадлмайер (Gabriele Kucsko-Stadlmayer),</w:t>
      </w:r>
      <w:r>
        <w:rPr>
          <w:rStyle w:val="ECHRDecisionBody"/>
          <w:i/>
        </w:rPr>
        <w:t xml:space="preserve"> председател,</w:t>
      </w:r>
      <w:r>
        <w:br/>
      </w:r>
      <w:r>
        <w:rPr>
          <w:rStyle w:val="ECHRDecisionBody"/>
        </w:rPr>
        <w:tab/>
        <w:t>Йонко Грозев (Yonko Grozev),</w:t>
      </w:r>
      <w:r>
        <w:br/>
      </w:r>
      <w:r>
        <w:rPr>
          <w:rStyle w:val="ECHRDecisionBody"/>
        </w:rPr>
        <w:tab/>
        <w:t>Летиф Хюсеинов (Lәtif Hüseynov),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>и Милан Бла</w:t>
      </w:r>
      <w:r w:rsidR="00BC249A">
        <w:rPr>
          <w:rStyle w:val="ECHRDecisionBody"/>
        </w:rPr>
        <w:t>с</w:t>
      </w:r>
      <w:r>
        <w:rPr>
          <w:rStyle w:val="ECHRDecisionBody"/>
        </w:rPr>
        <w:t xml:space="preserve">ко (Milan Blaško), </w:t>
      </w:r>
      <w:r>
        <w:rPr>
          <w:rStyle w:val="ECHRDecisionBody"/>
          <w:i/>
        </w:rPr>
        <w:t>заместник-секретар на отделението,</w:t>
      </w:r>
    </w:p>
    <w:p w:rsidR="004B30F4" w:rsidRPr="00144309" w:rsidRDefault="004B30F4" w:rsidP="004B30F4">
      <w:pPr>
        <w:pStyle w:val="ECHRPara"/>
      </w:pPr>
      <w:r>
        <w:rPr>
          <w:rStyle w:val="ECHRPara"/>
        </w:rPr>
        <w:t>След закрито заседание, проведено на 4 декември 2018 г.,</w:t>
      </w:r>
    </w:p>
    <w:p w:rsidR="004B30F4" w:rsidRPr="00144309" w:rsidRDefault="004B30F4" w:rsidP="004B30F4">
      <w:pPr>
        <w:pStyle w:val="ECHRPara"/>
      </w:pPr>
      <w:r>
        <w:rPr>
          <w:rStyle w:val="ECHRPara"/>
        </w:rPr>
        <w:t>Постановява следното решение, прието на същата дата:</w:t>
      </w:r>
    </w:p>
    <w:p w:rsidR="004B30F4" w:rsidRPr="00144309" w:rsidRDefault="004B30F4" w:rsidP="004B30F4">
      <w:pPr>
        <w:pStyle w:val="ECHRTitle1"/>
      </w:pPr>
      <w:r>
        <w:rPr>
          <w:rStyle w:val="ECHRTitle1"/>
        </w:rPr>
        <w:t>ПРОЦЕДУРА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</w:t>
      </w:r>
      <w:r>
        <w:fldChar w:fldCharType="end"/>
      </w:r>
      <w:r>
        <w:rPr>
          <w:rStyle w:val="ECHRPara"/>
        </w:rPr>
        <w:t>.  Делото е образувано по жалба (</w:t>
      </w:r>
      <w:r>
        <w:rPr>
          <w:rStyle w:val="ECHRPara"/>
          <w:cs/>
        </w:rPr>
        <w:t xml:space="preserve">№ </w:t>
      </w:r>
      <w:r>
        <w:rPr>
          <w:rStyle w:val="ECHRPara"/>
        </w:rPr>
        <w:t>48149/09) срещу Република България, подадена в Съда на основание чл. 34 от Конвенцията за защита на правата на човека и основните свободи (</w:t>
      </w:r>
      <w:r>
        <w:rPr>
          <w:rStyle w:val="ECHRPara"/>
          <w:cs/>
        </w:rPr>
        <w:t>”</w:t>
      </w:r>
      <w:r>
        <w:rPr>
          <w:rStyle w:val="ECHRPara"/>
        </w:rPr>
        <w:t>Конвенцията</w:t>
      </w:r>
      <w:r>
        <w:rPr>
          <w:rStyle w:val="ECHRPara"/>
          <w:cs/>
        </w:rPr>
        <w:t>”</w:t>
      </w:r>
      <w:r>
        <w:rPr>
          <w:rStyle w:val="ECHRPara"/>
        </w:rPr>
        <w:t>) от български гражданин, г-жа Райна Николаева Вълкова (</w:t>
      </w:r>
      <w:r>
        <w:rPr>
          <w:rStyle w:val="ECHRPara"/>
          <w:cs/>
        </w:rPr>
        <w:t>”</w:t>
      </w:r>
      <w:r>
        <w:rPr>
          <w:rStyle w:val="ECHRPara"/>
        </w:rPr>
        <w:t>жалбоподателката</w:t>
      </w:r>
      <w:r>
        <w:rPr>
          <w:rStyle w:val="ECHRPara"/>
          <w:cs/>
        </w:rPr>
        <w:t>”</w:t>
      </w:r>
      <w:r>
        <w:rPr>
          <w:rStyle w:val="ECHRPara"/>
        </w:rPr>
        <w:t>), на 28 юли 2009 г.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</w:t>
      </w:r>
      <w:r>
        <w:fldChar w:fldCharType="end"/>
      </w:r>
      <w:r>
        <w:rPr>
          <w:rStyle w:val="ECHRPara"/>
        </w:rPr>
        <w:t>.  Жалбоподателката се представлява от г-н Б. Михайлов, адвокат, практикуващ в София. 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К. Радкова от Министерство на правосъдието.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</w:t>
      </w:r>
      <w:r>
        <w:fldChar w:fldCharType="end"/>
      </w:r>
      <w:r w:rsidRPr="00FA109E">
        <w:rPr>
          <w:rStyle w:val="ECHRPara"/>
        </w:rPr>
        <w:t>.  На 23 март 2017 г. председателят на отделението, на което е разпределено делото, решава</w:t>
      </w:r>
      <w:r w:rsidRPr="002D55E4">
        <w:rPr>
          <w:rStyle w:val="ECHRPara"/>
        </w:rPr>
        <w:t xml:space="preserve"> съгласно </w:t>
      </w:r>
      <w:r w:rsidR="00BC249A" w:rsidRPr="002D55E4">
        <w:rPr>
          <w:rStyle w:val="ECHRPara"/>
        </w:rPr>
        <w:t>п</w:t>
      </w:r>
      <w:r w:rsidRPr="002D55E4">
        <w:rPr>
          <w:rStyle w:val="ECHRPara"/>
        </w:rPr>
        <w:t xml:space="preserve">равило 54 § 2 (b) от Правилника на Съда, че уведомление за жалбата трябва да бъде предоставено на </w:t>
      </w:r>
      <w:r w:rsidR="00777E36">
        <w:rPr>
          <w:rStyle w:val="ECHRPara"/>
        </w:rPr>
        <w:t>б</w:t>
      </w:r>
      <w:r w:rsidR="00FA109E">
        <w:rPr>
          <w:rStyle w:val="ECHRPara"/>
        </w:rPr>
        <w:t>ългарското правителство</w:t>
      </w:r>
      <w:r w:rsidRPr="00FA109E">
        <w:rPr>
          <w:rStyle w:val="ECHRPara"/>
        </w:rPr>
        <w:t xml:space="preserve">. Жалбата е </w:t>
      </w:r>
      <w:r w:rsidR="00777E36">
        <w:rPr>
          <w:rStyle w:val="ECHRPara"/>
        </w:rPr>
        <w:t>изпратена</w:t>
      </w:r>
      <w:r w:rsidRPr="00FA109E">
        <w:rPr>
          <w:rStyle w:val="ECHRPara"/>
        </w:rPr>
        <w:t xml:space="preserve"> на Правителството на 5 април 2017 г.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</w:t>
      </w:r>
      <w:r>
        <w:fldChar w:fldCharType="end"/>
      </w:r>
      <w:r>
        <w:rPr>
          <w:rStyle w:val="ECHRPara"/>
        </w:rPr>
        <w:t xml:space="preserve">.  На 23 февруари 2018 г. Правителството представя едностранна декларация, в която признава нарушение на чл. 6 § 1 от Конвенцията в резултат на това, че жалбоподателката не е имала достъп до съд </w:t>
      </w:r>
      <w:r w:rsidR="00777E36">
        <w:rPr>
          <w:rStyle w:val="ECHRPara"/>
        </w:rPr>
        <w:t>за разглеждане на нейния</w:t>
      </w:r>
      <w:r>
        <w:rPr>
          <w:rStyle w:val="ECHRPara"/>
        </w:rPr>
        <w:t xml:space="preserve"> граждански иск. То също така предлага да плати еднократна сума, която покрива всякакви и всички вреди, претърпени от жалбоподателката, и </w:t>
      </w:r>
      <w:r w:rsidR="00777E36">
        <w:rPr>
          <w:rStyle w:val="ECHRPara"/>
        </w:rPr>
        <w:t>кани</w:t>
      </w:r>
      <w:r>
        <w:rPr>
          <w:rStyle w:val="ECHRPara"/>
        </w:rPr>
        <w:t xml:space="preserve"> Съд</w:t>
      </w:r>
      <w:r w:rsidR="00777E36">
        <w:rPr>
          <w:rStyle w:val="ECHRPara"/>
        </w:rPr>
        <w:t xml:space="preserve">а да заличи делото от списъка </w:t>
      </w:r>
      <w:r>
        <w:rPr>
          <w:rStyle w:val="ECHRPara"/>
        </w:rPr>
        <w:t xml:space="preserve"> </w:t>
      </w:r>
      <w:r w:rsidR="00BC249A">
        <w:rPr>
          <w:rStyle w:val="ECHRPara"/>
        </w:rPr>
        <w:t xml:space="preserve">с </w:t>
      </w:r>
      <w:r>
        <w:rPr>
          <w:rStyle w:val="ECHRPara"/>
        </w:rPr>
        <w:t>дела.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5</w:t>
      </w:r>
      <w:r>
        <w:fldChar w:fldCharType="end"/>
      </w:r>
      <w:r>
        <w:rPr>
          <w:rStyle w:val="ECHRPara"/>
        </w:rPr>
        <w:t>.  На 7 май 2018 г. едностранната декларация на Правителството е разгледана от Съда, който решава да не я приеме. След това жалбоподателката е поканена да предяви претенция за справедливо обезщетение. На Правителството е дадена възможност да я коментира. На 17 август 2018 г. Правителството представя становище по делото, след кат</w:t>
      </w:r>
      <w:r w:rsidR="00C55F77">
        <w:rPr>
          <w:rStyle w:val="ECHRPara"/>
        </w:rPr>
        <w:t>о</w:t>
      </w:r>
      <w:r>
        <w:rPr>
          <w:rStyle w:val="ECHRPara"/>
        </w:rPr>
        <w:t xml:space="preserve"> молба</w:t>
      </w:r>
      <w:r w:rsidR="00C55F77">
        <w:rPr>
          <w:rStyle w:val="ECHRPara"/>
        </w:rPr>
        <w:t xml:space="preserve">та му в този смисъл </w:t>
      </w:r>
      <w:r>
        <w:rPr>
          <w:rStyle w:val="ECHRPara"/>
        </w:rPr>
        <w:t xml:space="preserve"> е </w:t>
      </w:r>
      <w:r w:rsidR="00C55F77">
        <w:rPr>
          <w:rStyle w:val="ECHRPara"/>
        </w:rPr>
        <w:t>уважена</w:t>
      </w:r>
      <w:r>
        <w:rPr>
          <w:rStyle w:val="ECHRPara"/>
        </w:rPr>
        <w:t xml:space="preserve"> от председателя на отделението. Жалбоподателката коментира това становище на 10 октомври 2018 г.</w:t>
      </w:r>
    </w:p>
    <w:p w:rsidR="004B30F4" w:rsidRPr="00144309" w:rsidRDefault="004B30F4" w:rsidP="004B30F4">
      <w:pPr>
        <w:pStyle w:val="ECHRTitle1"/>
      </w:pPr>
      <w:r>
        <w:rPr>
          <w:rStyle w:val="ECHRTitle1"/>
        </w:rPr>
        <w:lastRenderedPageBreak/>
        <w:t>ФАКТИТЕ</w:t>
      </w:r>
    </w:p>
    <w:p w:rsidR="004B30F4" w:rsidRPr="00144309" w:rsidRDefault="004B30F4" w:rsidP="004B30F4">
      <w:pPr>
        <w:pStyle w:val="ECHRHeading1"/>
      </w:pPr>
      <w:r>
        <w:rPr>
          <w:rStyle w:val="ECHRHeading1"/>
        </w:rPr>
        <w:t>I.  ОБСТОЯТЕЛСТВА ПО ДЕЛОТО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6</w:t>
      </w:r>
      <w:r>
        <w:fldChar w:fldCharType="end"/>
      </w:r>
      <w:r>
        <w:rPr>
          <w:rStyle w:val="ECHRPara"/>
        </w:rPr>
        <w:t>.  Жалбоподателката е родена през 1979 г. и живее в София.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7</w:t>
      </w:r>
      <w:r>
        <w:fldChar w:fldCharType="end"/>
      </w:r>
      <w:r>
        <w:rPr>
          <w:rStyle w:val="ECHRPara"/>
        </w:rPr>
        <w:t>.  Дядото на жалбоподателката притежава част от недвижим имот. Той дарява своята част на братовчедите на жалбоподателката през 1997 г. Дядото на жалбоподателката умира на 16 януари 2003 г.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8</w:t>
      </w:r>
      <w:r>
        <w:fldChar w:fldCharType="end"/>
      </w:r>
      <w:r>
        <w:rPr>
          <w:rStyle w:val="ECHRPara"/>
        </w:rPr>
        <w:t xml:space="preserve">.  На 13 февруари 2004 г. жалбоподателката </w:t>
      </w:r>
      <w:r w:rsidR="00C55F77">
        <w:rPr>
          <w:rStyle w:val="ECHRPara"/>
        </w:rPr>
        <w:t>предявява иск</w:t>
      </w:r>
      <w:r w:rsidR="00BD657E" w:rsidRPr="008144F9">
        <w:rPr>
          <w:rStyle w:val="ECHRPara"/>
        </w:rPr>
        <w:t xml:space="preserve"> </w:t>
      </w:r>
      <w:r w:rsidR="00BC249A">
        <w:rPr>
          <w:rStyle w:val="ECHRPara"/>
        </w:rPr>
        <w:t>по</w:t>
      </w:r>
      <w:r>
        <w:rPr>
          <w:rStyle w:val="ECHRPara"/>
        </w:rPr>
        <w:t xml:space="preserve"> чл. 30 от Закона за наследството от 1949 г. пред Софийски районен съд. Тя твърди, че дарявайки своята част от недвижимия имот през 1997 г., нейният дядо наруш</w:t>
      </w:r>
      <w:r w:rsidR="00BC249A">
        <w:rPr>
          <w:rStyle w:val="ECHRPara"/>
        </w:rPr>
        <w:t>ава</w:t>
      </w:r>
      <w:r>
        <w:rPr>
          <w:rStyle w:val="ECHRPara"/>
        </w:rPr>
        <w:t xml:space="preserve"> правото ѝ на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>от неговото наследство, като се има предвид, че въпросният недвижим имот представлява цялото му имущество. С решение от 2 ма</w:t>
      </w:r>
      <w:r w:rsidR="00C55F77">
        <w:rPr>
          <w:rStyle w:val="ECHRPara"/>
        </w:rPr>
        <w:t xml:space="preserve">рт 2005 г. съдът уважава </w:t>
      </w:r>
      <w:r>
        <w:rPr>
          <w:rStyle w:val="ECHRPara"/>
        </w:rPr>
        <w:t>иск</w:t>
      </w:r>
      <w:r w:rsidR="00C55F77">
        <w:rPr>
          <w:rStyle w:val="ECHRPara"/>
        </w:rPr>
        <w:t>а</w:t>
      </w:r>
      <w:r>
        <w:rPr>
          <w:rStyle w:val="ECHRPara"/>
        </w:rPr>
        <w:t xml:space="preserve">, като намалява частта от имота, дарена на братовчедите на жалбоподателката, и възстановява </w:t>
      </w:r>
      <w:r>
        <w:rPr>
          <w:rStyle w:val="ECHRPara"/>
          <w:cs/>
        </w:rPr>
        <w:t>„</w:t>
      </w:r>
      <w:r>
        <w:rPr>
          <w:rStyle w:val="ECHRPara"/>
        </w:rPr>
        <w:t>запазената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>на жалбоподателката от наследството на дядо ѝ.</w:t>
      </w:r>
    </w:p>
    <w:p w:rsidR="004B30F4" w:rsidRPr="00C55F77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9</w:t>
      </w:r>
      <w:r>
        <w:fldChar w:fldCharType="end"/>
      </w:r>
      <w:r>
        <w:rPr>
          <w:rStyle w:val="ECHRPara"/>
        </w:rPr>
        <w:t xml:space="preserve">.  След </w:t>
      </w:r>
      <w:r w:rsidR="00C55F77">
        <w:rPr>
          <w:rStyle w:val="ECHRPara"/>
        </w:rPr>
        <w:t xml:space="preserve">жалба на </w:t>
      </w:r>
      <w:r w:rsidR="00BC249A">
        <w:rPr>
          <w:rStyle w:val="ECHRPara"/>
        </w:rPr>
        <w:t>ответната</w:t>
      </w:r>
      <w:r>
        <w:rPr>
          <w:rStyle w:val="ECHRPara"/>
        </w:rPr>
        <w:t xml:space="preserve"> страна, на 20 септември 2007 г. Софийски градски съд отменя решението на първоинстанционния съд и отхвърля иска на жалбоподателката за възстановяване на нейната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от имуществото на дядо ѝ. По-конкретно, като се позовава на Тълкувателно решение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от 4 февруари 2005 г. на Върховния касационен съд (ВКС), съдът констатира, че жалбоподателката не е спазила законовите изисквания за </w:t>
      </w:r>
      <w:r w:rsidR="0017189D" w:rsidRPr="00C55F77">
        <w:rPr>
          <w:rStyle w:val="ECHRPara"/>
        </w:rPr>
        <w:t>упражняване правото</w:t>
      </w:r>
      <w:r w:rsidR="0017189D">
        <w:rPr>
          <w:rStyle w:val="ECHRPara"/>
          <w:color w:val="FF0000"/>
        </w:rPr>
        <w:t xml:space="preserve"> </w:t>
      </w:r>
      <w:r>
        <w:rPr>
          <w:rStyle w:val="ECHRPara"/>
        </w:rPr>
        <w:t>на зап</w:t>
      </w:r>
      <w:r w:rsidR="0017189D">
        <w:rPr>
          <w:rStyle w:val="ECHRPara"/>
        </w:rPr>
        <w:t xml:space="preserve">азената </w:t>
      </w:r>
      <w:r>
        <w:rPr>
          <w:rStyle w:val="ECHRPara"/>
        </w:rPr>
        <w:t>част. Съдът постановява, че тъй като нейните братовчеди, на които имотът е дарен, не могат да се сч</w:t>
      </w:r>
      <w:r w:rsidR="0017189D">
        <w:rPr>
          <w:rStyle w:val="ECHRPara"/>
        </w:rPr>
        <w:t>и</w:t>
      </w:r>
      <w:r>
        <w:rPr>
          <w:rStyle w:val="ECHRPara"/>
        </w:rPr>
        <w:t xml:space="preserve">тат за </w:t>
      </w:r>
      <w:r>
        <w:rPr>
          <w:rStyle w:val="ECHRPara"/>
          <w:cs/>
        </w:rPr>
        <w:t>„</w:t>
      </w:r>
      <w:r>
        <w:rPr>
          <w:rStyle w:val="ECHRPara"/>
        </w:rPr>
        <w:t>наследници по закон</w:t>
      </w:r>
      <w:r>
        <w:rPr>
          <w:rStyle w:val="ECHRPara"/>
          <w:cs/>
        </w:rPr>
        <w:t>“</w:t>
      </w:r>
      <w:r w:rsidR="00C55F77">
        <w:rPr>
          <w:rStyle w:val="ECHRPara"/>
        </w:rPr>
        <w:t xml:space="preserve">, жалбоподателката е трябвало </w:t>
      </w:r>
      <w:r w:rsidR="0017189D" w:rsidRPr="00C55F77">
        <w:rPr>
          <w:rStyle w:val="ECHRPara"/>
          <w:color w:val="000000"/>
        </w:rPr>
        <w:t>да приеме наследството по опис, за да може да упражни правото си на запазена част</w:t>
      </w:r>
      <w:r w:rsidR="00C55F77">
        <w:rPr>
          <w:rStyle w:val="ECHRPara"/>
          <w:color w:val="000000"/>
        </w:rPr>
        <w:t xml:space="preserve">. 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10</w:t>
      </w:r>
      <w:r>
        <w:fldChar w:fldCharType="end"/>
      </w:r>
      <w:r>
        <w:rPr>
          <w:rStyle w:val="ECHRPara"/>
        </w:rPr>
        <w:t xml:space="preserve">.  След подадена от жалбоподателката касационна жалба, на 24 март 2009 г. ВКС потвърждава изцяло </w:t>
      </w:r>
      <w:r w:rsidR="0039334E">
        <w:rPr>
          <w:rStyle w:val="ECHRPara"/>
        </w:rPr>
        <w:t>заключенията</w:t>
      </w:r>
      <w:r>
        <w:rPr>
          <w:rStyle w:val="ECHRPara"/>
        </w:rPr>
        <w:t xml:space="preserve"> на Софийски градски съд в окончателно решение.</w:t>
      </w:r>
    </w:p>
    <w:p w:rsidR="004B30F4" w:rsidRPr="00144309" w:rsidRDefault="004B30F4" w:rsidP="004B30F4">
      <w:pPr>
        <w:pStyle w:val="ECHRHeading1"/>
      </w:pPr>
      <w:r>
        <w:rPr>
          <w:rStyle w:val="ECHRHeading1"/>
        </w:rPr>
        <w:t>II.  ПРИЛОЖИМО ВЪТРЕШНО ПРАВО И ПРАКТИКА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11</w:t>
      </w:r>
      <w:r>
        <w:fldChar w:fldCharType="end"/>
      </w:r>
      <w:r>
        <w:rPr>
          <w:rStyle w:val="ECHRPara"/>
        </w:rPr>
        <w:t xml:space="preserve">.  Законовите условия за </w:t>
      </w:r>
      <w:r w:rsidR="00BA1C4A" w:rsidRPr="0039334E">
        <w:rPr>
          <w:rStyle w:val="ECHRPara"/>
        </w:rPr>
        <w:t>упражняване правото</w:t>
      </w:r>
      <w:r w:rsidR="00BA1C4A">
        <w:rPr>
          <w:rStyle w:val="ECHRPara"/>
        </w:rPr>
        <w:t xml:space="preserve"> </w:t>
      </w:r>
      <w:r>
        <w:rPr>
          <w:rStyle w:val="ECHRPara"/>
        </w:rPr>
        <w:t xml:space="preserve">на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от наследство и тяхното тълкуване от националните съдилища, включително Тълкувателно решение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1, прието от ВКС на 4 февруари 2005 г., са изложени в делото </w:t>
      </w:r>
      <w:r>
        <w:rPr>
          <w:rStyle w:val="ECHRPara"/>
          <w:i/>
        </w:rPr>
        <w:t>Петко Петков срещу България</w:t>
      </w:r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2834/06, §§ 14-19, 19 февруари 2013 г.). По-конкретно, от приемането на това </w:t>
      </w:r>
      <w:r w:rsidR="005352A6">
        <w:rPr>
          <w:rStyle w:val="ECHRPara"/>
        </w:rPr>
        <w:t xml:space="preserve">национално </w:t>
      </w:r>
      <w:r>
        <w:rPr>
          <w:rStyle w:val="ECHRPara"/>
        </w:rPr>
        <w:t>тълкувателно решение</w:t>
      </w:r>
      <w:r w:rsidR="0039334E">
        <w:rPr>
          <w:rStyle w:val="ECHRPara"/>
        </w:rPr>
        <w:t xml:space="preserve"> следва</w:t>
      </w:r>
      <w:r>
        <w:rPr>
          <w:rStyle w:val="ECHRPara"/>
        </w:rPr>
        <w:t xml:space="preserve">, </w:t>
      </w:r>
      <w:r w:rsidR="0039334E">
        <w:rPr>
          <w:rStyle w:val="ECHRPara"/>
        </w:rPr>
        <w:t>че п</w:t>
      </w:r>
      <w:r w:rsidR="007F16F3" w:rsidRPr="0039334E">
        <w:rPr>
          <w:rStyle w:val="ECHRPara"/>
        </w:rPr>
        <w:t>риемането на наследство по опис се смята за предпоставка за упражняване правото на запазена част срещу лица,</w:t>
      </w:r>
      <w:r w:rsidR="0039334E" w:rsidRPr="0039334E">
        <w:rPr>
          <w:rStyle w:val="ECHRPara"/>
        </w:rPr>
        <w:t xml:space="preserve"> които не са законни наследници.</w:t>
      </w:r>
      <w:r w:rsidR="0039334E">
        <w:rPr>
          <w:rStyle w:val="ECHRPara"/>
          <w:i/>
        </w:rPr>
        <w:t xml:space="preserve"> </w:t>
      </w:r>
      <w:r>
        <w:rPr>
          <w:rStyle w:val="ECHRPara"/>
        </w:rPr>
        <w:t>Това решение не предвижда никакви временни правила или преходен период за прилагането му към висящи производства.</w:t>
      </w:r>
    </w:p>
    <w:p w:rsidR="004B30F4" w:rsidRPr="0039334E" w:rsidRDefault="004B30F4" w:rsidP="004B30F4">
      <w:pPr>
        <w:pStyle w:val="ECHRPara"/>
        <w:keepNext/>
        <w:keepLines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12</w:t>
      </w:r>
      <w:r>
        <w:fldChar w:fldCharType="end"/>
      </w:r>
      <w:r>
        <w:rPr>
          <w:rStyle w:val="ECHRPara"/>
        </w:rPr>
        <w:t>.  Съгласно чл. 303, ал. 1, т. 7 от Гражданск</w:t>
      </w:r>
      <w:r w:rsidR="005352A6">
        <w:rPr>
          <w:rStyle w:val="ECHRPara"/>
        </w:rPr>
        <w:t>о</w:t>
      </w:r>
      <w:r>
        <w:rPr>
          <w:rStyle w:val="ECHRPara"/>
        </w:rPr>
        <w:t>процесуал</w:t>
      </w:r>
      <w:r w:rsidR="005352A6">
        <w:rPr>
          <w:rStyle w:val="ECHRPara"/>
        </w:rPr>
        <w:t>ния</w:t>
      </w:r>
      <w:r>
        <w:rPr>
          <w:rStyle w:val="ECHRPara"/>
        </w:rPr>
        <w:t xml:space="preserve"> кодекс от 2007 г. (</w:t>
      </w:r>
      <w:r>
        <w:rPr>
          <w:rStyle w:val="ECHRPara"/>
          <w:cs/>
        </w:rPr>
        <w:t>„</w:t>
      </w:r>
      <w:r>
        <w:rPr>
          <w:rStyle w:val="ECHRPara"/>
        </w:rPr>
        <w:t>ГПК</w:t>
      </w:r>
      <w:r>
        <w:rPr>
          <w:rStyle w:val="ECHRPara"/>
          <w:cs/>
        </w:rPr>
        <w:t>”</w:t>
      </w:r>
      <w:r>
        <w:rPr>
          <w:rStyle w:val="ECHRPara"/>
        </w:rPr>
        <w:t xml:space="preserve">), </w:t>
      </w:r>
      <w:r w:rsidRPr="0039334E">
        <w:rPr>
          <w:rStyle w:val="ECHRPara"/>
        </w:rPr>
        <w:t>гражданско производство</w:t>
      </w:r>
      <w:r w:rsidR="0039334E">
        <w:rPr>
          <w:rStyle w:val="ECHRPara"/>
        </w:rPr>
        <w:t xml:space="preserve"> </w:t>
      </w:r>
      <w:r>
        <w:rPr>
          <w:rStyle w:val="ECHRPara"/>
        </w:rPr>
        <w:t xml:space="preserve">може да бъде </w:t>
      </w:r>
      <w:r w:rsidRPr="0039334E">
        <w:rPr>
          <w:rStyle w:val="ECHRPara"/>
        </w:rPr>
        <w:t>възобновено</w:t>
      </w:r>
      <w:r w:rsidR="0039334E">
        <w:rPr>
          <w:rStyle w:val="ECHRPara"/>
        </w:rPr>
        <w:t>, когато с</w:t>
      </w:r>
      <w:r>
        <w:rPr>
          <w:rStyle w:val="ECHRPara"/>
        </w:rPr>
        <w:t xml:space="preserve"> решение на Европейския съд по правата на човека се установи, че Конвенцията е нарушена, и когато е необходимо ново разглеждане на делото, за да се отстранят последиците от нарушението. Заинтересованата страна може да </w:t>
      </w:r>
      <w:r w:rsidRPr="000470AA">
        <w:rPr>
          <w:rStyle w:val="ECHRPara"/>
        </w:rPr>
        <w:t>отправи молбата</w:t>
      </w:r>
      <w:r>
        <w:rPr>
          <w:rStyle w:val="ECHRPara"/>
        </w:rPr>
        <w:t xml:space="preserve"> не по-късно от шест месеца </w:t>
      </w:r>
      <w:r w:rsidR="00BB4F57" w:rsidRPr="0039334E">
        <w:rPr>
          <w:rStyle w:val="ECHRPara"/>
        </w:rPr>
        <w:t>от деня, в който решението на Европ</w:t>
      </w:r>
      <w:r w:rsidR="00E87290" w:rsidRPr="0039334E">
        <w:rPr>
          <w:rStyle w:val="ECHRPara"/>
        </w:rPr>
        <w:t xml:space="preserve">ейския съд по правата на човека </w:t>
      </w:r>
      <w:r w:rsidR="00BB4F57" w:rsidRPr="0039334E">
        <w:rPr>
          <w:rStyle w:val="ECHRPara"/>
        </w:rPr>
        <w:t>е станало окончателно</w:t>
      </w:r>
      <w:r w:rsidRPr="00BB4F57">
        <w:rPr>
          <w:rStyle w:val="ECHRPara"/>
        </w:rPr>
        <w:t xml:space="preserve"> </w:t>
      </w:r>
      <w:r>
        <w:rPr>
          <w:rStyle w:val="ECHRPara"/>
        </w:rPr>
        <w:t>(чл. 305, ал. 2 от ГПК</w:t>
      </w:r>
      <w:r w:rsidRPr="000470AA">
        <w:rPr>
          <w:rStyle w:val="ECHRPara"/>
        </w:rPr>
        <w:t>). Молбата</w:t>
      </w:r>
      <w:r w:rsidR="00E87290">
        <w:rPr>
          <w:rStyle w:val="ECHRPara"/>
        </w:rPr>
        <w:t xml:space="preserve"> </w:t>
      </w:r>
      <w:r w:rsidR="00E87290" w:rsidRPr="0039334E">
        <w:rPr>
          <w:rStyle w:val="ECHRPara"/>
        </w:rPr>
        <w:t>за отмяна</w:t>
      </w:r>
      <w:r w:rsidR="00E87290">
        <w:rPr>
          <w:rStyle w:val="ECHRPara"/>
        </w:rPr>
        <w:t xml:space="preserve"> </w:t>
      </w:r>
      <w:r>
        <w:rPr>
          <w:rStyle w:val="ECHRPara"/>
        </w:rPr>
        <w:t xml:space="preserve">се разглежда от ВКС (чл. 307 от ГПК). След окончателното решение на Съда по делото </w:t>
      </w:r>
      <w:r>
        <w:rPr>
          <w:rStyle w:val="ECHRPara"/>
          <w:i/>
        </w:rPr>
        <w:t>Петко Петков</w:t>
      </w:r>
      <w:r>
        <w:rPr>
          <w:rStyle w:val="ECHRPara"/>
        </w:rPr>
        <w:t xml:space="preserve">, цитирано по-горе, </w:t>
      </w:r>
      <w:r w:rsidRPr="0039334E">
        <w:rPr>
          <w:rStyle w:val="ECHRPara"/>
        </w:rPr>
        <w:t>производството на национално ниво е възобновено</w:t>
      </w:r>
      <w:r w:rsidR="0039334E" w:rsidRPr="0039334E">
        <w:rPr>
          <w:rStyle w:val="ECHRPara"/>
        </w:rPr>
        <w:t xml:space="preserve">. </w:t>
      </w:r>
    </w:p>
    <w:p w:rsidR="004B30F4" w:rsidRPr="00144309" w:rsidRDefault="00DD6E66" w:rsidP="004B30F4">
      <w:pPr>
        <w:pStyle w:val="ECHRTitle1"/>
      </w:pPr>
      <w:r>
        <w:rPr>
          <w:rStyle w:val="ECHRTitle1"/>
        </w:rPr>
        <w:t>ПРАВОТО</w:t>
      </w:r>
    </w:p>
    <w:p w:rsidR="004B30F4" w:rsidRPr="00144309" w:rsidRDefault="004B30F4" w:rsidP="004B30F4">
      <w:pPr>
        <w:pStyle w:val="ECHRHeading1"/>
      </w:pPr>
      <w:r>
        <w:rPr>
          <w:rStyle w:val="ECHRHeading1"/>
        </w:rPr>
        <w:t>I. ТВЪРДЯНО НАРУШЕН</w:t>
      </w:r>
      <w:r w:rsidR="00550373">
        <w:rPr>
          <w:rStyle w:val="ECHRHeading1"/>
        </w:rPr>
        <w:t>И</w:t>
      </w:r>
      <w:r>
        <w:rPr>
          <w:rStyle w:val="ECHRHeading1"/>
        </w:rPr>
        <w:t>Е НА ЧЛ. 6 § 1 ОТ КОНВЕНЦИЯТА</w:t>
      </w:r>
    </w:p>
    <w:p w:rsidR="004B30F4" w:rsidRPr="00144309" w:rsidRDefault="004B30F4" w:rsidP="004B30F4">
      <w:pPr>
        <w:pStyle w:val="ECHRPara"/>
        <w:keepNext/>
        <w:keepLines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13</w:t>
      </w:r>
      <w:r>
        <w:fldChar w:fldCharType="end"/>
      </w:r>
      <w:r>
        <w:rPr>
          <w:rStyle w:val="ECHRPara"/>
        </w:rPr>
        <w:t xml:space="preserve">.  Жалбоподателката </w:t>
      </w:r>
      <w:r w:rsidRPr="005D32FA">
        <w:rPr>
          <w:rStyle w:val="ECHRPara"/>
          <w:color w:val="000000"/>
        </w:rPr>
        <w:t xml:space="preserve">се </w:t>
      </w:r>
      <w:r w:rsidRPr="0039334E">
        <w:rPr>
          <w:rStyle w:val="ECHRPara"/>
        </w:rPr>
        <w:t xml:space="preserve">оплаква </w:t>
      </w:r>
      <w:r w:rsidR="0039334E" w:rsidRPr="0039334E">
        <w:rPr>
          <w:rStyle w:val="ECHRPara"/>
        </w:rPr>
        <w:t>по</w:t>
      </w:r>
      <w:r w:rsidRPr="00A73C0F">
        <w:rPr>
          <w:rStyle w:val="ECHRPara"/>
          <w:color w:val="FF0000"/>
        </w:rPr>
        <w:t xml:space="preserve"> </w:t>
      </w:r>
      <w:r w:rsidRPr="00A73C0F">
        <w:rPr>
          <w:rStyle w:val="ECHRPara"/>
        </w:rPr>
        <w:t>чл. 6 § 1</w:t>
      </w:r>
      <w:r>
        <w:rPr>
          <w:rStyle w:val="ECHRPara"/>
        </w:rPr>
        <w:t xml:space="preserve">, че е лишена от достъп до съд в резултат на отказа на националните съдилища да разгледат нейния иск за наследство </w:t>
      </w:r>
      <w:r w:rsidR="00B07B5A">
        <w:rPr>
          <w:rStyle w:val="ECHRPara"/>
        </w:rPr>
        <w:t xml:space="preserve">поради приемането на </w:t>
      </w:r>
      <w:r>
        <w:rPr>
          <w:rStyle w:val="ECHRPara"/>
        </w:rPr>
        <w:t xml:space="preserve"> тълкувателно решение, с което се въвежда ново процесуално изискване, което жалбоп</w:t>
      </w:r>
      <w:r w:rsidR="00B07B5A">
        <w:rPr>
          <w:rStyle w:val="ECHRPara"/>
        </w:rPr>
        <w:t>одателката не може да спази. Член</w:t>
      </w:r>
      <w:r>
        <w:rPr>
          <w:rStyle w:val="ECHRPara"/>
        </w:rPr>
        <w:t xml:space="preserve"> 6 § 1 от Конвенцията гласи:</w:t>
      </w:r>
    </w:p>
    <w:p w:rsidR="004B30F4" w:rsidRPr="00144309" w:rsidRDefault="004B30F4" w:rsidP="004B30F4">
      <w:pPr>
        <w:pStyle w:val="ECHRParaQuote"/>
      </w:pPr>
      <w:r>
        <w:rPr>
          <w:rStyle w:val="ECHRParaQuote"/>
        </w:rPr>
        <w:t>"Всяко лице, при решаването на правен спор относно неговите граждански права и задължения..., има право на справедливо ... гледане ... от ... съд ..."</w:t>
      </w:r>
    </w:p>
    <w:p w:rsidR="004B30F4" w:rsidRPr="00144309" w:rsidRDefault="004B30F4" w:rsidP="004B30F4">
      <w:pPr>
        <w:pStyle w:val="ECHRHeading2"/>
      </w:pPr>
      <w:r>
        <w:rPr>
          <w:rStyle w:val="ECHRHeading2"/>
        </w:rPr>
        <w:t>A.  Допустимост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14</w:t>
      </w:r>
      <w:r>
        <w:fldChar w:fldCharType="end"/>
      </w:r>
      <w:r>
        <w:rPr>
          <w:rStyle w:val="ECHRPara"/>
        </w:rPr>
        <w:t xml:space="preserve">.  Съдът отбелязва, че жалбоподателката е имала законово право </w:t>
      </w:r>
      <w:r w:rsidR="005F16B0">
        <w:rPr>
          <w:rStyle w:val="ECHRPara"/>
        </w:rPr>
        <w:t xml:space="preserve">съгласно националното </w:t>
      </w:r>
      <w:r>
        <w:rPr>
          <w:rStyle w:val="ECHRPara"/>
        </w:rPr>
        <w:t xml:space="preserve">законодателство (съгласно Закона за наследството от 1949 г.), </w:t>
      </w:r>
      <w:r w:rsidR="005F16B0">
        <w:rPr>
          <w:rStyle w:val="ECHRPara"/>
        </w:rPr>
        <w:t xml:space="preserve">което възниква </w:t>
      </w:r>
      <w:r>
        <w:rPr>
          <w:rStyle w:val="ECHRPara"/>
        </w:rPr>
        <w:t xml:space="preserve">към момента на смъртта на дядо ѝ, да претендира за намаляване на направените приживе от него разпореждания, ако те нарушат правото ѝ на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>“</w:t>
      </w:r>
      <w:r>
        <w:rPr>
          <w:rStyle w:val="ECHRPara"/>
        </w:rPr>
        <w:t xml:space="preserve">. Следователно искът, предявен от жалбоподателката, попада в приложното поле на чл. 6 от Конвенцията в неговия граждански аспект. Освен това Съдът отбелязва, че това оплакване не е явно необосновано по смисъла на чл. 35 § 3 (a) от Конвенцията. То не е недопустимо на други основания. Следователно то </w:t>
      </w:r>
      <w:r w:rsidR="007553D5">
        <w:rPr>
          <w:rStyle w:val="ECHRPara"/>
        </w:rPr>
        <w:t>е</w:t>
      </w:r>
      <w:r>
        <w:rPr>
          <w:rStyle w:val="ECHRPara"/>
        </w:rPr>
        <w:t xml:space="preserve"> допустимо.</w:t>
      </w:r>
    </w:p>
    <w:p w:rsidR="004B30F4" w:rsidRPr="00144309" w:rsidRDefault="004B30F4" w:rsidP="004B30F4">
      <w:pPr>
        <w:pStyle w:val="ECHRHeading2"/>
      </w:pPr>
      <w:r>
        <w:rPr>
          <w:rStyle w:val="ECHRHeading2"/>
        </w:rPr>
        <w:lastRenderedPageBreak/>
        <w:t xml:space="preserve">Б. </w:t>
      </w:r>
      <w:r w:rsidR="007553D5">
        <w:rPr>
          <w:rStyle w:val="ECHRHeading2"/>
        </w:rPr>
        <w:t>По същество</w:t>
      </w:r>
    </w:p>
    <w:p w:rsidR="004B30F4" w:rsidRPr="00144309" w:rsidRDefault="004B30F4" w:rsidP="004B30F4">
      <w:pPr>
        <w:pStyle w:val="ECHRHeading3"/>
      </w:pPr>
      <w:r>
        <w:rPr>
          <w:rStyle w:val="ECHRHeading3"/>
        </w:rPr>
        <w:t>1.  Тези на страните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15</w:t>
      </w:r>
      <w:r>
        <w:fldChar w:fldCharType="end"/>
      </w:r>
      <w:r>
        <w:rPr>
          <w:rStyle w:val="ECHRPara"/>
        </w:rPr>
        <w:t xml:space="preserve">.  Правителството подчертава, че тъй като настоящото дело засяга само липсата на достъп до съд, Съдът трябва да ограничи разглеждането му до този въпрос и да не се занимава с въпроса за иска за наследство, тъй като компетентни да се произнесат по гражданския иск на жалбоподателката са само националните юрисдикции. Във връзка с това то се позовава на положението на жалбоподателя по делото </w:t>
      </w:r>
      <w:r>
        <w:rPr>
          <w:rStyle w:val="ECHRPara"/>
          <w:i/>
        </w:rPr>
        <w:t>Петко Петков</w:t>
      </w:r>
      <w:r>
        <w:rPr>
          <w:rStyle w:val="ECHRPara"/>
        </w:rPr>
        <w:t xml:space="preserve">, цитирано по-горе, като посочва, че той е имал възможност искът му за наследство да бъде разгледан от националните юрисдикции, след като решението на Съда по неговата жалба </w:t>
      </w:r>
      <w:r w:rsidR="007553D5">
        <w:rPr>
          <w:rStyle w:val="ECHRPara"/>
        </w:rPr>
        <w:t>става окончателно</w:t>
      </w:r>
      <w:r>
        <w:rPr>
          <w:rStyle w:val="ECHRPara"/>
        </w:rPr>
        <w:t xml:space="preserve">. </w:t>
      </w:r>
      <w:r w:rsidR="00E466B4">
        <w:rPr>
          <w:rStyle w:val="ECHRPara"/>
        </w:rPr>
        <w:t xml:space="preserve">Правителството също така посочва, че </w:t>
      </w:r>
      <w:r w:rsidR="00187E6E" w:rsidRPr="00E466B4">
        <w:rPr>
          <w:rStyle w:val="ECHRPara"/>
        </w:rPr>
        <w:t>отмяната на влязло в сила национално решение</w:t>
      </w:r>
      <w:r w:rsidR="00E466B4">
        <w:rPr>
          <w:rStyle w:val="ECHRPara"/>
        </w:rPr>
        <w:t xml:space="preserve"> и възобновяване на националното производство</w:t>
      </w:r>
      <w:r w:rsidR="00187E6E" w:rsidRPr="00E466B4">
        <w:rPr>
          <w:rStyle w:val="ECHRPara"/>
        </w:rPr>
        <w:t xml:space="preserve"> </w:t>
      </w:r>
      <w:r>
        <w:rPr>
          <w:rStyle w:val="ECHRPara"/>
        </w:rPr>
        <w:t>не е възможно, ако делото е решено чрез приятелско споразумение между страните или чрез едностранна декларация на Правителството (вж. параграф 12 по-горе).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16</w:t>
      </w:r>
      <w:r>
        <w:fldChar w:fldCharType="end"/>
      </w:r>
      <w:r w:rsidR="004C04C3">
        <w:rPr>
          <w:rStyle w:val="ECHRPara"/>
        </w:rPr>
        <w:t xml:space="preserve">.  По-нататък </w:t>
      </w:r>
      <w:r>
        <w:rPr>
          <w:rStyle w:val="ECHRPara"/>
        </w:rPr>
        <w:t xml:space="preserve">Правителството </w:t>
      </w:r>
      <w:r w:rsidR="007553D5">
        <w:rPr>
          <w:rStyle w:val="ECHRPara"/>
        </w:rPr>
        <w:t>заявява</w:t>
      </w:r>
      <w:r>
        <w:rPr>
          <w:rStyle w:val="ECHRPara"/>
        </w:rPr>
        <w:t xml:space="preserve">, че поддържа едностранната си декларация дори на този етап от процедурата. В това отношение то посочва, че решение на Съда, констатиращо нарушение на правото на жалбоподателката на достъп до съд, </w:t>
      </w:r>
      <w:r w:rsidR="00CE1C2C" w:rsidRPr="004C04C3">
        <w:rPr>
          <w:rStyle w:val="ECHRPara"/>
        </w:rPr>
        <w:t>създава риск от нарушаване на</w:t>
      </w:r>
      <w:r w:rsidR="00CE1C2C">
        <w:rPr>
          <w:rStyle w:val="ECHRPara"/>
        </w:rPr>
        <w:t xml:space="preserve"> </w:t>
      </w:r>
      <w:r>
        <w:rPr>
          <w:rStyle w:val="ECHRPara"/>
        </w:rPr>
        <w:t xml:space="preserve">принципа на правната сигурност. Причината е, че събитията в основата на настоящата жалба са </w:t>
      </w:r>
      <w:r w:rsidR="007553D5">
        <w:rPr>
          <w:rStyle w:val="ECHRPara"/>
        </w:rPr>
        <w:t>от</w:t>
      </w:r>
      <w:r>
        <w:rPr>
          <w:rStyle w:val="ECHRPara"/>
        </w:rPr>
        <w:t xml:space="preserve"> преди много години и окончателното </w:t>
      </w:r>
      <w:r w:rsidR="007553D5">
        <w:rPr>
          <w:rStyle w:val="ECHRPara"/>
        </w:rPr>
        <w:t xml:space="preserve">национално </w:t>
      </w:r>
      <w:r>
        <w:rPr>
          <w:rStyle w:val="ECHRPara"/>
        </w:rPr>
        <w:t>съдебно решение е това на ВКС от 24 март 2009 г. След това добросъвестни трети лица биха могли да придобият права на собствено</w:t>
      </w:r>
      <w:r w:rsidR="004C04C3">
        <w:rPr>
          <w:rStyle w:val="ECHRPara"/>
        </w:rPr>
        <w:t xml:space="preserve">ст върху въпросното имущество и </w:t>
      </w:r>
      <w:r w:rsidR="00375611" w:rsidRPr="004C04C3">
        <w:rPr>
          <w:rStyle w:val="ECHRPara"/>
        </w:rPr>
        <w:t>отмяна</w:t>
      </w:r>
      <w:r w:rsidR="004C04C3" w:rsidRPr="004C04C3">
        <w:rPr>
          <w:rStyle w:val="ECHRPara"/>
        </w:rPr>
        <w:t>та</w:t>
      </w:r>
      <w:r w:rsidR="00375611" w:rsidRPr="004C04C3">
        <w:rPr>
          <w:rStyle w:val="ECHRPara"/>
        </w:rPr>
        <w:t xml:space="preserve"> на</w:t>
      </w:r>
      <w:r w:rsidR="00375611">
        <w:rPr>
          <w:rStyle w:val="ECHRPara"/>
          <w:i/>
        </w:rPr>
        <w:t xml:space="preserve"> </w:t>
      </w:r>
      <w:r w:rsidR="00375611" w:rsidRPr="004C04C3">
        <w:rPr>
          <w:rStyle w:val="ECHRPara"/>
        </w:rPr>
        <w:t>националното съдебно решение</w:t>
      </w:r>
      <w:r w:rsidR="00375611">
        <w:rPr>
          <w:rStyle w:val="ECHRPara"/>
        </w:rPr>
        <w:t xml:space="preserve"> </w:t>
      </w:r>
      <w:r>
        <w:rPr>
          <w:rStyle w:val="ECHRPara"/>
        </w:rPr>
        <w:t xml:space="preserve">в резултат на решението на Съда би представлявало заплаха за техните законно придобити права. Също така, като се има предвид изминалото време, е много вероятно преписката по това дело да е или архивирана, или дори унищожена. Правителството подчертава, че </w:t>
      </w:r>
      <w:r w:rsidRPr="00646030">
        <w:rPr>
          <w:rStyle w:val="ECHRPara"/>
        </w:rPr>
        <w:t>възобновяването</w:t>
      </w:r>
      <w:r w:rsidR="00646030">
        <w:rPr>
          <w:rStyle w:val="ECHRPara"/>
        </w:rPr>
        <w:t xml:space="preserve"> </w:t>
      </w:r>
      <w:r>
        <w:rPr>
          <w:rStyle w:val="ECHRPara"/>
        </w:rPr>
        <w:t xml:space="preserve">на </w:t>
      </w:r>
      <w:r w:rsidR="00646030">
        <w:rPr>
          <w:rStyle w:val="ECHRPara"/>
        </w:rPr>
        <w:t xml:space="preserve">националното </w:t>
      </w:r>
      <w:r>
        <w:rPr>
          <w:rStyle w:val="ECHRPara"/>
        </w:rPr>
        <w:t>производство, приключило с влязло в сила решение, трябва да бъде разграничено в зависимост от вида на производството: в този смисъл</w:t>
      </w:r>
      <w:r w:rsidR="007553D5">
        <w:rPr>
          <w:rStyle w:val="ECHRPara"/>
        </w:rPr>
        <w:t>,</w:t>
      </w:r>
      <w:r>
        <w:rPr>
          <w:rStyle w:val="ECHRPara"/>
        </w:rPr>
        <w:t xml:space="preserve"> в контекста на наказателното или административното право една от страните винаги е държавата или административен орган и следователно рискът от намеса в правата на добросъвестни трети лица е минимален.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17</w:t>
      </w:r>
      <w:r>
        <w:fldChar w:fldCharType="end"/>
      </w:r>
      <w:r>
        <w:rPr>
          <w:rStyle w:val="ECHRPara"/>
        </w:rPr>
        <w:t>.  Жалбоподателката</w:t>
      </w:r>
      <w:r w:rsidR="00834302">
        <w:rPr>
          <w:rStyle w:val="ECHRPara"/>
        </w:rPr>
        <w:t xml:space="preserve"> се съгласява с Правителството, </w:t>
      </w:r>
      <w:r>
        <w:rPr>
          <w:rStyle w:val="ECHRPara"/>
        </w:rPr>
        <w:t xml:space="preserve">че вероятността за успех за нея, ако производството бъде възобновено на национално равнище, е минимална, по-конкретно защото, дори и ако имуществото не е било прехвърлено на трети лица, съгласно </w:t>
      </w:r>
      <w:r w:rsidR="007553D5">
        <w:rPr>
          <w:rStyle w:val="ECHRPara"/>
        </w:rPr>
        <w:t>националното законодателство</w:t>
      </w:r>
      <w:r w:rsidR="00660837">
        <w:rPr>
          <w:rStyle w:val="ECHRPara"/>
        </w:rPr>
        <w:t xml:space="preserve"> тези, които са го </w:t>
      </w:r>
      <w:r w:rsidR="00DE2E20" w:rsidRPr="00660837">
        <w:rPr>
          <w:rStyle w:val="ECHRPara"/>
          <w:color w:val="000000"/>
        </w:rPr>
        <w:t>владели</w:t>
      </w:r>
      <w:r w:rsidR="00DE2E20">
        <w:rPr>
          <w:rStyle w:val="ECHRPara"/>
          <w:color w:val="FF0000"/>
        </w:rPr>
        <w:t xml:space="preserve"> </w:t>
      </w:r>
      <w:r>
        <w:rPr>
          <w:rStyle w:val="ECHRPara"/>
        </w:rPr>
        <w:t>добросъвестно в продължение на определен брой години, придобиват правото на собственост.</w:t>
      </w:r>
    </w:p>
    <w:p w:rsidR="004B30F4" w:rsidRPr="00144309" w:rsidRDefault="004B30F4" w:rsidP="004B30F4">
      <w:pPr>
        <w:pStyle w:val="ECHRHeading3"/>
      </w:pPr>
      <w:r>
        <w:rPr>
          <w:rStyle w:val="ECHRHeading3"/>
        </w:rPr>
        <w:lastRenderedPageBreak/>
        <w:t>2.  Преценка</w:t>
      </w:r>
      <w:r w:rsidR="007553D5">
        <w:rPr>
          <w:rStyle w:val="ECHRHeading3"/>
        </w:rPr>
        <w:t>та</w:t>
      </w:r>
      <w:r>
        <w:rPr>
          <w:rStyle w:val="ECHRHeading3"/>
        </w:rPr>
        <w:t xml:space="preserve"> на Съда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18</w:t>
      </w:r>
      <w:r>
        <w:fldChar w:fldCharType="end"/>
      </w:r>
      <w:r>
        <w:rPr>
          <w:rStyle w:val="ECHRPara"/>
        </w:rPr>
        <w:t>.  Съдът отбелязва, че второинстанционният съд и ВКС при прилагането на ново тълкуване на процедурата по наследяване отхвърлят иска на жалбо</w:t>
      </w:r>
      <w:r w:rsidR="00834302">
        <w:rPr>
          <w:rStyle w:val="ECHRPara"/>
        </w:rPr>
        <w:t xml:space="preserve">подателката на основание, че </w:t>
      </w:r>
      <w:r w:rsidR="00834302" w:rsidRPr="00834302">
        <w:rPr>
          <w:rStyle w:val="ECHRPara"/>
          <w:i/>
        </w:rPr>
        <w:t xml:space="preserve">тя </w:t>
      </w:r>
      <w:r w:rsidR="00CC4AE0" w:rsidRPr="00834302">
        <w:rPr>
          <w:rStyle w:val="ECHRPara"/>
          <w:i/>
        </w:rPr>
        <w:t xml:space="preserve"> не е приела</w:t>
      </w:r>
      <w:r w:rsidR="00CC4AE0">
        <w:rPr>
          <w:rStyle w:val="ECHRPara"/>
        </w:rPr>
        <w:t xml:space="preserve"> </w:t>
      </w:r>
      <w:r>
        <w:rPr>
          <w:rStyle w:val="ECHRPara"/>
        </w:rPr>
        <w:t xml:space="preserve"> наследството чрез изготвянето на </w:t>
      </w:r>
      <w:r>
        <w:rPr>
          <w:rStyle w:val="ECHRPara"/>
          <w:cs/>
        </w:rPr>
        <w:t>„</w:t>
      </w:r>
      <w:r>
        <w:rPr>
          <w:rStyle w:val="ECHRPara"/>
        </w:rPr>
        <w:t>опис</w:t>
      </w:r>
      <w:r>
        <w:rPr>
          <w:rStyle w:val="ECHRPara"/>
          <w:cs/>
        </w:rPr>
        <w:t xml:space="preserve">“ </w:t>
      </w:r>
      <w:r>
        <w:rPr>
          <w:rStyle w:val="ECHRPara"/>
        </w:rPr>
        <w:t>(вж. параграфи 9 и 10 по-горе).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19</w:t>
      </w:r>
      <w:r>
        <w:fldChar w:fldCharType="end"/>
      </w:r>
      <w:r>
        <w:rPr>
          <w:rStyle w:val="ECHRPara"/>
        </w:rPr>
        <w:t xml:space="preserve">.  Следователно Съдът трябва да </w:t>
      </w:r>
      <w:r w:rsidR="007553D5">
        <w:rPr>
          <w:rStyle w:val="ECHRPara"/>
        </w:rPr>
        <w:t xml:space="preserve">установи </w:t>
      </w:r>
      <w:r>
        <w:rPr>
          <w:rStyle w:val="ECHRPara"/>
        </w:rPr>
        <w:t>дали проц</w:t>
      </w:r>
      <w:r w:rsidR="00834302">
        <w:rPr>
          <w:rStyle w:val="ECHRPara"/>
        </w:rPr>
        <w:t xml:space="preserve">есуалното ограничение, въведено от съда с </w:t>
      </w:r>
      <w:r>
        <w:rPr>
          <w:rStyle w:val="ECHRPara"/>
        </w:rPr>
        <w:t xml:space="preserve">влязлото в сила национално решение, е ясно, достъпно и предвидимо по смисъла на практиката на Съда, дали преследва легитимна цел и дали е пропорционално на тази цел (вж., </w:t>
      </w:r>
      <w:r>
        <w:rPr>
          <w:rStyle w:val="ECHRPara"/>
          <w:i/>
        </w:rPr>
        <w:t>mutatis mutandis</w:t>
      </w:r>
      <w:r>
        <w:rPr>
          <w:rStyle w:val="ECHRPara"/>
        </w:rPr>
        <w:t xml:space="preserve">, </w:t>
      </w:r>
      <w:r>
        <w:rPr>
          <w:rStyle w:val="ECHRPara"/>
          <w:i/>
        </w:rPr>
        <w:t>Lupaş and Others v. Romania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1434/02, 35370/02 и 1385/03, § 67, ЕСПЧ 2006-XV (откъси)).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20</w:t>
      </w:r>
      <w:r>
        <w:fldChar w:fldCharType="end"/>
      </w:r>
      <w:r>
        <w:rPr>
          <w:rStyle w:val="ECHRPara"/>
        </w:rPr>
        <w:t xml:space="preserve">.  Съдът вече е имал възможност да разгледа този въпрос в делото </w:t>
      </w:r>
      <w:r>
        <w:rPr>
          <w:rStyle w:val="ECHRPara"/>
          <w:i/>
        </w:rPr>
        <w:t>Петко Петков</w:t>
      </w:r>
      <w:r>
        <w:rPr>
          <w:rStyle w:val="ECHRPara"/>
        </w:rPr>
        <w:t>, цитирано по-горе в параграф 11. Съдът констатира в това дело, че когато жалбоподателят предяв</w:t>
      </w:r>
      <w:r w:rsidR="007553D5">
        <w:rPr>
          <w:rStyle w:val="ECHRPara"/>
        </w:rPr>
        <w:t>ява</w:t>
      </w:r>
      <w:r>
        <w:rPr>
          <w:rStyle w:val="ECHRPara"/>
        </w:rPr>
        <w:t xml:space="preserve"> иска си на национално равнище, той е могъл разумно да очаква, че неговият чичо ще бъде разглеждан от съдилищата като </w:t>
      </w:r>
      <w:r>
        <w:rPr>
          <w:rStyle w:val="ECHRPara"/>
          <w:cs/>
        </w:rPr>
        <w:t>„</w:t>
      </w:r>
      <w:r>
        <w:rPr>
          <w:rStyle w:val="ECHRPara"/>
        </w:rPr>
        <w:t>наследник по закон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и че изискването да се изброи в </w:t>
      </w:r>
      <w:r>
        <w:rPr>
          <w:rStyle w:val="ECHRPara"/>
          <w:cs/>
        </w:rPr>
        <w:t>„</w:t>
      </w:r>
      <w:r>
        <w:rPr>
          <w:rStyle w:val="ECHRPara"/>
        </w:rPr>
        <w:t>опис</w:t>
      </w:r>
      <w:r>
        <w:rPr>
          <w:rStyle w:val="ECHRPara"/>
          <w:cs/>
        </w:rPr>
        <w:t xml:space="preserve">“ </w:t>
      </w:r>
      <w:r>
        <w:rPr>
          <w:rStyle w:val="ECHRPara"/>
        </w:rPr>
        <w:t>имуществото, от което се състои наследството, няма да се прилага за неговия случай. Новото тълкувателно решение, прието от ВКС, междувременно промен</w:t>
      </w:r>
      <w:r w:rsidR="007553D5">
        <w:rPr>
          <w:rStyle w:val="ECHRPara"/>
        </w:rPr>
        <w:t>я</w:t>
      </w:r>
      <w:r>
        <w:rPr>
          <w:rStyle w:val="ECHRPara"/>
        </w:rPr>
        <w:t xml:space="preserve"> обхвата на понятието </w:t>
      </w:r>
      <w:r>
        <w:rPr>
          <w:rStyle w:val="ECHRPara"/>
          <w:cs/>
        </w:rPr>
        <w:t>„</w:t>
      </w:r>
      <w:r>
        <w:rPr>
          <w:rStyle w:val="ECHRPara"/>
        </w:rPr>
        <w:t>наследник по закон</w:t>
      </w:r>
      <w:r>
        <w:rPr>
          <w:rStyle w:val="ECHRPara"/>
          <w:cs/>
        </w:rPr>
        <w:t>“</w:t>
      </w:r>
      <w:r>
        <w:rPr>
          <w:rStyle w:val="ECHRPara"/>
        </w:rPr>
        <w:t xml:space="preserve">, изключвайки чичото на жалбоподателя от тази категория. Това ново тълкуване не само </w:t>
      </w:r>
      <w:r w:rsidR="007553D5">
        <w:rPr>
          <w:rStyle w:val="ECHRPara"/>
        </w:rPr>
        <w:t xml:space="preserve">възпрепятства искът </w:t>
      </w:r>
      <w:r>
        <w:rPr>
          <w:rStyle w:val="ECHRPara"/>
        </w:rPr>
        <w:t xml:space="preserve">на жалбоподателя да бъде решен от съд, но също така </w:t>
      </w:r>
      <w:r w:rsidR="007553D5">
        <w:rPr>
          <w:rStyle w:val="ECHRPara"/>
        </w:rPr>
        <w:t>става</w:t>
      </w:r>
      <w:r>
        <w:rPr>
          <w:rStyle w:val="ECHRPara"/>
        </w:rPr>
        <w:t xml:space="preserve"> непреодолимо препятствие за бъдещи опити от негова страна да си възстанови запазената част, като се има предвид, че срокът за изготвяне на </w:t>
      </w:r>
      <w:r>
        <w:rPr>
          <w:rStyle w:val="ECHRPara"/>
          <w:cs/>
        </w:rPr>
        <w:t>„</w:t>
      </w:r>
      <w:r>
        <w:rPr>
          <w:rStyle w:val="ECHRPara"/>
        </w:rPr>
        <w:t>опис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отдавна е изтекъл (вж. </w:t>
      </w:r>
      <w:r>
        <w:rPr>
          <w:rStyle w:val="ECHRPara"/>
          <w:i/>
        </w:rPr>
        <w:t>Петко Петков</w:t>
      </w:r>
      <w:r>
        <w:rPr>
          <w:rStyle w:val="ECHRPara"/>
        </w:rPr>
        <w:t>, цитирано по-горе, §§ 7 и 14).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21</w:t>
      </w:r>
      <w:r>
        <w:fldChar w:fldCharType="end"/>
      </w:r>
      <w:r>
        <w:rPr>
          <w:rStyle w:val="ECHRPara"/>
        </w:rPr>
        <w:t xml:space="preserve">.  В настоящия случай, подобно на ситуацията в </w:t>
      </w:r>
      <w:r>
        <w:rPr>
          <w:rStyle w:val="ECHRPara"/>
          <w:i/>
        </w:rPr>
        <w:t>Петко Петков</w:t>
      </w:r>
      <w:r>
        <w:rPr>
          <w:rStyle w:val="ECHRPara"/>
        </w:rPr>
        <w:t>, жалбоподателката предяв</w:t>
      </w:r>
      <w:r w:rsidR="007553D5">
        <w:rPr>
          <w:rStyle w:val="ECHRPara"/>
        </w:rPr>
        <w:t>ява</w:t>
      </w:r>
      <w:r>
        <w:rPr>
          <w:rStyle w:val="ECHRPara"/>
        </w:rPr>
        <w:t xml:space="preserve"> пред съда иска за определяне на нейната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около година преди приемането на новото тълкувателно решение на ВКС. Следователно е било невъзможно тя да се съобрази с това новоприето процесуално изискване, тъй като приложимото право дава на жалбоподателите само три (най-много шест) месеца, за да прибегнат до </w:t>
      </w:r>
      <w:r>
        <w:rPr>
          <w:rStyle w:val="ECHRPara"/>
          <w:cs/>
        </w:rPr>
        <w:t>„</w:t>
      </w:r>
      <w:r>
        <w:rPr>
          <w:rStyle w:val="ECHRPara"/>
        </w:rPr>
        <w:t>опис</w:t>
      </w:r>
      <w:r>
        <w:rPr>
          <w:rStyle w:val="ECHRPara"/>
          <w:cs/>
        </w:rPr>
        <w:t>“</w:t>
      </w:r>
      <w:r>
        <w:rPr>
          <w:rStyle w:val="ECHRPara"/>
        </w:rPr>
        <w:t>, считано от момента на научаването за смъртта на роднина, чиито наследници са те. Дядото на жалбоподателката е починал повече от две години преди приемането на въпросното тълкувателно решение. Съответно</w:t>
      </w:r>
      <w:r w:rsidR="007B1C1D">
        <w:rPr>
          <w:rStyle w:val="ECHRPara"/>
        </w:rPr>
        <w:t xml:space="preserve"> с</w:t>
      </w:r>
      <w:r>
        <w:rPr>
          <w:rStyle w:val="ECHRPara"/>
        </w:rPr>
        <w:t xml:space="preserve">ъдът </w:t>
      </w:r>
      <w:r w:rsidR="0000141C">
        <w:rPr>
          <w:rStyle w:val="ECHRPara"/>
        </w:rPr>
        <w:t>намира</w:t>
      </w:r>
      <w:r>
        <w:rPr>
          <w:rStyle w:val="ECHRPara"/>
        </w:rPr>
        <w:t xml:space="preserve">, че прилагането на новото процесуално изискване към делото на жалбоподателката я възпрепятства да получи произнасяне от съд по предявен от нея иск в това производство или в което и да било бъдещо производство, като се има предвид, че срокът за спазване на новото изискване е изтекъл отдавна. Подобна ситуация противоречи на правото на ефективен достъп до съд по чл. 6 (вж. по подобен начин </w:t>
      </w:r>
      <w:r>
        <w:rPr>
          <w:rStyle w:val="ECHRPara"/>
          <w:i/>
        </w:rPr>
        <w:t>Петко Петков</w:t>
      </w:r>
      <w:r>
        <w:rPr>
          <w:rStyle w:val="ECHRPara"/>
        </w:rPr>
        <w:t>, цитирано по-горе, § 34).</w:t>
      </w:r>
    </w:p>
    <w:p w:rsidR="004B30F4" w:rsidRPr="00144309" w:rsidRDefault="004B30F4" w:rsidP="004B30F4">
      <w:pPr>
        <w:pStyle w:val="ECHRPara"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22</w:t>
      </w:r>
      <w:r>
        <w:fldChar w:fldCharType="end"/>
      </w:r>
      <w:r>
        <w:rPr>
          <w:rStyle w:val="ECHRPara"/>
        </w:rPr>
        <w:t>.  Гореизложените съображения са достатъчни, за да дадат възможност на Съда да заключи, че е налице нарушение на чл. 6 § 1 от Конвенцията.</w:t>
      </w:r>
    </w:p>
    <w:p w:rsidR="004B30F4" w:rsidRPr="00144309" w:rsidRDefault="004B30F4" w:rsidP="004B30F4">
      <w:pPr>
        <w:pStyle w:val="ECHRHeading1"/>
      </w:pPr>
      <w:r>
        <w:rPr>
          <w:rStyle w:val="ECHRHeading1"/>
        </w:rPr>
        <w:t>II.  ПРИЛОЖЕНИЕ НА ЧЛ. 41 ОТ КОНВЕНЦИЯТА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23</w:t>
      </w:r>
      <w:r>
        <w:fldChar w:fldCharType="end"/>
      </w:r>
      <w:r>
        <w:rPr>
          <w:rStyle w:val="ECHRPara"/>
        </w:rPr>
        <w:t>.  Чл. 41 от Конвенцията гласи:</w:t>
      </w:r>
    </w:p>
    <w:p w:rsidR="004B30F4" w:rsidRPr="00144309" w:rsidRDefault="004B30F4" w:rsidP="004B30F4">
      <w:pPr>
        <w:pStyle w:val="ECHRParaQuote"/>
        <w:keepNext/>
        <w:keepLines/>
      </w:pPr>
      <w:r>
        <w:rPr>
          <w:rStyle w:val="ECHRParaQuote"/>
          <w:cs/>
        </w:rPr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4B30F4" w:rsidRPr="00144309" w:rsidRDefault="004B30F4" w:rsidP="004B30F4">
      <w:pPr>
        <w:pStyle w:val="ECHRHeading2"/>
      </w:pPr>
      <w:r>
        <w:rPr>
          <w:rStyle w:val="ECHRHeading2"/>
        </w:rPr>
        <w:t>А. Обезщетение за вреди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24</w:t>
      </w:r>
      <w:r>
        <w:fldChar w:fldCharType="end"/>
      </w:r>
      <w:r>
        <w:rPr>
          <w:rStyle w:val="ECHRPara"/>
        </w:rPr>
        <w:t xml:space="preserve">.  Жалбоподателката претендира 47 325 евро  имуществени вреди, представляващи текущата пазарна стойност на </w:t>
      </w:r>
      <w:r>
        <w:rPr>
          <w:rStyle w:val="ECHRPara"/>
          <w:cs/>
        </w:rPr>
        <w:t>„</w:t>
      </w:r>
      <w:r>
        <w:rPr>
          <w:rStyle w:val="ECHRPara"/>
        </w:rPr>
        <w:t>запазената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от наследството на нейния дядо. При условия на евентуалност, тя моли да ѝ бъде присъдено обезщетение за невъзможността да ползва мирно своята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“ </w:t>
      </w:r>
      <w:r>
        <w:rPr>
          <w:rStyle w:val="ECHRPara"/>
        </w:rPr>
        <w:t>от наследството, което тя изчислява на 300 евро на месец, считано от датата на предявяването на нейния иск пред националните съдилища, а именно 13 април 2004 г. Накрая, жалбоподателката заявява, че дори Съдът да констатира нарушение на Конвенцията, тя няма да може да си възстанови им</w:t>
      </w:r>
      <w:r w:rsidR="00834302">
        <w:rPr>
          <w:rStyle w:val="ECHRPara"/>
        </w:rPr>
        <w:t xml:space="preserve">уществото или да предяви </w:t>
      </w:r>
      <w:r>
        <w:rPr>
          <w:rStyle w:val="ECHRPara"/>
        </w:rPr>
        <w:t>иск на национално ниво. Причината за това е, че другите наследници притежава</w:t>
      </w:r>
      <w:r w:rsidR="00C74FAE">
        <w:rPr>
          <w:rStyle w:val="ECHRPara"/>
        </w:rPr>
        <w:t>т</w:t>
      </w:r>
      <w:r>
        <w:rPr>
          <w:rStyle w:val="ECHRPara"/>
        </w:rPr>
        <w:t xml:space="preserve"> цялото недвижимо имущество добросъвестно в продължение на много години и по този начин придоби</w:t>
      </w:r>
      <w:r w:rsidR="00C74FAE">
        <w:rPr>
          <w:rStyle w:val="ECHRPara"/>
        </w:rPr>
        <w:t>ват</w:t>
      </w:r>
      <w:r>
        <w:rPr>
          <w:rStyle w:val="ECHRPara"/>
        </w:rPr>
        <w:t xml:space="preserve"> право на собственост върху него по силата на придобивна давност.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25</w:t>
      </w:r>
      <w:r>
        <w:fldChar w:fldCharType="end"/>
      </w:r>
      <w:r>
        <w:rPr>
          <w:rStyle w:val="ECHRPara"/>
        </w:rPr>
        <w:t>.  Освен това жалбоподателката претендира 20 000 евро неимуществени вреди за тревогата и страданието, които претърпя</w:t>
      </w:r>
      <w:r w:rsidR="00C74FAE">
        <w:rPr>
          <w:rStyle w:val="ECHRPara"/>
        </w:rPr>
        <w:t>в</w:t>
      </w:r>
      <w:r>
        <w:rPr>
          <w:rStyle w:val="ECHRPara"/>
        </w:rPr>
        <w:t>а в резултат на това, че е лишена от своята част от наследството.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26</w:t>
      </w:r>
      <w:r>
        <w:fldChar w:fldCharType="end"/>
      </w:r>
      <w:r>
        <w:rPr>
          <w:rStyle w:val="ECHRPara"/>
        </w:rPr>
        <w:t xml:space="preserve">.  Правителството оспорва тези претенции. То посочва, че сумата по отношение на имуществени вреди е необоснована и не съответства на тази, която обикновено се присъжда съгласно практиката на Съда по отношение на нарушения на правото на достъп до съд. Освен това Правителството подчертава, че присъждане по чл. 41 е дължимо само ако въпросът не може да бъде решен на национално равнище. То обяснява, че това не е така в ситуацията на жалбоподателката, тъй като ако Съдът констатира нарушение на чл. 6 § 1, жалбоподателката има право съгласно националното законодателство да поиска </w:t>
      </w:r>
      <w:r w:rsidR="00FA05CB">
        <w:rPr>
          <w:rStyle w:val="ECHRPara"/>
        </w:rPr>
        <w:t xml:space="preserve"> </w:t>
      </w:r>
      <w:r w:rsidR="00FA05CB" w:rsidRPr="00710D86">
        <w:rPr>
          <w:rStyle w:val="ECHRPara"/>
        </w:rPr>
        <w:t>отмяна на</w:t>
      </w:r>
      <w:r w:rsidR="00FA05CB" w:rsidRPr="00FA05CB">
        <w:rPr>
          <w:rStyle w:val="ECHRPara"/>
          <w:i/>
        </w:rPr>
        <w:t xml:space="preserve"> </w:t>
      </w:r>
      <w:r w:rsidR="00FA05CB" w:rsidRPr="00710D86">
        <w:rPr>
          <w:rStyle w:val="ECHRPara"/>
        </w:rPr>
        <w:t>националното съдебно решение</w:t>
      </w:r>
      <w:r w:rsidR="00710D86">
        <w:rPr>
          <w:rStyle w:val="ECHRPara"/>
        </w:rPr>
        <w:t xml:space="preserve"> и възобновяване на производството</w:t>
      </w:r>
      <w:r>
        <w:rPr>
          <w:rStyle w:val="ECHRPara"/>
        </w:rPr>
        <w:t>, след което националните съдилища ще вземат решение по нейния иск. Що се отнася до претенцията на жалбоподателката по отношение на неимуществени вреди, Правителството смята, че тя е преувеличена и необоснована.</w:t>
      </w:r>
    </w:p>
    <w:p w:rsidR="004B30F4" w:rsidRPr="00144309" w:rsidRDefault="004B30F4" w:rsidP="004B30F4">
      <w:pPr>
        <w:pStyle w:val="ECHRPara"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27</w:t>
      </w:r>
      <w:r>
        <w:fldChar w:fldCharType="end"/>
      </w:r>
      <w:r>
        <w:rPr>
          <w:rStyle w:val="ECHRPara"/>
        </w:rPr>
        <w:t>.  Съдът отбелязва, че в настоящия случай присъждане на справедливо обезщетение може да се основава само на факта, че жа</w:t>
      </w:r>
      <w:r w:rsidR="00710D86">
        <w:rPr>
          <w:rStyle w:val="ECHRPara"/>
        </w:rPr>
        <w:t>лбоподателката не се е ползвала</w:t>
      </w:r>
      <w:r w:rsidR="0013130B">
        <w:rPr>
          <w:rStyle w:val="ECHRPara"/>
        </w:rPr>
        <w:t xml:space="preserve"> </w:t>
      </w:r>
      <w:r w:rsidR="0013130B" w:rsidRPr="00710D86">
        <w:rPr>
          <w:rStyle w:val="ECHRPara"/>
        </w:rPr>
        <w:t>от</w:t>
      </w:r>
      <w:r>
        <w:rPr>
          <w:rStyle w:val="ECHRPara"/>
        </w:rPr>
        <w:t xml:space="preserve"> гаранциите на чл. 6 § 1 от Конвенцията, тъй като това е разгледаният от него въпрос. Съдът не установява причинно-следствена връзка между констатираното нарушение и претенцията на жалбоподателката по отношение на имуществени вреди. Във връзка с това Съдът не може да разсъждава какъв би бил резултатът от производството, ако нейният иск е разгледан на национално ниво в съответствие с чл. 6 § 1 от Конвенцията. Следователно той отхвърля претенцията за обезщетение за имуществени вреди.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28</w:t>
      </w:r>
      <w:r>
        <w:fldChar w:fldCharType="end"/>
      </w:r>
      <w:r>
        <w:rPr>
          <w:rStyle w:val="ECHRPara"/>
        </w:rPr>
        <w:t>.  Въпреки гор</w:t>
      </w:r>
      <w:r w:rsidR="00C74FAE">
        <w:rPr>
          <w:rStyle w:val="ECHRPara"/>
        </w:rPr>
        <w:t>еизложе</w:t>
      </w:r>
      <w:r>
        <w:rPr>
          <w:rStyle w:val="ECHRPara"/>
        </w:rPr>
        <w:t xml:space="preserve">ното Съдът </w:t>
      </w:r>
      <w:r w:rsidR="00C74FAE">
        <w:rPr>
          <w:rStyle w:val="ECHRPara"/>
        </w:rPr>
        <w:t>счита</w:t>
      </w:r>
      <w:r>
        <w:rPr>
          <w:rStyle w:val="ECHRPara"/>
        </w:rPr>
        <w:t xml:space="preserve">, че жалбоподателката </w:t>
      </w:r>
      <w:r w:rsidR="00C74FAE">
        <w:rPr>
          <w:rStyle w:val="ECHRPara"/>
        </w:rPr>
        <w:t>несъмнено</w:t>
      </w:r>
      <w:r>
        <w:rPr>
          <w:rStyle w:val="ECHRPara"/>
        </w:rPr>
        <w:t xml:space="preserve"> е претърпяла неимуществени вреди, за които констатирането на нарушение не е достатъчно обезщетение. Произнасяйки се по справедливост в съответствие с чл. 41 от Конвенцията, Съдът присъжда на жалбоподателката 6000 евро по отношение на неимуществени вреди.</w:t>
      </w:r>
    </w:p>
    <w:p w:rsidR="004B30F4" w:rsidRPr="00144309" w:rsidRDefault="004B30F4" w:rsidP="004B30F4">
      <w:pPr>
        <w:pStyle w:val="ECHRHeading2"/>
      </w:pPr>
      <w:r>
        <w:rPr>
          <w:rStyle w:val="ECHRHeading2"/>
        </w:rPr>
        <w:t>Б. Разходи и разноски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29</w:t>
      </w:r>
      <w:r>
        <w:fldChar w:fldCharType="end"/>
      </w:r>
      <w:r>
        <w:rPr>
          <w:rStyle w:val="ECHRPara"/>
        </w:rPr>
        <w:t xml:space="preserve">.  Жалбоподателката също така претендира 5235,33 евро за разходите и разноските, направени пред националните съдилища в производството за възстановяването на нейната </w:t>
      </w:r>
      <w:r>
        <w:rPr>
          <w:rStyle w:val="ECHRPara"/>
          <w:cs/>
        </w:rPr>
        <w:t>„</w:t>
      </w:r>
      <w:r>
        <w:rPr>
          <w:rStyle w:val="ECHRPara"/>
        </w:rPr>
        <w:t>запазена част</w:t>
      </w:r>
      <w:r>
        <w:rPr>
          <w:rStyle w:val="ECHRPara"/>
          <w:cs/>
        </w:rPr>
        <w:t xml:space="preserve">” </w:t>
      </w:r>
      <w:r>
        <w:rPr>
          <w:rStyle w:val="ECHRPara"/>
        </w:rPr>
        <w:t>от наследството.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30</w:t>
      </w:r>
      <w:r>
        <w:fldChar w:fldCharType="end"/>
      </w:r>
      <w:r>
        <w:rPr>
          <w:rStyle w:val="ECHRPara"/>
        </w:rPr>
        <w:t>.  Правителството твърди, че исканата сума за разходи и разноски е преувеличена и напълно необоснована, тъй като не е представен документ във връзка с нея.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31</w:t>
      </w:r>
      <w:r>
        <w:fldChar w:fldCharType="end"/>
      </w:r>
      <w:r>
        <w:rPr>
          <w:rStyle w:val="ECHRPara"/>
        </w:rPr>
        <w:t xml:space="preserve">.  Съдът отново подчертава, че по отношение на разходите и разноските, направени в </w:t>
      </w:r>
      <w:r w:rsidR="002333AC">
        <w:rPr>
          <w:rStyle w:val="ECHRPara"/>
        </w:rPr>
        <w:t xml:space="preserve">националното </w:t>
      </w:r>
      <w:r>
        <w:rPr>
          <w:rStyle w:val="ECHRPara"/>
        </w:rPr>
        <w:t xml:space="preserve">производство, той ще удовлетворява такива претенции само дотолкова, доколкото те се отнасят до установените от него нарушения (вж. </w:t>
      </w:r>
      <w:r>
        <w:rPr>
          <w:rStyle w:val="ECHRPara"/>
          <w:i/>
        </w:rPr>
        <w:t>Avdić and Others v. Bosnia and Herzegovina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28357/11, 31549/11 и  39295/11, § 51, 19 ноември 2013 г.; </w:t>
      </w:r>
      <w:r>
        <w:rPr>
          <w:rStyle w:val="ECHRPara"/>
          <w:i/>
        </w:rPr>
        <w:t>Дуралийски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45519/06, § 45, 4 март 2014 г.; и </w:t>
      </w:r>
      <w:r>
        <w:rPr>
          <w:rStyle w:val="ECHRPara"/>
          <w:i/>
        </w:rPr>
        <w:t>Пенчеви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77818/12, § 88, 10 февруари 2015 г.). Няма доказателства, че жалбоподателката </w:t>
      </w:r>
      <w:r w:rsidR="002333AC">
        <w:rPr>
          <w:rStyle w:val="ECHRPara"/>
        </w:rPr>
        <w:t xml:space="preserve">е </w:t>
      </w:r>
      <w:r>
        <w:rPr>
          <w:rStyle w:val="ECHRPara"/>
        </w:rPr>
        <w:t xml:space="preserve">направила каквито и да </w:t>
      </w:r>
      <w:r w:rsidR="002333AC">
        <w:rPr>
          <w:rStyle w:val="ECHRPara"/>
        </w:rPr>
        <w:t xml:space="preserve">е </w:t>
      </w:r>
      <w:r>
        <w:rPr>
          <w:rStyle w:val="ECHRPara"/>
        </w:rPr>
        <w:t>разходи и разноски пред националните органи при търсенето на обезщетение във връзка с нарушението на Конвенцията, констатирано в настоящото дело. Съответно Съдът отхвърля тази претенция.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32</w:t>
      </w:r>
      <w:r>
        <w:fldChar w:fldCharType="end"/>
      </w:r>
      <w:r>
        <w:rPr>
          <w:rStyle w:val="ECHRPara"/>
        </w:rPr>
        <w:t>.  Освен това Съдът отбелязва, че не е предявена претенция по отношение на разходите и разноските, направени в производството пред него, и следователно не присъжда никаква сума в това отношение.</w:t>
      </w:r>
    </w:p>
    <w:p w:rsidR="004B30F4" w:rsidRPr="00144309" w:rsidRDefault="004B30F4" w:rsidP="004B30F4">
      <w:pPr>
        <w:pStyle w:val="ECHRHeading2"/>
      </w:pPr>
      <w:r>
        <w:rPr>
          <w:rStyle w:val="ECHRHeading2"/>
        </w:rPr>
        <w:lastRenderedPageBreak/>
        <w:t>В. Лихва за забава</w:t>
      </w:r>
    </w:p>
    <w:p w:rsidR="004B30F4" w:rsidRPr="00144309" w:rsidRDefault="004B30F4" w:rsidP="004B30F4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33</w:t>
      </w:r>
      <w:r>
        <w:fldChar w:fldCharType="end"/>
      </w:r>
      <w:r>
        <w:rPr>
          <w:rStyle w:val="ECHRPara"/>
        </w:rPr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4B30F4" w:rsidRPr="00144309" w:rsidRDefault="004B30F4" w:rsidP="004B30F4">
      <w:pPr>
        <w:pStyle w:val="ECHRTitle1"/>
      </w:pPr>
      <w:r>
        <w:rPr>
          <w:rStyle w:val="ECHRTitle1"/>
        </w:rPr>
        <w:t>ПО ТЕЗИ СЪОБРАЖЕНИЯ СЪДЪТ ЕДИНОДУШНО</w:t>
      </w:r>
    </w:p>
    <w:p w:rsidR="004B30F4" w:rsidRPr="00144309" w:rsidRDefault="004B30F4" w:rsidP="004B30F4">
      <w:pPr>
        <w:pStyle w:val="JuList"/>
      </w:pPr>
      <w:r>
        <w:rPr>
          <w:rStyle w:val="JuList"/>
        </w:rPr>
        <w:t>1.  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жалбата за допустима;</w:t>
      </w:r>
    </w:p>
    <w:p w:rsidR="004B30F4" w:rsidRPr="00144309" w:rsidRDefault="004B30F4" w:rsidP="004B30F4">
      <w:pPr>
        <w:pStyle w:val="JuList"/>
        <w:ind w:left="0" w:firstLine="0"/>
      </w:pPr>
    </w:p>
    <w:p w:rsidR="004B30F4" w:rsidRPr="00144309" w:rsidRDefault="004B30F4" w:rsidP="004B30F4">
      <w:pPr>
        <w:pStyle w:val="JuList"/>
      </w:pPr>
      <w:r>
        <w:rPr>
          <w:rStyle w:val="JuList"/>
        </w:rPr>
        <w:t>2.  </w:t>
      </w:r>
      <w:r>
        <w:rPr>
          <w:rStyle w:val="JuList"/>
          <w:i/>
        </w:rPr>
        <w:t>Приема</w:t>
      </w:r>
      <w:r>
        <w:rPr>
          <w:rStyle w:val="JuList"/>
        </w:rPr>
        <w:t>, че е налице нарушение на чл. 6 § 1 от Конвенцията;</w:t>
      </w:r>
    </w:p>
    <w:p w:rsidR="004B30F4" w:rsidRPr="00144309" w:rsidRDefault="004B30F4" w:rsidP="004B30F4">
      <w:pPr>
        <w:pStyle w:val="JuList"/>
        <w:ind w:left="0" w:firstLine="0"/>
      </w:pPr>
    </w:p>
    <w:p w:rsidR="004B30F4" w:rsidRPr="00144309" w:rsidRDefault="004B30F4" w:rsidP="004B30F4">
      <w:pPr>
        <w:pStyle w:val="JuList"/>
      </w:pPr>
      <w:r>
        <w:rPr>
          <w:rStyle w:val="JuList"/>
        </w:rPr>
        <w:t>3.  </w:t>
      </w:r>
      <w:r>
        <w:rPr>
          <w:rStyle w:val="JuList"/>
          <w:i/>
        </w:rPr>
        <w:t>Приема,</w:t>
      </w:r>
    </w:p>
    <w:p w:rsidR="004B30F4" w:rsidRPr="00144309" w:rsidRDefault="004B30F4" w:rsidP="004B30F4">
      <w:pPr>
        <w:pStyle w:val="JuLista"/>
      </w:pPr>
      <w:r>
        <w:rPr>
          <w:rStyle w:val="JuLista"/>
        </w:rPr>
        <w:t xml:space="preserve">(а) че държавата-ответник трябва да заплати на жалбоподателката в срок от три месеца 6 000 евро (шест хиляди евро), плюс всякакви данъци, които биха могли да се начислят, по отношение на неимуществени вреди, които </w:t>
      </w:r>
      <w:r w:rsidR="002333AC">
        <w:rPr>
          <w:rStyle w:val="JuLista"/>
        </w:rPr>
        <w:t>се конвертират</w:t>
      </w:r>
      <w:r>
        <w:rPr>
          <w:rStyle w:val="JuLista"/>
        </w:rPr>
        <w:t xml:space="preserve"> в български лева </w:t>
      </w:r>
      <w:r w:rsidR="002333AC">
        <w:rPr>
          <w:rStyle w:val="JuLista"/>
        </w:rPr>
        <w:t xml:space="preserve">по </w:t>
      </w:r>
      <w:r>
        <w:rPr>
          <w:rStyle w:val="JuLista"/>
        </w:rPr>
        <w:t xml:space="preserve">курса, </w:t>
      </w:r>
      <w:r w:rsidR="002333AC">
        <w:rPr>
          <w:rStyle w:val="JuLista"/>
        </w:rPr>
        <w:t>валиден към датата</w:t>
      </w:r>
      <w:r>
        <w:rPr>
          <w:rStyle w:val="JuLista"/>
        </w:rPr>
        <w:t xml:space="preserve"> на плащането;</w:t>
      </w:r>
    </w:p>
    <w:p w:rsidR="004B30F4" w:rsidRPr="00144309" w:rsidRDefault="004B30F4" w:rsidP="004B30F4">
      <w:pPr>
        <w:pStyle w:val="JuLista"/>
      </w:pPr>
      <w:r>
        <w:rPr>
          <w:rStyle w:val="JuLista"/>
        </w:rPr>
        <w:t xml:space="preserve">(б) че от изтичането на </w:t>
      </w:r>
      <w:r w:rsidR="002333AC">
        <w:rPr>
          <w:rStyle w:val="JuLista"/>
        </w:rPr>
        <w:t>горес</w:t>
      </w:r>
      <w:r>
        <w:rPr>
          <w:rStyle w:val="JuLista"/>
        </w:rPr>
        <w:t xml:space="preserve">поменатия тримесечен срок до плащането се дължи проста лихва върху горепосочената сума в размер, равен на пределната ставка по заеми на Европейската централна банка </w:t>
      </w:r>
      <w:r w:rsidR="002333AC">
        <w:rPr>
          <w:rStyle w:val="JuLista"/>
        </w:rPr>
        <w:t>за периода</w:t>
      </w:r>
      <w:r>
        <w:rPr>
          <w:rStyle w:val="JuLista"/>
        </w:rPr>
        <w:t xml:space="preserve"> на забава, към която се добавят три процентни пункта;</w:t>
      </w:r>
    </w:p>
    <w:p w:rsidR="004B30F4" w:rsidRPr="00144309" w:rsidRDefault="004B30F4" w:rsidP="004B30F4">
      <w:pPr>
        <w:pStyle w:val="JuList"/>
      </w:pPr>
    </w:p>
    <w:p w:rsidR="004B30F4" w:rsidRPr="00144309" w:rsidRDefault="004B30F4" w:rsidP="004B30F4">
      <w:pPr>
        <w:pStyle w:val="JuList"/>
      </w:pPr>
      <w:r>
        <w:rPr>
          <w:rStyle w:val="JuList"/>
        </w:rPr>
        <w:t>4.  </w:t>
      </w:r>
      <w:r>
        <w:rPr>
          <w:rStyle w:val="JuList"/>
          <w:i/>
        </w:rPr>
        <w:t>Отхвърля</w:t>
      </w:r>
      <w:r>
        <w:rPr>
          <w:rStyle w:val="JuList"/>
        </w:rPr>
        <w:t xml:space="preserve"> останалата част от претенцията на жалбоподателката за справедливо обезщетение.</w:t>
      </w:r>
    </w:p>
    <w:p w:rsidR="004B30F4" w:rsidRDefault="004B30F4" w:rsidP="004B30F4">
      <w:pPr>
        <w:pStyle w:val="JuParaLast"/>
        <w:rPr>
          <w:rStyle w:val="JuParaLast"/>
        </w:rPr>
      </w:pPr>
      <w:r>
        <w:rPr>
          <w:rStyle w:val="JuParaLast"/>
        </w:rPr>
        <w:t xml:space="preserve">Изготвено на английски език и оповестено писмено на 10 януари 2019 г. в съответствие с </w:t>
      </w:r>
      <w:r w:rsidR="002333AC">
        <w:rPr>
          <w:rStyle w:val="JuParaLast"/>
        </w:rPr>
        <w:t>п</w:t>
      </w:r>
      <w:r>
        <w:rPr>
          <w:rStyle w:val="JuParaLast"/>
        </w:rPr>
        <w:t>равило 77 §§ 2 и 3 от Правилника на Съда.</w:t>
      </w:r>
    </w:p>
    <w:p w:rsidR="009F3231" w:rsidRPr="009F3231" w:rsidRDefault="009F3231" w:rsidP="009F3231">
      <w:pPr>
        <w:pStyle w:val="ECHRPara"/>
      </w:pPr>
    </w:p>
    <w:p w:rsidR="004B30F4" w:rsidRPr="00144309" w:rsidRDefault="004B30F4" w:rsidP="00E6489E">
      <w:pPr>
        <w:pStyle w:val="JuSigned"/>
        <w:tabs>
          <w:tab w:val="clear" w:pos="6407"/>
          <w:tab w:val="center" w:pos="5954"/>
        </w:tabs>
        <w:spacing w:before="0"/>
        <w:ind w:left="-851" w:right="-1429"/>
      </w:pPr>
      <w:r>
        <w:rPr>
          <w:rStyle w:val="JuSigned"/>
        </w:rPr>
        <w:t>Милан Бла</w:t>
      </w:r>
      <w:r w:rsidR="002333AC">
        <w:rPr>
          <w:rStyle w:val="JuSigned"/>
        </w:rPr>
        <w:t>с</w:t>
      </w:r>
      <w:r>
        <w:rPr>
          <w:rStyle w:val="JuSigned"/>
        </w:rPr>
        <w:t>ко</w:t>
      </w:r>
      <w:r>
        <w:rPr>
          <w:rStyle w:val="JuSigned"/>
        </w:rPr>
        <w:tab/>
      </w:r>
      <w:r w:rsidR="005021FD">
        <w:rPr>
          <w:rStyle w:val="JuSigned"/>
        </w:rPr>
        <w:t xml:space="preserve">                                                              </w:t>
      </w:r>
      <w:r>
        <w:rPr>
          <w:rStyle w:val="JuSigned"/>
        </w:rPr>
        <w:t>Габриеле Куцко-Щадлмайер</w:t>
      </w:r>
      <w:r>
        <w:br/>
      </w:r>
      <w:r w:rsidR="005021FD">
        <w:rPr>
          <w:rStyle w:val="JuSigned"/>
        </w:rPr>
        <w:t xml:space="preserve">  </w:t>
      </w:r>
      <w:r w:rsidR="002333AC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2333AC">
        <w:rPr>
          <w:rStyle w:val="JuSigned"/>
        </w:rPr>
        <w:t>п</w:t>
      </w:r>
      <w:r>
        <w:rPr>
          <w:rStyle w:val="JuSigned"/>
        </w:rPr>
        <w:t>редседател</w:t>
      </w:r>
    </w:p>
    <w:p w:rsidR="004B30F4" w:rsidRPr="00144309" w:rsidRDefault="004B30F4" w:rsidP="009F3231">
      <w:pPr>
        <w:pStyle w:val="JuParaLast"/>
        <w:jc w:val="center"/>
      </w:pPr>
    </w:p>
    <w:sectPr w:rsidR="004B30F4" w:rsidRPr="00144309" w:rsidSect="004B30F4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B" w:rsidRDefault="0056679B">
      <w:r>
        <w:separator/>
      </w:r>
    </w:p>
  </w:endnote>
  <w:endnote w:type="continuationSeparator" w:id="0">
    <w:p w:rsidR="0056679B" w:rsidRDefault="0056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A" w:rsidRDefault="009D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A" w:rsidRDefault="009D4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B3" w:rsidRPr="00150BFA" w:rsidRDefault="008144F9" w:rsidP="004B30F4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3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CB3" w:rsidRDefault="00F6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B" w:rsidRPr="003152BA" w:rsidRDefault="0056679B" w:rsidP="004B30F4">
      <w:r>
        <w:separator/>
      </w:r>
    </w:p>
  </w:footnote>
  <w:footnote w:type="continuationSeparator" w:id="0">
    <w:p w:rsidR="0056679B" w:rsidRPr="003152BA" w:rsidRDefault="0056679B" w:rsidP="004B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A" w:rsidRDefault="009D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B3" w:rsidRPr="002E46E3" w:rsidRDefault="00F62CB3" w:rsidP="004B30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B3" w:rsidRPr="00A45145" w:rsidRDefault="008144F9" w:rsidP="004B30F4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3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CB3" w:rsidRDefault="00F62C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B3" w:rsidRPr="003152BA" w:rsidRDefault="00F62CB3" w:rsidP="004B30F4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AA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ECHRHeader"/>
      </w:rPr>
      <w:tab/>
      <w:t>РЕШЕНИЕ ВЪЛКОВА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B3" w:rsidRPr="003152BA" w:rsidRDefault="00F62CB3" w:rsidP="004B30F4">
    <w:pPr>
      <w:pStyle w:val="ECHRHeader"/>
    </w:pPr>
    <w:r>
      <w:rPr>
        <w:rStyle w:val="ECHRHeader"/>
      </w:rPr>
      <w:tab/>
      <w:t>РЕШЕНИЕ ВЪЛКОВА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AA7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F3537A"/>
    <w:rsid w:val="0000141C"/>
    <w:rsid w:val="000470AA"/>
    <w:rsid w:val="00122699"/>
    <w:rsid w:val="0013130B"/>
    <w:rsid w:val="00140EE5"/>
    <w:rsid w:val="0017189D"/>
    <w:rsid w:val="00187E6E"/>
    <w:rsid w:val="001E19F2"/>
    <w:rsid w:val="002333AC"/>
    <w:rsid w:val="002D55E4"/>
    <w:rsid w:val="00375611"/>
    <w:rsid w:val="0039334E"/>
    <w:rsid w:val="0041061B"/>
    <w:rsid w:val="00472E58"/>
    <w:rsid w:val="00482CDF"/>
    <w:rsid w:val="004B30F4"/>
    <w:rsid w:val="004C04C3"/>
    <w:rsid w:val="004D6C95"/>
    <w:rsid w:val="004F5AA7"/>
    <w:rsid w:val="005021FD"/>
    <w:rsid w:val="005352A6"/>
    <w:rsid w:val="00550373"/>
    <w:rsid w:val="0056679B"/>
    <w:rsid w:val="005D32FA"/>
    <w:rsid w:val="005F16B0"/>
    <w:rsid w:val="00646030"/>
    <w:rsid w:val="00660837"/>
    <w:rsid w:val="00710D86"/>
    <w:rsid w:val="007553D5"/>
    <w:rsid w:val="00777E36"/>
    <w:rsid w:val="00782BDC"/>
    <w:rsid w:val="007B1C1D"/>
    <w:rsid w:val="007D6607"/>
    <w:rsid w:val="007F16F3"/>
    <w:rsid w:val="008144F9"/>
    <w:rsid w:val="00834302"/>
    <w:rsid w:val="008922B6"/>
    <w:rsid w:val="008B2309"/>
    <w:rsid w:val="00997A0E"/>
    <w:rsid w:val="009D43CA"/>
    <w:rsid w:val="009F3231"/>
    <w:rsid w:val="00A73C0F"/>
    <w:rsid w:val="00B07B5A"/>
    <w:rsid w:val="00B22FB7"/>
    <w:rsid w:val="00BA0540"/>
    <w:rsid w:val="00BA1C4A"/>
    <w:rsid w:val="00BB4F57"/>
    <w:rsid w:val="00BB521A"/>
    <w:rsid w:val="00BC249A"/>
    <w:rsid w:val="00BD232D"/>
    <w:rsid w:val="00BD657E"/>
    <w:rsid w:val="00C55F77"/>
    <w:rsid w:val="00C74FAE"/>
    <w:rsid w:val="00CC4AE0"/>
    <w:rsid w:val="00CE1C2C"/>
    <w:rsid w:val="00D35371"/>
    <w:rsid w:val="00DD6E66"/>
    <w:rsid w:val="00DE2E20"/>
    <w:rsid w:val="00E115F4"/>
    <w:rsid w:val="00E449C2"/>
    <w:rsid w:val="00E466B4"/>
    <w:rsid w:val="00E6489E"/>
    <w:rsid w:val="00E64A63"/>
    <w:rsid w:val="00E87290"/>
    <w:rsid w:val="00EF46EA"/>
    <w:rsid w:val="00F05E2F"/>
    <w:rsid w:val="00F62CB3"/>
    <w:rsid w:val="00FA05CB"/>
    <w:rsid w:val="00FA109E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3038C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3038C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43038C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43038C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43038C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43038C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43038C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3038C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3038C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3038C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38C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43038C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43038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43038C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43038C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43038C"/>
    <w:rPr>
      <w:sz w:val="22"/>
    </w:rPr>
  </w:style>
  <w:style w:type="character" w:customStyle="1" w:styleId="NoSpacingChar">
    <w:name w:val="No Spacing Char"/>
    <w:link w:val="NoSpacing"/>
    <w:semiHidden/>
    <w:rsid w:val="0043038C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43038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43038C"/>
  </w:style>
  <w:style w:type="paragraph" w:customStyle="1" w:styleId="DecList">
    <w:name w:val="Dec_List"/>
    <w:basedOn w:val="Normal"/>
    <w:uiPriority w:val="9"/>
    <w:semiHidden/>
    <w:qFormat/>
    <w:rsid w:val="0043038C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43038C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43038C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43038C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43038C"/>
    <w:pPr>
      <w:numPr>
        <w:numId w:val="24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43038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"/>
    <w:uiPriority w:val="31"/>
    <w:qFormat/>
    <w:rsid w:val="0043038C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43038C"/>
    <w:pPr>
      <w:spacing w:after="240"/>
      <w:jc w:val="center"/>
      <w:outlineLvl w:val="0"/>
    </w:pPr>
  </w:style>
  <w:style w:type="paragraph" w:customStyle="1" w:styleId="JuListi">
    <w:name w:val="Ju_List_i"/>
    <w:basedOn w:val="Normal"/>
    <w:next w:val="JuLista"/>
    <w:uiPriority w:val="28"/>
    <w:qFormat/>
    <w:rsid w:val="0043038C"/>
    <w:pPr>
      <w:ind w:left="794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43038C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43038C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43038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43038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43038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43038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43038C"/>
    <w:pPr>
      <w:keepNext/>
      <w:keepLines/>
      <w:spacing w:before="240" w:after="120"/>
      <w:ind w:left="1236"/>
    </w:pPr>
    <w:rPr>
      <w:sz w:val="20"/>
    </w:rPr>
  </w:style>
  <w:style w:type="character" w:customStyle="1" w:styleId="JUNAMES">
    <w:name w:val="JU_NAMES"/>
    <w:uiPriority w:val="17"/>
    <w:qFormat/>
    <w:rsid w:val="0043038C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43038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43038C"/>
    <w:pPr>
      <w:ind w:left="567"/>
    </w:pPr>
  </w:style>
  <w:style w:type="paragraph" w:styleId="Header">
    <w:name w:val="header"/>
    <w:basedOn w:val="Normal"/>
    <w:link w:val="HeaderChar"/>
    <w:uiPriority w:val="57"/>
    <w:semiHidden/>
    <w:rsid w:val="0043038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43038C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43038C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43038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43038C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43038C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Title">
    <w:name w:val="Ju_Title"/>
    <w:basedOn w:val="Normal"/>
    <w:next w:val="ECHRPara"/>
    <w:uiPriority w:val="3"/>
    <w:semiHidden/>
    <w:qFormat/>
    <w:rsid w:val="0043038C"/>
    <w:pPr>
      <w:spacing w:before="720" w:after="240"/>
      <w:jc w:val="center"/>
      <w:outlineLvl w:val="0"/>
    </w:pPr>
    <w:rPr>
      <w:b/>
      <w:caps/>
    </w:rPr>
  </w:style>
  <w:style w:type="paragraph" w:customStyle="1" w:styleId="JuCase">
    <w:name w:val="Ju_Case"/>
    <w:basedOn w:val="Normal"/>
    <w:next w:val="ECHRPara"/>
    <w:uiPriority w:val="10"/>
    <w:rsid w:val="0043038C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43038C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43038C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43038C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43038C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43038C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43038C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43038C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43038C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43038C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43038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038C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43038C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43038C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43038C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43038C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43038C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43038C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3038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43038C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43038C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43038C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43038C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43038C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43038C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4303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43038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43038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43038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43038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43038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43038C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43038C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43038C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43038C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43038C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43038C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43038C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43038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43038C"/>
    <w:pPr>
      <w:keepNext/>
      <w:keepLines/>
      <w:spacing w:before="240"/>
      <w:ind w:firstLine="284"/>
    </w:pPr>
  </w:style>
  <w:style w:type="paragraph" w:customStyle="1" w:styleId="OpiH1">
    <w:name w:val="Opi_H_1"/>
    <w:basedOn w:val="ECHRHeading2"/>
    <w:uiPriority w:val="42"/>
    <w:qFormat/>
    <w:rsid w:val="0043038C"/>
    <w:pPr>
      <w:ind w:left="635" w:hanging="357"/>
      <w:outlineLvl w:val="2"/>
    </w:p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43038C"/>
    <w:pPr>
      <w:ind w:left="346" w:firstLine="0"/>
    </w:pPr>
  </w:style>
  <w:style w:type="paragraph" w:customStyle="1" w:styleId="OpiHa">
    <w:name w:val="Opi_H_a"/>
    <w:basedOn w:val="ECHRHeading3"/>
    <w:uiPriority w:val="43"/>
    <w:qFormat/>
    <w:rsid w:val="0043038C"/>
    <w:pPr>
      <w:ind w:left="833" w:hanging="357"/>
      <w:outlineLvl w:val="3"/>
    </w:pPr>
    <w:rPr>
      <w:b/>
      <w:i w:val="0"/>
      <w:sz w:val="20"/>
    </w:rPr>
  </w:style>
  <w:style w:type="character" w:styleId="CommentReference">
    <w:name w:val="annotation reference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43038C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43038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038C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A0">
    <w:name w:val="Opi_H_A"/>
    <w:basedOn w:val="ECHRHeading1"/>
    <w:next w:val="OpiPara"/>
    <w:uiPriority w:val="41"/>
    <w:qFormat/>
    <w:rsid w:val="0043038C"/>
    <w:pPr>
      <w:tabs>
        <w:tab w:val="clear" w:pos="357"/>
      </w:tabs>
      <w:outlineLvl w:val="1"/>
    </w:pPr>
    <w:rPr>
      <w:b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uiPriority w:val="38"/>
    <w:qFormat/>
    <w:rsid w:val="0043038C"/>
    <w:rPr>
      <w:color w:val="000000"/>
      <w:sz w:val="14"/>
      <w:bdr w:val="none" w:sz="0" w:space="0" w:color="auto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43038C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43038C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customStyle="1" w:styleId="OpiHi">
    <w:name w:val="Opi_H_i"/>
    <w:basedOn w:val="ECHRHeading4"/>
    <w:uiPriority w:val="44"/>
    <w:qFormat/>
    <w:rsid w:val="0043038C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43038C"/>
  </w:style>
  <w:style w:type="character" w:styleId="PlaceholderText">
    <w:name w:val="Placeholder Text"/>
    <w:uiPriority w:val="99"/>
    <w:semiHidden/>
    <w:rsid w:val="0043038C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43038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43038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qFormat/>
    <w:rsid w:val="0043038C"/>
  </w:style>
  <w:style w:type="paragraph" w:customStyle="1" w:styleId="OpiQuot">
    <w:name w:val="Opi_Quot"/>
    <w:basedOn w:val="ECHRParaQuote"/>
    <w:uiPriority w:val="48"/>
    <w:qFormat/>
    <w:rsid w:val="0043038C"/>
  </w:style>
  <w:style w:type="paragraph" w:customStyle="1" w:styleId="OpiQuotSub">
    <w:name w:val="Opi_Quot_Sub"/>
    <w:basedOn w:val="JuQuotSub"/>
    <w:uiPriority w:val="49"/>
    <w:qFormat/>
    <w:rsid w:val="0043038C"/>
  </w:style>
  <w:style w:type="paragraph" w:customStyle="1" w:styleId="OpiTranslation">
    <w:name w:val="Opi_Translation"/>
    <w:basedOn w:val="Normal"/>
    <w:next w:val="OpiPara"/>
    <w:uiPriority w:val="40"/>
    <w:qFormat/>
    <w:rsid w:val="0043038C"/>
    <w:pPr>
      <w:jc w:val="center"/>
      <w:outlineLvl w:val="0"/>
    </w:pPr>
    <w:rPr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92873"/>
  </w:style>
  <w:style w:type="character" w:customStyle="1" w:styleId="NoteHeadingChar">
    <w:name w:val="Note Heading Char"/>
    <w:link w:val="NoteHeading"/>
    <w:uiPriority w:val="99"/>
    <w:semiHidden/>
    <w:rsid w:val="00C92873"/>
    <w:rPr>
      <w:rFonts w:eastAsia="MS Mincho"/>
      <w:sz w:val="24"/>
      <w:lang w:val="bg-BG" w:eastAsia="bg-BG"/>
    </w:rPr>
  </w:style>
  <w:style w:type="paragraph" w:customStyle="1" w:styleId="JuHeaderLandscape">
    <w:name w:val="Ju_Header_Landscape"/>
    <w:basedOn w:val="ECHRHeader"/>
    <w:uiPriority w:val="4"/>
    <w:qFormat/>
    <w:rsid w:val="0043038C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B87F6E"/>
    <w:rPr>
      <w:rFonts w:eastAsia="MS Mincho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EFEF-1FBD-41C1-B984-EA176628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2019-08-13T08:42:00Z</dcterms:created>
  <dcterms:modified xsi:type="dcterms:W3CDTF">2019-08-13T08:42:00Z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