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620F01" w:rsidRDefault="00014566" w:rsidP="00A51507">
      <w:pPr>
        <w:jc w:val="center"/>
        <w:rPr>
          <w:lang w:val="bg-BG"/>
        </w:rPr>
      </w:pPr>
    </w:p>
    <w:p w:rsidR="00113FE9" w:rsidRPr="00620F01" w:rsidRDefault="00113FE9" w:rsidP="00A51507">
      <w:pPr>
        <w:jc w:val="center"/>
        <w:rPr>
          <w:lang w:val="bg-BG"/>
        </w:rPr>
      </w:pPr>
    </w:p>
    <w:p w:rsidR="00113FE9" w:rsidRPr="00620F01" w:rsidRDefault="00113FE9" w:rsidP="00A51507">
      <w:pPr>
        <w:jc w:val="center"/>
        <w:rPr>
          <w:lang w:val="bg-BG"/>
        </w:rPr>
      </w:pPr>
    </w:p>
    <w:p w:rsidR="00014566" w:rsidRPr="00620F01" w:rsidRDefault="00614823" w:rsidP="00A51507">
      <w:pPr>
        <w:jc w:val="center"/>
        <w:rPr>
          <w:lang w:val="bg-BG"/>
        </w:rPr>
      </w:pPr>
      <w:r w:rsidRPr="00620F01">
        <w:rPr>
          <w:lang w:val="bg-BG"/>
        </w:rPr>
        <w:t>ПЕТО ОТДЕЛЕНИЕ</w:t>
      </w:r>
    </w:p>
    <w:p w:rsidR="00113FE9" w:rsidRPr="00620F01" w:rsidRDefault="00113FE9" w:rsidP="00A51507">
      <w:pPr>
        <w:jc w:val="center"/>
        <w:rPr>
          <w:lang w:val="bg-BG"/>
        </w:rPr>
      </w:pPr>
      <w:bookmarkStart w:id="0" w:name="_GoBack"/>
      <w:bookmarkEnd w:id="0"/>
    </w:p>
    <w:p w:rsidR="00113FE9" w:rsidRPr="00620F01" w:rsidRDefault="00113FE9" w:rsidP="00A51507">
      <w:pPr>
        <w:jc w:val="center"/>
        <w:rPr>
          <w:lang w:val="bg-BG"/>
        </w:rPr>
      </w:pPr>
    </w:p>
    <w:p w:rsidR="00113FE9" w:rsidRPr="00620F01" w:rsidRDefault="00113FE9" w:rsidP="00A51507">
      <w:pPr>
        <w:jc w:val="center"/>
        <w:rPr>
          <w:lang w:val="bg-BG"/>
        </w:rPr>
      </w:pPr>
    </w:p>
    <w:p w:rsidR="00113FE9" w:rsidRPr="00620F01" w:rsidRDefault="00113FE9" w:rsidP="00A51507">
      <w:pPr>
        <w:jc w:val="center"/>
        <w:rPr>
          <w:lang w:val="bg-BG"/>
        </w:rPr>
      </w:pPr>
    </w:p>
    <w:p w:rsidR="00113FE9" w:rsidRPr="00620F01" w:rsidRDefault="00113FE9" w:rsidP="00A51507">
      <w:pPr>
        <w:jc w:val="center"/>
        <w:rPr>
          <w:lang w:val="bg-BG"/>
        </w:rPr>
      </w:pPr>
    </w:p>
    <w:p w:rsidR="00614823" w:rsidRPr="00620F01" w:rsidRDefault="00614823" w:rsidP="00614823">
      <w:pPr>
        <w:jc w:val="center"/>
        <w:rPr>
          <w:b/>
          <w:lang w:val="bg-BG"/>
        </w:rPr>
      </w:pPr>
      <w:r w:rsidRPr="00620F01">
        <w:rPr>
          <w:b/>
          <w:lang w:val="bg-BG"/>
        </w:rPr>
        <w:t xml:space="preserve">ДЕЛО ЗДРАВКО СТАНЕВ </w:t>
      </w:r>
      <w:r w:rsidR="00D179C1" w:rsidRPr="00620F01">
        <w:rPr>
          <w:b/>
          <w:lang w:val="bg-BG"/>
        </w:rPr>
        <w:t xml:space="preserve">срещу </w:t>
      </w:r>
      <w:r w:rsidRPr="00620F01">
        <w:rPr>
          <w:b/>
          <w:lang w:val="bg-BG"/>
        </w:rPr>
        <w:t>БЪЛГАРИЯ (№ 2)</w:t>
      </w:r>
    </w:p>
    <w:p w:rsidR="00014566" w:rsidRPr="00620F01" w:rsidRDefault="00014566" w:rsidP="00A51507">
      <w:pPr>
        <w:jc w:val="center"/>
        <w:rPr>
          <w:b/>
          <w:lang w:val="bg-BG"/>
        </w:rPr>
      </w:pPr>
    </w:p>
    <w:p w:rsidR="00014566" w:rsidRPr="00620F01" w:rsidRDefault="00014566" w:rsidP="00A51507">
      <w:pPr>
        <w:jc w:val="center"/>
        <w:rPr>
          <w:lang w:val="bg-BG"/>
        </w:rPr>
      </w:pPr>
    </w:p>
    <w:p w:rsidR="00014566" w:rsidRPr="00620F01" w:rsidRDefault="00014566" w:rsidP="00A51507">
      <w:pPr>
        <w:jc w:val="center"/>
        <w:rPr>
          <w:i/>
          <w:lang w:val="bg-BG"/>
        </w:rPr>
      </w:pPr>
      <w:r w:rsidRPr="00620F01">
        <w:rPr>
          <w:i/>
          <w:lang w:val="bg-BG"/>
        </w:rPr>
        <w:t>(</w:t>
      </w:r>
      <w:r w:rsidR="00930366" w:rsidRPr="00620F01">
        <w:rPr>
          <w:i/>
          <w:lang w:val="bg-BG"/>
        </w:rPr>
        <w:t>Жалба №</w:t>
      </w:r>
      <w:r w:rsidR="000F5B6F" w:rsidRPr="00620F01">
        <w:rPr>
          <w:i/>
          <w:lang w:val="bg-BG"/>
        </w:rPr>
        <w:t xml:space="preserve"> 18312/08</w:t>
      </w:r>
      <w:r w:rsidRPr="00620F01">
        <w:rPr>
          <w:i/>
          <w:lang w:val="bg-BG"/>
        </w:rPr>
        <w:t>)</w:t>
      </w:r>
    </w:p>
    <w:p w:rsidR="00014566" w:rsidRPr="00620F01" w:rsidRDefault="00014566" w:rsidP="00A51507">
      <w:pPr>
        <w:jc w:val="center"/>
        <w:rPr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3533A2" w:rsidRPr="00620F01" w:rsidRDefault="003533A2" w:rsidP="00A51507">
      <w:pPr>
        <w:jc w:val="center"/>
        <w:rPr>
          <w:szCs w:val="24"/>
          <w:lang w:val="bg-BG"/>
        </w:rPr>
      </w:pPr>
    </w:p>
    <w:p w:rsidR="00014566" w:rsidRPr="00620F01" w:rsidRDefault="00614823" w:rsidP="00A51507">
      <w:pPr>
        <w:jc w:val="center"/>
        <w:rPr>
          <w:szCs w:val="24"/>
          <w:lang w:val="bg-BG"/>
        </w:rPr>
      </w:pPr>
      <w:r w:rsidRPr="00620F01">
        <w:rPr>
          <w:szCs w:val="24"/>
          <w:lang w:val="bg-BG"/>
        </w:rPr>
        <w:t>РЕШЕНИЕ</w:t>
      </w:r>
    </w:p>
    <w:p w:rsidR="00DE4AEC" w:rsidRPr="00620F01" w:rsidRDefault="00DE4AEC" w:rsidP="00A51507">
      <w:pPr>
        <w:jc w:val="center"/>
        <w:rPr>
          <w:lang w:val="bg-BG"/>
        </w:rPr>
      </w:pPr>
    </w:p>
    <w:p w:rsidR="00DE4AEC" w:rsidRPr="00620F01" w:rsidRDefault="00DE4AEC" w:rsidP="00A51507">
      <w:pPr>
        <w:jc w:val="center"/>
        <w:rPr>
          <w:lang w:val="bg-BG"/>
        </w:rPr>
      </w:pPr>
    </w:p>
    <w:p w:rsidR="00DE4AEC" w:rsidRPr="00620F01" w:rsidRDefault="00DE4AEC" w:rsidP="00A51507">
      <w:pPr>
        <w:jc w:val="center"/>
        <w:rPr>
          <w:lang w:val="bg-BG"/>
        </w:rPr>
      </w:pPr>
    </w:p>
    <w:p w:rsidR="00DE4AEC" w:rsidRPr="00620F01" w:rsidRDefault="00DE4AEC" w:rsidP="00A51507">
      <w:pPr>
        <w:jc w:val="center"/>
        <w:rPr>
          <w:lang w:val="bg-BG"/>
        </w:rPr>
      </w:pPr>
    </w:p>
    <w:p w:rsidR="003533A2" w:rsidRPr="00620F01" w:rsidRDefault="003533A2" w:rsidP="00A51507">
      <w:pPr>
        <w:jc w:val="center"/>
        <w:rPr>
          <w:lang w:val="bg-BG"/>
        </w:rPr>
      </w:pPr>
    </w:p>
    <w:p w:rsidR="003533A2" w:rsidRPr="00620F01" w:rsidRDefault="003533A2" w:rsidP="00A51507">
      <w:pPr>
        <w:jc w:val="center"/>
        <w:rPr>
          <w:lang w:val="bg-BG"/>
        </w:rPr>
      </w:pPr>
    </w:p>
    <w:p w:rsidR="00113FE9" w:rsidRPr="00620F01" w:rsidRDefault="00614823" w:rsidP="00A51507">
      <w:pPr>
        <w:jc w:val="center"/>
        <w:rPr>
          <w:b/>
          <w:lang w:val="bg-BG"/>
        </w:rPr>
      </w:pPr>
      <w:r w:rsidRPr="00620F01">
        <w:rPr>
          <w:lang w:val="bg-BG"/>
        </w:rPr>
        <w:t>СТРАСБУРГ</w:t>
      </w:r>
    </w:p>
    <w:p w:rsidR="00113FE9" w:rsidRPr="00620F01" w:rsidRDefault="00113FE9" w:rsidP="00A51507">
      <w:pPr>
        <w:jc w:val="center"/>
        <w:rPr>
          <w:lang w:val="bg-BG"/>
        </w:rPr>
      </w:pPr>
    </w:p>
    <w:p w:rsidR="00113FE9" w:rsidRPr="00620F01" w:rsidRDefault="00614823" w:rsidP="00A51507">
      <w:pPr>
        <w:jc w:val="center"/>
        <w:rPr>
          <w:lang w:val="bg-BG"/>
        </w:rPr>
      </w:pPr>
      <w:r w:rsidRPr="00620F01">
        <w:rPr>
          <w:lang w:val="bg-BG"/>
        </w:rPr>
        <w:t>12 юли</w:t>
      </w:r>
      <w:r w:rsidR="00595CE7" w:rsidRPr="00620F01">
        <w:rPr>
          <w:lang w:val="bg-BG"/>
        </w:rPr>
        <w:t xml:space="preserve"> 2016</w:t>
      </w:r>
      <w:r w:rsidRPr="00620F01">
        <w:rPr>
          <w:lang w:val="bg-BG"/>
        </w:rPr>
        <w:t xml:space="preserve"> г.</w:t>
      </w:r>
    </w:p>
    <w:p w:rsidR="00113FE9" w:rsidRPr="00620F01" w:rsidRDefault="00113FE9" w:rsidP="00A51507">
      <w:pPr>
        <w:jc w:val="center"/>
        <w:rPr>
          <w:lang w:val="bg-BG"/>
        </w:rPr>
      </w:pPr>
    </w:p>
    <w:p w:rsidR="00DE4AEC" w:rsidRPr="00620F01" w:rsidRDefault="00DE4AEC" w:rsidP="00A51507">
      <w:pPr>
        <w:jc w:val="center"/>
        <w:rPr>
          <w:lang w:val="bg-BG"/>
        </w:rPr>
      </w:pPr>
    </w:p>
    <w:p w:rsidR="00113FE9" w:rsidRPr="00620F01" w:rsidRDefault="00113FE9" w:rsidP="00A51507">
      <w:pPr>
        <w:jc w:val="center"/>
        <w:rPr>
          <w:lang w:val="bg-BG"/>
        </w:rPr>
      </w:pPr>
    </w:p>
    <w:p w:rsidR="00113FE9" w:rsidRPr="00620F01" w:rsidRDefault="00614823" w:rsidP="00A51507">
      <w:pPr>
        <w:jc w:val="left"/>
        <w:rPr>
          <w:i/>
          <w:szCs w:val="24"/>
          <w:lang w:val="bg-BG"/>
        </w:rPr>
      </w:pPr>
      <w:bookmarkStart w:id="1" w:name="OLE_LINK1"/>
      <w:bookmarkStart w:id="2" w:name="OLE_LINK2"/>
      <w:bookmarkStart w:id="3" w:name="OLE_LINK14"/>
      <w:bookmarkStart w:id="4" w:name="OLE_LINK15"/>
      <w:bookmarkStart w:id="5" w:name="OLE_LINK34"/>
      <w:bookmarkStart w:id="6" w:name="OLE_LINK36"/>
      <w:r w:rsidRPr="00620F01">
        <w:rPr>
          <w:i/>
          <w:szCs w:val="24"/>
          <w:lang w:val="bg-BG"/>
        </w:rPr>
        <w:t>Това решение ще стане окончателно при условията, посочени в чл. 44, ал. 2 от Конвенцията. Може да бъде обект на редакционни промен</w:t>
      </w:r>
      <w:bookmarkEnd w:id="1"/>
      <w:bookmarkEnd w:id="2"/>
      <w:bookmarkEnd w:id="3"/>
      <w:bookmarkEnd w:id="4"/>
      <w:bookmarkEnd w:id="5"/>
      <w:bookmarkEnd w:id="6"/>
      <w:r w:rsidRPr="00620F01">
        <w:rPr>
          <w:i/>
          <w:szCs w:val="24"/>
          <w:lang w:val="bg-BG"/>
        </w:rPr>
        <w:t>и</w:t>
      </w:r>
      <w:r w:rsidR="00113FE9" w:rsidRPr="00620F01">
        <w:rPr>
          <w:i/>
          <w:szCs w:val="24"/>
          <w:lang w:val="bg-BG"/>
        </w:rPr>
        <w:t>.</w:t>
      </w:r>
    </w:p>
    <w:p w:rsidR="00113FE9" w:rsidRPr="00620F01" w:rsidRDefault="00113FE9" w:rsidP="00A51507">
      <w:pPr>
        <w:pStyle w:val="ECHRPara"/>
        <w:rPr>
          <w:szCs w:val="24"/>
          <w:lang w:val="bg-BG"/>
        </w:rPr>
        <w:sectPr w:rsidR="00113FE9" w:rsidRPr="00620F01" w:rsidSect="00113F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614823" w:rsidRPr="00620F01" w:rsidRDefault="00614823" w:rsidP="00614823">
      <w:pPr>
        <w:pStyle w:val="JuCase"/>
        <w:rPr>
          <w:bCs/>
          <w:lang w:val="bg-BG"/>
        </w:rPr>
      </w:pPr>
      <w:r w:rsidRPr="00620F01">
        <w:rPr>
          <w:lang w:val="bg-BG"/>
        </w:rPr>
        <w:lastRenderedPageBreak/>
        <w:t>По делото Здравко Станев срещу България (№ 2),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bCs/>
          <w:szCs w:val="24"/>
          <w:lang w:val="bg-BG"/>
        </w:rPr>
        <w:t>Европейският съд по правата на човека (Пето отделение), заседаващ в състав:</w:t>
      </w:r>
    </w:p>
    <w:p w:rsidR="00614823" w:rsidRPr="00620F01" w:rsidRDefault="00614823" w:rsidP="00614823">
      <w:pPr>
        <w:pStyle w:val="ECHRDecisionBody"/>
        <w:rPr>
          <w:lang w:val="bg-BG"/>
        </w:rPr>
      </w:pPr>
      <w:r w:rsidRPr="00620F01">
        <w:rPr>
          <w:lang w:val="bg-BG"/>
        </w:rPr>
        <w:tab/>
      </w:r>
      <w:proofErr w:type="spellStart"/>
      <w:r w:rsidRPr="00620F01">
        <w:rPr>
          <w:lang w:val="bg-BG"/>
        </w:rPr>
        <w:t>Ангелика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Нусбергер</w:t>
      </w:r>
      <w:proofErr w:type="spellEnd"/>
      <w:r w:rsidRPr="00620F01">
        <w:rPr>
          <w:lang w:val="bg-BG"/>
        </w:rPr>
        <w:t xml:space="preserve"> (</w:t>
      </w:r>
      <w:proofErr w:type="spellStart"/>
      <w:r w:rsidRPr="00620F01">
        <w:rPr>
          <w:lang w:val="bg-BG"/>
        </w:rPr>
        <w:t>Angelika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Nußberger</w:t>
      </w:r>
      <w:proofErr w:type="spellEnd"/>
      <w:r w:rsidRPr="00620F01">
        <w:rPr>
          <w:lang w:val="bg-BG"/>
        </w:rPr>
        <w:t>),</w:t>
      </w:r>
      <w:r w:rsidRPr="00620F01">
        <w:rPr>
          <w:i/>
          <w:lang w:val="bg-BG"/>
        </w:rPr>
        <w:t xml:space="preserve"> </w:t>
      </w:r>
      <w:r w:rsidR="00D179C1" w:rsidRPr="00620F01">
        <w:rPr>
          <w:i/>
          <w:lang w:val="bg-BG"/>
        </w:rPr>
        <w:t>п</w:t>
      </w:r>
      <w:r w:rsidRPr="00620F01">
        <w:rPr>
          <w:i/>
          <w:lang w:val="bg-BG"/>
        </w:rPr>
        <w:t>редседател</w:t>
      </w:r>
      <w:r w:rsidRPr="00620F01">
        <w:rPr>
          <w:lang w:val="bg-BG"/>
        </w:rPr>
        <w:t>,</w:t>
      </w:r>
      <w:r w:rsidRPr="00620F01">
        <w:rPr>
          <w:lang w:val="bg-BG"/>
        </w:rPr>
        <w:br/>
      </w:r>
      <w:r w:rsidRPr="00620F01">
        <w:rPr>
          <w:lang w:val="bg-BG"/>
        </w:rPr>
        <w:tab/>
      </w:r>
      <w:proofErr w:type="spellStart"/>
      <w:r w:rsidRPr="00620F01">
        <w:rPr>
          <w:lang w:val="bg-BG"/>
        </w:rPr>
        <w:t>Ханлар</w:t>
      </w:r>
      <w:proofErr w:type="spellEnd"/>
      <w:r w:rsidRPr="00620F01">
        <w:rPr>
          <w:lang w:val="bg-BG"/>
        </w:rPr>
        <w:t xml:space="preserve"> Хаджиев (</w:t>
      </w:r>
      <w:proofErr w:type="spellStart"/>
      <w:r w:rsidRPr="00620F01">
        <w:rPr>
          <w:lang w:val="bg-BG"/>
        </w:rPr>
        <w:t>Khanlar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Hajiyev</w:t>
      </w:r>
      <w:proofErr w:type="spellEnd"/>
      <w:r w:rsidRPr="00620F01">
        <w:rPr>
          <w:lang w:val="bg-BG"/>
        </w:rPr>
        <w:t>),</w:t>
      </w:r>
      <w:r w:rsidRPr="00620F01">
        <w:rPr>
          <w:i/>
          <w:lang w:val="bg-BG"/>
        </w:rPr>
        <w:br/>
      </w:r>
      <w:r w:rsidRPr="00620F01">
        <w:rPr>
          <w:lang w:val="bg-BG"/>
        </w:rPr>
        <w:tab/>
        <w:t xml:space="preserve">Ерик </w:t>
      </w:r>
      <w:proofErr w:type="spellStart"/>
      <w:r w:rsidRPr="00620F01">
        <w:rPr>
          <w:lang w:val="bg-BG"/>
        </w:rPr>
        <w:t>Мьозе</w:t>
      </w:r>
      <w:proofErr w:type="spellEnd"/>
      <w:r w:rsidRPr="00620F01">
        <w:rPr>
          <w:lang w:val="bg-BG"/>
        </w:rPr>
        <w:t xml:space="preserve"> (</w:t>
      </w:r>
      <w:proofErr w:type="spellStart"/>
      <w:r w:rsidRPr="00620F01">
        <w:rPr>
          <w:lang w:val="bg-BG"/>
        </w:rPr>
        <w:t>Erik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Møse</w:t>
      </w:r>
      <w:proofErr w:type="spellEnd"/>
      <w:r w:rsidRPr="00620F01">
        <w:rPr>
          <w:lang w:val="bg-BG"/>
        </w:rPr>
        <w:t>),</w:t>
      </w:r>
      <w:r w:rsidRPr="00620F01">
        <w:rPr>
          <w:i/>
          <w:lang w:val="bg-BG"/>
        </w:rPr>
        <w:br/>
      </w:r>
      <w:r w:rsidRPr="00620F01">
        <w:rPr>
          <w:lang w:val="bg-BG"/>
        </w:rPr>
        <w:tab/>
      </w:r>
      <w:proofErr w:type="spellStart"/>
      <w:r w:rsidRPr="00620F01">
        <w:rPr>
          <w:lang w:val="bg-BG"/>
        </w:rPr>
        <w:t>Фарис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Вехабович</w:t>
      </w:r>
      <w:proofErr w:type="spellEnd"/>
      <w:r w:rsidRPr="00620F01">
        <w:rPr>
          <w:lang w:val="bg-BG"/>
        </w:rPr>
        <w:t xml:space="preserve"> (</w:t>
      </w:r>
      <w:proofErr w:type="spellStart"/>
      <w:r w:rsidRPr="00620F01">
        <w:rPr>
          <w:lang w:val="bg-BG"/>
        </w:rPr>
        <w:t>Faris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Vehabović</w:t>
      </w:r>
      <w:proofErr w:type="spellEnd"/>
      <w:r w:rsidRPr="00620F01">
        <w:rPr>
          <w:lang w:val="bg-BG"/>
        </w:rPr>
        <w:t>),</w:t>
      </w:r>
      <w:r w:rsidRPr="00620F01">
        <w:rPr>
          <w:i/>
          <w:lang w:val="bg-BG"/>
        </w:rPr>
        <w:br/>
      </w:r>
      <w:r w:rsidRPr="00620F01">
        <w:rPr>
          <w:lang w:val="bg-BG"/>
        </w:rPr>
        <w:tab/>
        <w:t>Йонко Грозев</w:t>
      </w:r>
      <w:r w:rsidR="00A85CBD" w:rsidRPr="00620F01">
        <w:rPr>
          <w:lang w:val="bg-BG"/>
        </w:rPr>
        <w:t xml:space="preserve"> (</w:t>
      </w:r>
      <w:proofErr w:type="spellStart"/>
      <w:r w:rsidR="00A85CBD" w:rsidRPr="00620F01">
        <w:rPr>
          <w:lang w:val="bg-BG"/>
        </w:rPr>
        <w:t>Yonko</w:t>
      </w:r>
      <w:proofErr w:type="spellEnd"/>
      <w:r w:rsidR="00A85CBD" w:rsidRPr="00620F01">
        <w:rPr>
          <w:lang w:val="bg-BG"/>
        </w:rPr>
        <w:t xml:space="preserve"> </w:t>
      </w:r>
      <w:proofErr w:type="spellStart"/>
      <w:r w:rsidR="00A85CBD" w:rsidRPr="00620F01">
        <w:rPr>
          <w:lang w:val="bg-BG"/>
        </w:rPr>
        <w:t>Grozev</w:t>
      </w:r>
      <w:proofErr w:type="spellEnd"/>
      <w:r w:rsidR="00A85CBD" w:rsidRPr="00620F01">
        <w:rPr>
          <w:lang w:val="bg-BG"/>
        </w:rPr>
        <w:t>),</w:t>
      </w:r>
      <w:r w:rsidRPr="00620F01">
        <w:rPr>
          <w:i/>
          <w:lang w:val="bg-BG"/>
        </w:rPr>
        <w:br/>
      </w:r>
      <w:r w:rsidRPr="00620F01">
        <w:rPr>
          <w:lang w:val="bg-BG"/>
        </w:rPr>
        <w:tab/>
        <w:t xml:space="preserve">Карло </w:t>
      </w:r>
      <w:proofErr w:type="spellStart"/>
      <w:r w:rsidRPr="00620F01">
        <w:rPr>
          <w:lang w:val="bg-BG"/>
        </w:rPr>
        <w:t>Ранцони</w:t>
      </w:r>
      <w:proofErr w:type="spellEnd"/>
      <w:r w:rsidRPr="00620F01">
        <w:rPr>
          <w:lang w:val="bg-BG"/>
        </w:rPr>
        <w:t xml:space="preserve"> (</w:t>
      </w:r>
      <w:proofErr w:type="spellStart"/>
      <w:r w:rsidRPr="00620F01">
        <w:rPr>
          <w:lang w:val="bg-BG"/>
        </w:rPr>
        <w:t>Carlo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Ranzoni</w:t>
      </w:r>
      <w:proofErr w:type="spellEnd"/>
      <w:r w:rsidRPr="00620F01">
        <w:rPr>
          <w:lang w:val="bg-BG"/>
        </w:rPr>
        <w:t>),</w:t>
      </w:r>
      <w:r w:rsidRPr="00620F01">
        <w:rPr>
          <w:i/>
          <w:lang w:val="bg-BG"/>
        </w:rPr>
        <w:br/>
      </w:r>
      <w:r w:rsidRPr="00620F01">
        <w:rPr>
          <w:lang w:val="bg-BG"/>
        </w:rPr>
        <w:tab/>
      </w:r>
      <w:proofErr w:type="spellStart"/>
      <w:r w:rsidRPr="00620F01">
        <w:rPr>
          <w:lang w:val="bg-BG"/>
        </w:rPr>
        <w:t>Мартинш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Митс</w:t>
      </w:r>
      <w:proofErr w:type="spellEnd"/>
      <w:r w:rsidRPr="00620F01">
        <w:rPr>
          <w:lang w:val="bg-BG"/>
        </w:rPr>
        <w:t xml:space="preserve"> (</w:t>
      </w:r>
      <w:proofErr w:type="spellStart"/>
      <w:r w:rsidRPr="00620F01">
        <w:rPr>
          <w:lang w:val="bg-BG"/>
        </w:rPr>
        <w:t>Mārtiņš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Mits</w:t>
      </w:r>
      <w:proofErr w:type="spellEnd"/>
      <w:r w:rsidRPr="00620F01">
        <w:rPr>
          <w:lang w:val="bg-BG"/>
        </w:rPr>
        <w:t>),</w:t>
      </w:r>
      <w:r w:rsidRPr="00620F01">
        <w:rPr>
          <w:i/>
          <w:lang w:val="bg-BG"/>
        </w:rPr>
        <w:t xml:space="preserve"> съдии</w:t>
      </w:r>
      <w:r w:rsidRPr="00620F01">
        <w:rPr>
          <w:lang w:val="bg-BG"/>
        </w:rPr>
        <w:t>,</w:t>
      </w:r>
      <w:r w:rsidRPr="00620F01">
        <w:rPr>
          <w:lang w:val="bg-BG"/>
        </w:rPr>
        <w:br/>
        <w:t xml:space="preserve">и </w:t>
      </w:r>
      <w:proofErr w:type="spellStart"/>
      <w:r w:rsidRPr="00620F01">
        <w:rPr>
          <w:lang w:val="bg-BG"/>
        </w:rPr>
        <w:t>Клаудия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Вестердик</w:t>
      </w:r>
      <w:proofErr w:type="spellEnd"/>
      <w:r w:rsidRPr="00620F01">
        <w:rPr>
          <w:lang w:val="bg-BG"/>
        </w:rPr>
        <w:t xml:space="preserve"> (</w:t>
      </w:r>
      <w:proofErr w:type="spellStart"/>
      <w:r w:rsidRPr="00620F01">
        <w:rPr>
          <w:lang w:val="bg-BG"/>
        </w:rPr>
        <w:t>Claudia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Westerdiek</w:t>
      </w:r>
      <w:proofErr w:type="spellEnd"/>
      <w:r w:rsidRPr="00620F01">
        <w:rPr>
          <w:lang w:val="bg-BG"/>
        </w:rPr>
        <w:t xml:space="preserve">), </w:t>
      </w:r>
      <w:r w:rsidRPr="00620F01">
        <w:rPr>
          <w:i/>
          <w:lang w:val="bg-BG"/>
        </w:rPr>
        <w:t>секретар на отделението</w:t>
      </w:r>
      <w:r w:rsidRPr="00620F01">
        <w:rPr>
          <w:lang w:val="bg-BG"/>
        </w:rPr>
        <w:t>,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t>След закрито заседание, проведено на 21 юни 2016 г.,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t>Постанови следното решение, прието на същата дата:</w:t>
      </w:r>
    </w:p>
    <w:p w:rsidR="00614823" w:rsidRPr="00620F01" w:rsidRDefault="00614823" w:rsidP="00614823">
      <w:pPr>
        <w:pStyle w:val="ECHRTitle1"/>
        <w:rPr>
          <w:lang w:val="bg-BG"/>
        </w:rPr>
      </w:pPr>
      <w:r w:rsidRPr="00620F01">
        <w:rPr>
          <w:lang w:val="bg-BG"/>
        </w:rPr>
        <w:t>ПРОЦЕДУРА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Делото е образувано по жалба (</w:t>
      </w:r>
      <w:r w:rsidRPr="00620F01">
        <w:rPr>
          <w:szCs w:val="24"/>
          <w:cs/>
          <w:lang w:val="bg-BG"/>
        </w:rPr>
        <w:t>№</w:t>
      </w:r>
      <w:r w:rsidRPr="00620F01">
        <w:rPr>
          <w:lang w:val="bg-BG"/>
        </w:rPr>
        <w:t xml:space="preserve"> 18312/08) срещу Република България, подадена в Съда на основание чл. 34 от Конвенцията за защита на правата на човека и основните свободи („Конвенцията”) от български гражданин, г-н Здравко Костов Станев („жалбоподател</w:t>
      </w:r>
      <w:r w:rsidR="00B80B9E" w:rsidRPr="00620F01">
        <w:rPr>
          <w:lang w:val="bg-BG"/>
        </w:rPr>
        <w:t>ят</w:t>
      </w:r>
      <w:r w:rsidRPr="00620F01">
        <w:rPr>
          <w:lang w:val="bg-BG"/>
        </w:rPr>
        <w:t xml:space="preserve">“), на 25 март 2008 г.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Българското правителство („Правителството“) се представлява от правителствения агент г-н В. Обретенов от Министерство на правосъдието.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Жалбоподателят твърди, по-конкретно, че получената от него присъда за клевета срещу съдия нарушава правото му на свобода на изразяване на мнение.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На 23 септември 2013 г. </w:t>
      </w:r>
      <w:r w:rsidR="00D63DC5" w:rsidRPr="00620F01">
        <w:rPr>
          <w:lang w:val="bg-BG"/>
        </w:rPr>
        <w:t>Правителството е уведомено за жалбата относно</w:t>
      </w:r>
      <w:r w:rsidRPr="00620F01">
        <w:rPr>
          <w:lang w:val="bg-BG"/>
        </w:rPr>
        <w:t xml:space="preserve"> нарушаване на правото на свободно изразяване на жалбоподателя</w:t>
      </w:r>
      <w:r w:rsidR="00D63DC5" w:rsidRPr="00620F01">
        <w:rPr>
          <w:lang w:val="bg-BG"/>
        </w:rPr>
        <w:t>.</w:t>
      </w:r>
      <w:r w:rsidRPr="00620F01">
        <w:rPr>
          <w:lang w:val="bg-BG"/>
        </w:rPr>
        <w:t xml:space="preserve">. В останалата й част жалбата е обявена за недопустима </w:t>
      </w:r>
      <w:r w:rsidR="009328D5" w:rsidRPr="00620F01">
        <w:rPr>
          <w:lang w:val="bg-BG"/>
        </w:rPr>
        <w:t>съгласно</w:t>
      </w:r>
      <w:r w:rsidRPr="00620F01">
        <w:rPr>
          <w:lang w:val="bg-BG"/>
        </w:rPr>
        <w:t xml:space="preserve"> </w:t>
      </w:r>
      <w:r w:rsidR="009328D5" w:rsidRPr="00620F01">
        <w:rPr>
          <w:lang w:val="bg-BG"/>
        </w:rPr>
        <w:t>П</w:t>
      </w:r>
      <w:r w:rsidRPr="00620F01">
        <w:rPr>
          <w:lang w:val="bg-BG"/>
        </w:rPr>
        <w:t xml:space="preserve">равило 54 § 3 от Правилника на </w:t>
      </w:r>
      <w:r w:rsidR="00B80B9E" w:rsidRPr="00620F01">
        <w:rPr>
          <w:lang w:val="bg-BG"/>
        </w:rPr>
        <w:t>С</w:t>
      </w:r>
      <w:r w:rsidRPr="00620F01">
        <w:rPr>
          <w:lang w:val="bg-BG"/>
        </w:rPr>
        <w:t>ъда.</w:t>
      </w:r>
    </w:p>
    <w:p w:rsidR="00614823" w:rsidRPr="00620F01" w:rsidRDefault="00614823" w:rsidP="00614823">
      <w:pPr>
        <w:pStyle w:val="ECHRTitle1"/>
        <w:rPr>
          <w:lang w:val="bg-BG"/>
        </w:rPr>
      </w:pPr>
      <w:r w:rsidRPr="00620F01">
        <w:rPr>
          <w:lang w:val="bg-BG"/>
        </w:rPr>
        <w:t>ФАКТИТЕ</w:t>
      </w:r>
    </w:p>
    <w:p w:rsidR="00614823" w:rsidRPr="00620F01" w:rsidRDefault="00614823" w:rsidP="00614823">
      <w:pPr>
        <w:pStyle w:val="ECHRHeading1"/>
        <w:outlineLvl w:val="1"/>
        <w:rPr>
          <w:lang w:val="bg-BG"/>
        </w:rPr>
      </w:pPr>
      <w:r w:rsidRPr="00620F01">
        <w:rPr>
          <w:lang w:val="bg-BG"/>
        </w:rPr>
        <w:t>I.  ОБСТОЯТЕЛСТВА ПО ДЕЛОТО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5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Жалбоподателят е роден през 1951 г. и живее в София. 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lastRenderedPageBreak/>
        <w:t xml:space="preserve">A.  Първоначално </w:t>
      </w:r>
      <w:r w:rsidR="00757D2A" w:rsidRPr="00620F01">
        <w:rPr>
          <w:lang w:val="bg-BG"/>
        </w:rPr>
        <w:t xml:space="preserve">наказателно </w:t>
      </w:r>
      <w:r w:rsidRPr="00620F01">
        <w:rPr>
          <w:lang w:val="bg-BG"/>
        </w:rPr>
        <w:t>производство срещу жалбоподателя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6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На 29 март 2006 г. Районен съд Казанлък осъжда жалбоподателя на две години лишаване от свобода за съзнателно използване на </w:t>
      </w:r>
      <w:r w:rsidR="00CE7094" w:rsidRPr="00620F01">
        <w:rPr>
          <w:lang w:val="bg-BG"/>
        </w:rPr>
        <w:t xml:space="preserve">подправен </w:t>
      </w:r>
      <w:r w:rsidRPr="00620F01">
        <w:rPr>
          <w:lang w:val="bg-BG"/>
        </w:rPr>
        <w:t xml:space="preserve">документ и </w:t>
      </w:r>
      <w:r w:rsidR="001E662C" w:rsidRPr="00620F01">
        <w:rPr>
          <w:lang w:val="bg-BG"/>
        </w:rPr>
        <w:t xml:space="preserve">набеждаване </w:t>
      </w:r>
      <w:r w:rsidRPr="00620F01">
        <w:rPr>
          <w:lang w:val="bg-BG"/>
        </w:rPr>
        <w:t>в престъпно поведение на друго лице. Съдът нарежда жалбоподателят да бъде задържан</w:t>
      </w:r>
      <w:r w:rsidR="00FF5056" w:rsidRPr="00620F01">
        <w:rPr>
          <w:lang w:val="bg-BG"/>
        </w:rPr>
        <w:t>,</w:t>
      </w:r>
      <w:r w:rsidRPr="00620F01">
        <w:rPr>
          <w:lang w:val="bg-BG"/>
        </w:rPr>
        <w:t xml:space="preserve"> в очакване да обжалва осъ</w:t>
      </w:r>
      <w:r w:rsidR="00A43E58" w:rsidRPr="00620F01">
        <w:rPr>
          <w:lang w:val="bg-BG"/>
        </w:rPr>
        <w:t>ж</w:t>
      </w:r>
      <w:r w:rsidRPr="00620F01">
        <w:rPr>
          <w:lang w:val="bg-BG"/>
        </w:rPr>
        <w:t>д</w:t>
      </w:r>
      <w:r w:rsidR="00A43E58" w:rsidRPr="00620F01">
        <w:rPr>
          <w:lang w:val="bg-BG"/>
        </w:rPr>
        <w:t>ането и</w:t>
      </w:r>
      <w:r w:rsidRPr="00620F01">
        <w:rPr>
          <w:lang w:val="bg-BG"/>
        </w:rPr>
        <w:t xml:space="preserve"> присъда</w:t>
      </w:r>
      <w:r w:rsidR="00A43E58" w:rsidRPr="00620F01">
        <w:rPr>
          <w:lang w:val="bg-BG"/>
        </w:rPr>
        <w:t>та си</w:t>
      </w:r>
      <w:r w:rsidRPr="00620F01">
        <w:rPr>
          <w:lang w:val="bg-BG"/>
        </w:rPr>
        <w:t xml:space="preserve">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7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След като бива задържан, жалбоподателят обжалва </w:t>
      </w:r>
      <w:r w:rsidR="00A43E58" w:rsidRPr="00620F01">
        <w:rPr>
          <w:lang w:val="bg-BG"/>
        </w:rPr>
        <w:t xml:space="preserve">осъждането и </w:t>
      </w:r>
      <w:r w:rsidRPr="00620F01">
        <w:rPr>
          <w:lang w:val="bg-BG"/>
        </w:rPr>
        <w:t>присъда</w:t>
      </w:r>
      <w:r w:rsidR="00A43E58" w:rsidRPr="00620F01">
        <w:rPr>
          <w:lang w:val="bg-BG"/>
        </w:rPr>
        <w:t>та си</w:t>
      </w:r>
      <w:r w:rsidRPr="00620F01">
        <w:rPr>
          <w:lang w:val="bg-BG"/>
        </w:rPr>
        <w:t xml:space="preserve"> пред Окръжен съд Стара Загора. В жалбата му е включено следното твърдение:</w:t>
      </w:r>
    </w:p>
    <w:p w:rsidR="00614823" w:rsidRPr="00620F01" w:rsidRDefault="0013697E" w:rsidP="00614823">
      <w:pPr>
        <w:pStyle w:val="ECHRParaQuote"/>
        <w:rPr>
          <w:lang w:val="bg-BG"/>
        </w:rPr>
      </w:pPr>
      <w:r w:rsidRPr="00620F01">
        <w:rPr>
          <w:lang w:val="bg-BG"/>
        </w:rPr>
        <w:t>„</w:t>
      </w:r>
      <w:r w:rsidR="00614823" w:rsidRPr="00620F01">
        <w:rPr>
          <w:lang w:val="bg-BG"/>
        </w:rPr>
        <w:t>[Съдия</w:t>
      </w:r>
      <w:r w:rsidR="00BC4221" w:rsidRPr="00620F01">
        <w:rPr>
          <w:lang w:val="bg-BG"/>
        </w:rPr>
        <w:t xml:space="preserve">та </w:t>
      </w:r>
      <w:r w:rsidR="00614823" w:rsidRPr="00620F01">
        <w:rPr>
          <w:lang w:val="bg-BG"/>
        </w:rPr>
        <w:t xml:space="preserve">докладчик] е мой ученик и търси отмъщение, като използва функционалния си имунитет. Всичко се решава въз основа на власт и връзки, не въз основа на законите.“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8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Съдия</w:t>
      </w:r>
      <w:r w:rsidR="0063775F" w:rsidRPr="00620F01">
        <w:rPr>
          <w:lang w:val="bg-BG"/>
        </w:rPr>
        <w:t xml:space="preserve">та </w:t>
      </w:r>
      <w:r w:rsidRPr="00620F01">
        <w:rPr>
          <w:lang w:val="bg-BG"/>
        </w:rPr>
        <w:t xml:space="preserve">докладчик в Районен съд Казанлък се запознава с това твърдение, докато обработва жалбата, която, в съответствие с приложимите </w:t>
      </w:r>
      <w:r w:rsidR="004334FF" w:rsidRPr="00620F01">
        <w:rPr>
          <w:lang w:val="bg-BG"/>
        </w:rPr>
        <w:t xml:space="preserve">процесуални </w:t>
      </w:r>
      <w:r w:rsidRPr="00620F01">
        <w:rPr>
          <w:lang w:val="bg-BG"/>
        </w:rPr>
        <w:t xml:space="preserve">правила, е подадена в този съд с оглед насочването й за разглеждане към по-висшестоящ съд.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9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В хода на съдебното заседание във връзка с обжалването пред Окръжен съд Стара Загора жалбоподателят казва, </w:t>
      </w:r>
      <w:proofErr w:type="spellStart"/>
      <w:r w:rsidR="00F86EE1" w:rsidRPr="00620F01">
        <w:rPr>
          <w:i/>
          <w:lang w:val="bg-BG"/>
        </w:rPr>
        <w:t>inter</w:t>
      </w:r>
      <w:proofErr w:type="spellEnd"/>
      <w:r w:rsidR="00F86EE1" w:rsidRPr="00620F01">
        <w:rPr>
          <w:i/>
          <w:lang w:val="bg-BG"/>
        </w:rPr>
        <w:t xml:space="preserve"> </w:t>
      </w:r>
      <w:proofErr w:type="spellStart"/>
      <w:r w:rsidR="00F86EE1" w:rsidRPr="00620F01">
        <w:rPr>
          <w:i/>
          <w:lang w:val="bg-BG"/>
        </w:rPr>
        <w:t>alia</w:t>
      </w:r>
      <w:proofErr w:type="spellEnd"/>
      <w:r w:rsidRPr="00620F01">
        <w:rPr>
          <w:lang w:val="bg-BG"/>
        </w:rPr>
        <w:t xml:space="preserve">, следното: </w:t>
      </w:r>
    </w:p>
    <w:p w:rsidR="00614823" w:rsidRPr="00620F01" w:rsidRDefault="0013697E" w:rsidP="00614823">
      <w:pPr>
        <w:pStyle w:val="ECHRParaQuote"/>
        <w:rPr>
          <w:lang w:val="bg-BG"/>
        </w:rPr>
      </w:pPr>
      <w:r w:rsidRPr="00620F01">
        <w:rPr>
          <w:lang w:val="bg-BG"/>
        </w:rPr>
        <w:t>„</w:t>
      </w:r>
      <w:r w:rsidR="00614823" w:rsidRPr="00620F01">
        <w:rPr>
          <w:lang w:val="bg-BG"/>
        </w:rPr>
        <w:t>[Решението срещу мен] бе издадено от съдия, който ми е бивш ученик. Когато го попитах по какъв предмет съм му преподавал, той ми отговори, че предметът е бил „електрически материали“ и че съм му поставил средна оценка ... Смятам, че има основания за отвод на съдия</w:t>
      </w:r>
      <w:r w:rsidR="000D66A2" w:rsidRPr="00620F01">
        <w:rPr>
          <w:lang w:val="bg-BG"/>
        </w:rPr>
        <w:t xml:space="preserve">та </w:t>
      </w:r>
      <w:r w:rsidR="00614823" w:rsidRPr="00620F01">
        <w:rPr>
          <w:lang w:val="bg-BG"/>
        </w:rPr>
        <w:t xml:space="preserve">докладчик ... Имам лични взаимоотношения с [него]. Въпреки това, искането ми беше отхвърлено и съдбата ми бе оставена в ръцете на съда.“   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10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На 16 май 2007 г. Окръжен съд Стара Загора отменя решението на първа инстанция и връща делото за ново разглеждане, позовавайки се на редица нарушения на </w:t>
      </w:r>
      <w:r w:rsidR="00541971" w:rsidRPr="00620F01">
        <w:rPr>
          <w:lang w:val="bg-BG"/>
        </w:rPr>
        <w:t>процесуалните</w:t>
      </w:r>
      <w:r w:rsidR="00541971" w:rsidRPr="00620F01" w:rsidDel="00541971">
        <w:rPr>
          <w:lang w:val="bg-BG"/>
        </w:rPr>
        <w:t xml:space="preserve"> </w:t>
      </w:r>
      <w:r w:rsidRPr="00620F01">
        <w:rPr>
          <w:lang w:val="bg-BG"/>
        </w:rPr>
        <w:t xml:space="preserve">правила. Окръжен съд Стара Загора счита, по-конкретно, че съдът на първа инстанция не е обосновал решението си да приеме, че жалбоподателят е извършил престъпленията, както и че съдът фактически е прехвърлил </w:t>
      </w:r>
      <w:r w:rsidR="00534ACC" w:rsidRPr="00620F01">
        <w:rPr>
          <w:lang w:val="bg-BG"/>
        </w:rPr>
        <w:t xml:space="preserve">тежестта </w:t>
      </w:r>
      <w:r w:rsidRPr="00620F01">
        <w:rPr>
          <w:lang w:val="bg-BG"/>
        </w:rPr>
        <w:t xml:space="preserve">на доказване </w:t>
      </w:r>
      <w:r w:rsidR="00534ACC" w:rsidRPr="00620F01">
        <w:rPr>
          <w:lang w:val="bg-BG"/>
        </w:rPr>
        <w:t xml:space="preserve">на </w:t>
      </w:r>
      <w:r w:rsidRPr="00620F01">
        <w:rPr>
          <w:lang w:val="bg-BG"/>
        </w:rPr>
        <w:t>жалбоподателя. Относно основанията за отвод на съдия</w:t>
      </w:r>
      <w:r w:rsidR="00534ACC" w:rsidRPr="00620F01">
        <w:rPr>
          <w:lang w:val="bg-BG"/>
        </w:rPr>
        <w:t xml:space="preserve">та </w:t>
      </w:r>
      <w:r w:rsidRPr="00620F01">
        <w:rPr>
          <w:lang w:val="bg-BG"/>
        </w:rPr>
        <w:t xml:space="preserve">докладчик, съдът отбелязва, както следва:   </w:t>
      </w:r>
    </w:p>
    <w:p w:rsidR="00614823" w:rsidRPr="00620F01" w:rsidRDefault="0013697E" w:rsidP="00614823">
      <w:pPr>
        <w:pStyle w:val="ECHRParaQuote"/>
        <w:rPr>
          <w:lang w:val="bg-BG"/>
        </w:rPr>
      </w:pPr>
      <w:r w:rsidRPr="00620F01">
        <w:rPr>
          <w:lang w:val="bg-BG"/>
        </w:rPr>
        <w:t>„</w:t>
      </w:r>
      <w:r w:rsidR="00614823" w:rsidRPr="00620F01">
        <w:rPr>
          <w:lang w:val="bg-BG"/>
        </w:rPr>
        <w:t xml:space="preserve">Във връзка с аргументите, че има основания за </w:t>
      </w:r>
      <w:proofErr w:type="spellStart"/>
      <w:r w:rsidR="00614823" w:rsidRPr="00620F01">
        <w:rPr>
          <w:lang w:val="bg-BG"/>
        </w:rPr>
        <w:t>самоотвод</w:t>
      </w:r>
      <w:proofErr w:type="spellEnd"/>
      <w:r w:rsidR="00614823" w:rsidRPr="00620F01">
        <w:rPr>
          <w:lang w:val="bg-BG"/>
        </w:rPr>
        <w:t xml:space="preserve"> [</w:t>
      </w:r>
      <w:r w:rsidR="00620F01" w:rsidRPr="00620F01">
        <w:rPr>
          <w:lang w:val="bg-BG"/>
        </w:rPr>
        <w:t>на</w:t>
      </w:r>
      <w:r w:rsidR="00620F01" w:rsidRPr="00620F01">
        <w:rPr>
          <w:lang w:val="bg-BG"/>
        </w:rPr>
        <w:t xml:space="preserve"> </w:t>
      </w:r>
      <w:r w:rsidR="00614823" w:rsidRPr="00620F01">
        <w:rPr>
          <w:lang w:val="bg-BG"/>
        </w:rPr>
        <w:t>съдия</w:t>
      </w:r>
      <w:r w:rsidR="00534ACC" w:rsidRPr="00620F01">
        <w:rPr>
          <w:lang w:val="bg-BG"/>
        </w:rPr>
        <w:t xml:space="preserve">та </w:t>
      </w:r>
      <w:r w:rsidR="00614823" w:rsidRPr="00620F01">
        <w:rPr>
          <w:lang w:val="bg-BG"/>
        </w:rPr>
        <w:t>докладчик], според добре установената съдебна практика отказът, даден от съда по повод искане за отвод, подлежи на преразглеждане при обжалване. В този случай</w:t>
      </w:r>
      <w:r w:rsidR="00CC0E46" w:rsidRPr="00620F01">
        <w:rPr>
          <w:lang w:val="bg-BG"/>
        </w:rPr>
        <w:t>,</w:t>
      </w:r>
      <w:r w:rsidR="00614823" w:rsidRPr="00620F01">
        <w:rPr>
          <w:lang w:val="bg-BG"/>
        </w:rPr>
        <w:t xml:space="preserve"> искането се основава на лични взаимоотношения между [жалбоподателя] и [съдия</w:t>
      </w:r>
      <w:r w:rsidR="00CC0E46" w:rsidRPr="00620F01">
        <w:rPr>
          <w:lang w:val="bg-BG"/>
        </w:rPr>
        <w:t xml:space="preserve">та </w:t>
      </w:r>
      <w:r w:rsidR="00614823" w:rsidRPr="00620F01">
        <w:rPr>
          <w:lang w:val="bg-BG"/>
        </w:rPr>
        <w:t xml:space="preserve">докладчик], които предхождат </w:t>
      </w:r>
      <w:r w:rsidR="00CC0E46" w:rsidRPr="00620F01">
        <w:rPr>
          <w:lang w:val="bg-BG"/>
        </w:rPr>
        <w:t xml:space="preserve">образуването </w:t>
      </w:r>
      <w:r w:rsidR="00614823" w:rsidRPr="00620F01">
        <w:rPr>
          <w:lang w:val="bg-BG"/>
        </w:rPr>
        <w:t xml:space="preserve">на наказателното производство срещу [жалбоподателя].    </w:t>
      </w:r>
    </w:p>
    <w:p w:rsidR="00614823" w:rsidRPr="00620F01" w:rsidRDefault="00614823" w:rsidP="00614823">
      <w:pPr>
        <w:pStyle w:val="ECHRParaQuote"/>
        <w:rPr>
          <w:lang w:val="bg-BG"/>
        </w:rPr>
      </w:pPr>
      <w:r w:rsidRPr="00620F01">
        <w:rPr>
          <w:lang w:val="bg-BG"/>
        </w:rPr>
        <w:t>Като взима предвид ефективната присъда - която не отговаря нито на тежестта на престъплението, нито на степента</w:t>
      </w:r>
      <w:r w:rsidR="00A43E58" w:rsidRPr="00620F01">
        <w:rPr>
          <w:lang w:val="bg-BG"/>
        </w:rPr>
        <w:t xml:space="preserve"> на опасност на</w:t>
      </w:r>
      <w:r w:rsidRPr="00620F01">
        <w:rPr>
          <w:lang w:val="bg-BG"/>
        </w:rPr>
        <w:t xml:space="preserve"> извършителя, посочените причини за нейното налагане – да се предпазят други членове на обществото и органите на съдебната власт от бъдещи граждански искове, които [жалбоподателят] може да предяви, както и неоправданата емоционалност в </w:t>
      </w:r>
      <w:r w:rsidRPr="00620F01">
        <w:rPr>
          <w:lang w:val="bg-BG"/>
        </w:rPr>
        <w:lastRenderedPageBreak/>
        <w:t>обосновката на съда на първа инстанция, настоящият съд счита, че обжалваното съдебно решение не отговаря на изискването за субективна или обективна безпристрастност. Пристрастието, демонстрирано от съдия</w:t>
      </w:r>
      <w:r w:rsidR="00AF1A31" w:rsidRPr="00620F01">
        <w:rPr>
          <w:lang w:val="bg-BG"/>
        </w:rPr>
        <w:t xml:space="preserve">та </w:t>
      </w:r>
      <w:r w:rsidRPr="00620F01">
        <w:rPr>
          <w:lang w:val="bg-BG"/>
        </w:rPr>
        <w:t xml:space="preserve">докладчик, дава основания за </w:t>
      </w:r>
      <w:proofErr w:type="spellStart"/>
      <w:r w:rsidRPr="00620F01">
        <w:rPr>
          <w:lang w:val="bg-BG"/>
        </w:rPr>
        <w:t>самоотвод</w:t>
      </w:r>
      <w:proofErr w:type="spellEnd"/>
      <w:r w:rsidRPr="00620F01">
        <w:rPr>
          <w:lang w:val="bg-BG"/>
        </w:rPr>
        <w:t xml:space="preserve">.“  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Б.  </w:t>
      </w:r>
      <w:r w:rsidR="00541971" w:rsidRPr="00620F01">
        <w:rPr>
          <w:lang w:val="bg-BG"/>
        </w:rPr>
        <w:t>П</w:t>
      </w:r>
      <w:r w:rsidRPr="00620F01">
        <w:rPr>
          <w:lang w:val="bg-BG"/>
        </w:rPr>
        <w:t>роизводство</w:t>
      </w:r>
      <w:r w:rsidR="00541971" w:rsidRPr="00620F01">
        <w:rPr>
          <w:lang w:val="bg-BG"/>
        </w:rPr>
        <w:t>то</w:t>
      </w:r>
      <w:r w:rsidRPr="00620F01">
        <w:rPr>
          <w:lang w:val="bg-BG"/>
        </w:rPr>
        <w:t xml:space="preserve"> за клевета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11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На 4 юни 2007 г. съдия</w:t>
      </w:r>
      <w:r w:rsidR="00EE0E1C" w:rsidRPr="00620F01">
        <w:rPr>
          <w:lang w:val="bg-BG"/>
        </w:rPr>
        <w:t xml:space="preserve">та </w:t>
      </w:r>
      <w:r w:rsidRPr="00620F01">
        <w:rPr>
          <w:lang w:val="bg-BG"/>
        </w:rPr>
        <w:t xml:space="preserve">докладчик по наказателното дело срещу жалбоподателя завежда частно наказателно </w:t>
      </w:r>
      <w:r w:rsidR="00656526" w:rsidRPr="00620F01">
        <w:rPr>
          <w:lang w:val="bg-BG"/>
        </w:rPr>
        <w:t xml:space="preserve">преследване </w:t>
      </w:r>
      <w:r w:rsidRPr="00620F01">
        <w:rPr>
          <w:lang w:val="bg-BG"/>
        </w:rPr>
        <w:t>срещу жалбоподателя</w:t>
      </w:r>
      <w:r w:rsidR="00656526" w:rsidRPr="00620F01">
        <w:rPr>
          <w:lang w:val="bg-BG"/>
        </w:rPr>
        <w:t>,</w:t>
      </w:r>
      <w:r w:rsidRPr="00620F01">
        <w:rPr>
          <w:lang w:val="bg-BG"/>
        </w:rPr>
        <w:t xml:space="preserve"> във връзка с писмените и устни</w:t>
      </w:r>
      <w:r w:rsidR="00656526" w:rsidRPr="00620F01">
        <w:rPr>
          <w:lang w:val="bg-BG"/>
        </w:rPr>
        <w:t>те</w:t>
      </w:r>
      <w:r w:rsidRPr="00620F01">
        <w:rPr>
          <w:lang w:val="bg-BG"/>
        </w:rPr>
        <w:t xml:space="preserve"> твърдения, направени от жалбоподателя в хода на производството по обжалването (вж</w:t>
      </w:r>
      <w:r w:rsidR="00EE0E1C" w:rsidRPr="00620F01">
        <w:rPr>
          <w:lang w:val="bg-BG"/>
        </w:rPr>
        <w:t>.</w:t>
      </w:r>
      <w:r w:rsidRPr="00620F01">
        <w:rPr>
          <w:lang w:val="bg-BG"/>
        </w:rPr>
        <w:t xml:space="preserve"> параграфи 7 и 9 по-горе). </w:t>
      </w:r>
      <w:r w:rsidR="00200E24" w:rsidRPr="00620F01">
        <w:rPr>
          <w:lang w:val="bg-BG"/>
        </w:rPr>
        <w:t>Той</w:t>
      </w:r>
      <w:r w:rsidRPr="00620F01">
        <w:rPr>
          <w:lang w:val="bg-BG"/>
        </w:rPr>
        <w:t xml:space="preserve"> твърди, че тези твърдения са неверни и клеветнически: първото се равнява на обвинение, че той търси отмъщение и използва длъжността си, за да преследва лични цели, а второто се равнява на обвинение, че умишлено не се е съобразил с правил</w:t>
      </w:r>
      <w:r w:rsidR="00A95EF7" w:rsidRPr="00620F01">
        <w:rPr>
          <w:lang w:val="bg-BG"/>
        </w:rPr>
        <w:t>ата</w:t>
      </w:r>
      <w:r w:rsidRPr="00620F01">
        <w:rPr>
          <w:lang w:val="bg-BG"/>
        </w:rPr>
        <w:t xml:space="preserve"> за отвод, което не е било вярно. </w:t>
      </w:r>
      <w:r w:rsidR="000A79F6" w:rsidRPr="00620F01">
        <w:rPr>
          <w:lang w:val="bg-BG"/>
        </w:rPr>
        <w:t>То</w:t>
      </w:r>
      <w:r w:rsidR="00713927" w:rsidRPr="00620F01">
        <w:rPr>
          <w:lang w:val="bg-BG"/>
        </w:rPr>
        <w:t>й</w:t>
      </w:r>
      <w:r w:rsidR="000A79F6" w:rsidRPr="00620F01">
        <w:rPr>
          <w:lang w:val="bg-BG"/>
        </w:rPr>
        <w:t xml:space="preserve"> няма</w:t>
      </w:r>
      <w:r w:rsidRPr="00620F01">
        <w:rPr>
          <w:lang w:val="bg-BG"/>
        </w:rPr>
        <w:t xml:space="preserve"> лично пристрастие към жалбоподателя и от него никога не е </w:t>
      </w:r>
      <w:r w:rsidR="000A79F6" w:rsidRPr="00620F01">
        <w:rPr>
          <w:lang w:val="bg-BG"/>
        </w:rPr>
        <w:t xml:space="preserve">искан </w:t>
      </w:r>
      <w:proofErr w:type="spellStart"/>
      <w:r w:rsidRPr="00620F01">
        <w:rPr>
          <w:lang w:val="bg-BG"/>
        </w:rPr>
        <w:t>самоотвод</w:t>
      </w:r>
      <w:proofErr w:type="spellEnd"/>
      <w:r w:rsidRPr="00620F01">
        <w:rPr>
          <w:lang w:val="bg-BG"/>
        </w:rPr>
        <w:t xml:space="preserve"> от делото.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12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 решение от 14 декември 2007 г. </w:t>
      </w:r>
      <w:r w:rsidR="000A79F6" w:rsidRPr="00620F01">
        <w:rPr>
          <w:lang w:val="bg-BG"/>
        </w:rPr>
        <w:t xml:space="preserve">Районен </w:t>
      </w:r>
      <w:r w:rsidRPr="00620F01">
        <w:rPr>
          <w:lang w:val="bg-BG"/>
        </w:rPr>
        <w:t xml:space="preserve">съд Стара Загора осъжда жалбоподателя за клевета срещу длъжностно лице, в нарушение на чл. 147 и 148 §§ 1 (3) и 2 от Наказателния кодекс (вж. параграфи 20 и 21 по-долу), във връзка и с двете твърдения. Съдът му налага глоба от 5000 лв. (2556 евро) и обществено порицание, като също така му нарежда да плати 150 лв. (77 евро) разходи по делото. Без да провери дали твърденията на жалбоподателя могат да </w:t>
      </w:r>
      <w:r w:rsidR="00E71F4F" w:rsidRPr="00620F01">
        <w:rPr>
          <w:lang w:val="bg-BG"/>
        </w:rPr>
        <w:t>бъдат доказани</w:t>
      </w:r>
      <w:r w:rsidRPr="00620F01">
        <w:rPr>
          <w:lang w:val="bg-BG"/>
        </w:rPr>
        <w:t xml:space="preserve"> съдът приема, че жалбоподателят умишлено е оклеветил съдията чрез оскърбителни твърдения за него. Съдът не приема аргумента на жалбоподателя, че не е действал умишлено. Съдът отбелязва, че жалбоподателят е повторил двукратно твърденията и както става ясно от изготвената по време на производството за клевета психиатрична експертиза, е бил съвсем наясно със значението на твърденията и способен да се контролира, въпреки емоционалното си състояние. Формата на </w:t>
      </w:r>
      <w:proofErr w:type="spellStart"/>
      <w:r w:rsidR="0013697E" w:rsidRPr="00620F01">
        <w:rPr>
          <w:i/>
          <w:lang w:val="bg-BG"/>
        </w:rPr>
        <w:t>mens</w:t>
      </w:r>
      <w:proofErr w:type="spellEnd"/>
      <w:r w:rsidR="0013697E" w:rsidRPr="00620F01">
        <w:rPr>
          <w:i/>
          <w:lang w:val="bg-BG"/>
        </w:rPr>
        <w:t xml:space="preserve"> </w:t>
      </w:r>
      <w:proofErr w:type="spellStart"/>
      <w:r w:rsidR="0013697E" w:rsidRPr="00620F01">
        <w:rPr>
          <w:i/>
          <w:lang w:val="bg-BG"/>
        </w:rPr>
        <w:t>rea</w:t>
      </w:r>
      <w:proofErr w:type="spellEnd"/>
      <w:r w:rsidR="0013697E" w:rsidRPr="00620F01">
        <w:rPr>
          <w:lang w:val="bg-BG"/>
        </w:rPr>
        <w:t xml:space="preserve"> </w:t>
      </w:r>
      <w:r w:rsidRPr="00620F01">
        <w:rPr>
          <w:lang w:val="bg-BG"/>
        </w:rPr>
        <w:t xml:space="preserve">е била непряко намерение (непредпазливост): жалбоподателят е бил наясно, че твърденията му може да не са верни, но въпреки това е решил да ги </w:t>
      </w:r>
      <w:r w:rsidR="00007B73" w:rsidRPr="00620F01">
        <w:rPr>
          <w:lang w:val="bg-BG"/>
        </w:rPr>
        <w:t>направи</w:t>
      </w:r>
      <w:r w:rsidRPr="00620F01">
        <w:rPr>
          <w:lang w:val="bg-BG"/>
        </w:rPr>
        <w:t xml:space="preserve">. Отчитайки, че жалбоподателят не е осъждан преди това, изразил е съжаление за направените твърдения и не е причинил имуществени вреди чрез тях, съдът решава да му наложи минималната предвидена присъда: </w:t>
      </w:r>
      <w:r w:rsidR="00007B73" w:rsidRPr="00620F01">
        <w:rPr>
          <w:lang w:val="bg-BG"/>
        </w:rPr>
        <w:t xml:space="preserve">глоба от </w:t>
      </w:r>
      <w:r w:rsidRPr="00620F01">
        <w:rPr>
          <w:lang w:val="bg-BG"/>
        </w:rPr>
        <w:t xml:space="preserve">5000 лв. и обществено порицание. 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13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Жалбоподателят обжалва пред Окръжен съд Стара Загора. В изявлението си твърди, че първото му твърдение е било разглеждано извън контекста, в който е било направено; че съдът на първа инстанция не е отчел </w:t>
      </w:r>
      <w:r w:rsidR="0000580A" w:rsidRPr="00620F01">
        <w:rPr>
          <w:lang w:val="bg-BG"/>
        </w:rPr>
        <w:t>нестабилно</w:t>
      </w:r>
      <w:r w:rsidRPr="00620F01">
        <w:rPr>
          <w:lang w:val="bg-BG"/>
        </w:rPr>
        <w:t xml:space="preserve"> му емоционално състояние, </w:t>
      </w:r>
      <w:r w:rsidR="009F5ACE" w:rsidRPr="00620F01">
        <w:rPr>
          <w:lang w:val="bg-BG"/>
        </w:rPr>
        <w:t>в резултат на</w:t>
      </w:r>
      <w:r w:rsidRPr="00620F01">
        <w:rPr>
          <w:lang w:val="bg-BG"/>
        </w:rPr>
        <w:t xml:space="preserve"> прекара</w:t>
      </w:r>
      <w:r w:rsidR="009F5ACE" w:rsidRPr="00620F01">
        <w:rPr>
          <w:lang w:val="bg-BG"/>
        </w:rPr>
        <w:t>ното</w:t>
      </w:r>
      <w:r w:rsidRPr="00620F01">
        <w:rPr>
          <w:lang w:val="bg-BG"/>
        </w:rPr>
        <w:t xml:space="preserve"> време в ареста вследствие на </w:t>
      </w:r>
      <w:r w:rsidR="00376A21" w:rsidRPr="00620F01">
        <w:rPr>
          <w:lang w:val="bg-BG"/>
        </w:rPr>
        <w:t xml:space="preserve">незаконосъобразното му осъждане и </w:t>
      </w:r>
      <w:r w:rsidRPr="00620F01">
        <w:rPr>
          <w:lang w:val="bg-BG"/>
        </w:rPr>
        <w:t xml:space="preserve"> присъда; че твърденията му са били </w:t>
      </w:r>
      <w:r w:rsidR="00AE13C6" w:rsidRPr="00620F01">
        <w:rPr>
          <w:lang w:val="bg-BG"/>
        </w:rPr>
        <w:t xml:space="preserve">отправени </w:t>
      </w:r>
      <w:r w:rsidRPr="00620F01">
        <w:rPr>
          <w:lang w:val="bg-BG"/>
        </w:rPr>
        <w:t xml:space="preserve">единствено към </w:t>
      </w:r>
      <w:r w:rsidR="00AE13C6" w:rsidRPr="00620F01">
        <w:rPr>
          <w:lang w:val="bg-BG"/>
        </w:rPr>
        <w:t xml:space="preserve">апелативния </w:t>
      </w:r>
      <w:r w:rsidRPr="00620F01">
        <w:rPr>
          <w:lang w:val="bg-BG"/>
        </w:rPr>
        <w:t xml:space="preserve">съд и </w:t>
      </w:r>
      <w:r w:rsidR="00E36874" w:rsidRPr="00620F01">
        <w:rPr>
          <w:lang w:val="bg-BG"/>
        </w:rPr>
        <w:t>не са били предназначени за публикуване</w:t>
      </w:r>
      <w:r w:rsidRPr="00620F01">
        <w:rPr>
          <w:lang w:val="bg-BG"/>
        </w:rPr>
        <w:t xml:space="preserve">; както </w:t>
      </w:r>
      <w:r w:rsidRPr="00620F01">
        <w:rPr>
          <w:lang w:val="bg-BG"/>
        </w:rPr>
        <w:lastRenderedPageBreak/>
        <w:t>и че не е действал умишлено или непредпазливо. В допълнител</w:t>
      </w:r>
      <w:r w:rsidR="0013697E" w:rsidRPr="00620F01">
        <w:rPr>
          <w:lang w:val="bg-BG"/>
        </w:rPr>
        <w:t>но изявл</w:t>
      </w:r>
      <w:r w:rsidRPr="00620F01">
        <w:rPr>
          <w:lang w:val="bg-BG"/>
        </w:rPr>
        <w:t xml:space="preserve">ение адвокатът на жалбоподателя твърди, </w:t>
      </w:r>
      <w:proofErr w:type="spellStart"/>
      <w:r w:rsidR="007B68C1" w:rsidRPr="00620F01">
        <w:rPr>
          <w:i/>
          <w:lang w:val="bg-BG"/>
        </w:rPr>
        <w:t>inter</w:t>
      </w:r>
      <w:proofErr w:type="spellEnd"/>
      <w:r w:rsidR="007B68C1" w:rsidRPr="00620F01">
        <w:rPr>
          <w:i/>
          <w:lang w:val="bg-BG"/>
        </w:rPr>
        <w:t xml:space="preserve"> </w:t>
      </w:r>
      <w:proofErr w:type="spellStart"/>
      <w:r w:rsidR="007B68C1" w:rsidRPr="00620F01">
        <w:rPr>
          <w:i/>
          <w:lang w:val="bg-BG"/>
        </w:rPr>
        <w:t>alia</w:t>
      </w:r>
      <w:proofErr w:type="spellEnd"/>
      <w:r w:rsidRPr="00620F01">
        <w:rPr>
          <w:lang w:val="bg-BG"/>
        </w:rPr>
        <w:t xml:space="preserve">, че съдът на първа инстанция не е дал обяснение защо счита, че твърденията на жалбоподателя са били „разпространени“, след като съдиите от апелативния съд, към които са били </w:t>
      </w:r>
      <w:r w:rsidR="00541971" w:rsidRPr="00620F01">
        <w:rPr>
          <w:lang w:val="bg-BG"/>
        </w:rPr>
        <w:t>отправени</w:t>
      </w:r>
      <w:r w:rsidRPr="00620F01">
        <w:rPr>
          <w:lang w:val="bg-BG"/>
        </w:rPr>
        <w:t xml:space="preserve">, са задължени да не разпространяват професионални тайни, а трети лица не са имали достъп до </w:t>
      </w:r>
      <w:r w:rsidR="00C111C0" w:rsidRPr="00620F01">
        <w:rPr>
          <w:lang w:val="bg-BG"/>
        </w:rPr>
        <w:t>преписката</w:t>
      </w:r>
      <w:r w:rsidRPr="00620F01">
        <w:rPr>
          <w:lang w:val="bg-BG"/>
        </w:rPr>
        <w:t>, съдържащ</w:t>
      </w:r>
      <w:r w:rsidR="00C111C0" w:rsidRPr="00620F01">
        <w:rPr>
          <w:lang w:val="bg-BG"/>
        </w:rPr>
        <w:t>а</w:t>
      </w:r>
      <w:r w:rsidRPr="00620F01">
        <w:rPr>
          <w:lang w:val="bg-BG"/>
        </w:rPr>
        <w:t xml:space="preserve"> твърденията. Съдът на първа инстанция не е обяснил и защо счита твърденията за оскърбителни. </w:t>
      </w:r>
      <w:r w:rsidR="00C111C0" w:rsidRPr="00620F01">
        <w:rPr>
          <w:lang w:val="bg-BG"/>
        </w:rPr>
        <w:t>О</w:t>
      </w:r>
      <w:r w:rsidRPr="00620F01">
        <w:rPr>
          <w:lang w:val="bg-BG"/>
        </w:rPr>
        <w:t xml:space="preserve">свен това, </w:t>
      </w:r>
      <w:r w:rsidR="00C111C0" w:rsidRPr="00620F01">
        <w:rPr>
          <w:lang w:val="bg-BG"/>
        </w:rPr>
        <w:t xml:space="preserve">твърденията </w:t>
      </w:r>
      <w:r w:rsidRPr="00620F01">
        <w:rPr>
          <w:lang w:val="bg-BG"/>
        </w:rPr>
        <w:t xml:space="preserve">са верни – съдията е бил ученик на жалбоподателя и наличието на лично отношение е потвърдено </w:t>
      </w:r>
      <w:r w:rsidR="004708BE" w:rsidRPr="00620F01">
        <w:rPr>
          <w:lang w:val="bg-BG"/>
        </w:rPr>
        <w:t xml:space="preserve">в </w:t>
      </w:r>
      <w:r w:rsidRPr="00620F01">
        <w:rPr>
          <w:lang w:val="bg-BG"/>
        </w:rPr>
        <w:t xml:space="preserve">решението на апелативния съд. Жалбоподателят не е действал неразумно. </w:t>
      </w:r>
      <w:r w:rsidR="004708BE" w:rsidRPr="00620F01">
        <w:rPr>
          <w:lang w:val="bg-BG"/>
        </w:rPr>
        <w:t>Направил</w:t>
      </w:r>
      <w:r w:rsidRPr="00620F01">
        <w:rPr>
          <w:lang w:val="bg-BG"/>
        </w:rPr>
        <w:t xml:space="preserve"> е твърденията </w:t>
      </w:r>
      <w:r w:rsidR="004708BE" w:rsidRPr="00620F01">
        <w:rPr>
          <w:lang w:val="bg-BG"/>
        </w:rPr>
        <w:t>в хода на</w:t>
      </w:r>
      <w:r w:rsidRPr="00620F01">
        <w:rPr>
          <w:lang w:val="bg-BG"/>
        </w:rPr>
        <w:t xml:space="preserve"> своята защита в заведено срещу него наказателно производство и не е правилно те да се разглеждат извън този контекст. </w:t>
      </w:r>
      <w:r w:rsidR="00227C2E" w:rsidRPr="00620F01">
        <w:rPr>
          <w:lang w:val="bg-BG"/>
        </w:rPr>
        <w:t>Накрая</w:t>
      </w:r>
      <w:r w:rsidRPr="00620F01">
        <w:rPr>
          <w:lang w:val="bg-BG"/>
        </w:rPr>
        <w:t xml:space="preserve"> </w:t>
      </w:r>
      <w:r w:rsidR="008361C6" w:rsidRPr="00620F01">
        <w:rPr>
          <w:lang w:val="bg-BG"/>
        </w:rPr>
        <w:t xml:space="preserve">присъдата му, </w:t>
      </w:r>
      <w:r w:rsidRPr="00620F01">
        <w:rPr>
          <w:lang w:val="bg-BG"/>
        </w:rPr>
        <w:t xml:space="preserve">макар да отговаря на </w:t>
      </w:r>
      <w:r w:rsidR="008361C6" w:rsidRPr="00620F01">
        <w:rPr>
          <w:lang w:val="bg-BG"/>
        </w:rPr>
        <w:t xml:space="preserve">законоустановения </w:t>
      </w:r>
      <w:r w:rsidRPr="00620F01">
        <w:rPr>
          <w:lang w:val="bg-BG"/>
        </w:rPr>
        <w:t>миним</w:t>
      </w:r>
      <w:r w:rsidR="008361C6" w:rsidRPr="00620F01">
        <w:rPr>
          <w:lang w:val="bg-BG"/>
        </w:rPr>
        <w:t>ум</w:t>
      </w:r>
      <w:r w:rsidRPr="00620F01">
        <w:rPr>
          <w:lang w:val="bg-BG"/>
        </w:rPr>
        <w:t xml:space="preserve">, </w:t>
      </w:r>
      <w:r w:rsidR="008361C6" w:rsidRPr="00620F01">
        <w:rPr>
          <w:lang w:val="bg-BG"/>
        </w:rPr>
        <w:t xml:space="preserve"> тя</w:t>
      </w:r>
      <w:r w:rsidRPr="00620F01">
        <w:rPr>
          <w:lang w:val="bg-BG"/>
        </w:rPr>
        <w:t xml:space="preserve"> все пак е неоправдано тежка.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14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В окончателно решение от 17 март 2008 г. Окръжен съд Стара Загора потвърждава присъдата на жалбоподателя по отношение на първото твърдение (вж</w:t>
      </w:r>
      <w:r w:rsidR="002B6C4A" w:rsidRPr="00620F01">
        <w:rPr>
          <w:lang w:val="bg-BG"/>
        </w:rPr>
        <w:t>.</w:t>
      </w:r>
      <w:r w:rsidRPr="00620F01">
        <w:rPr>
          <w:lang w:val="bg-BG"/>
        </w:rPr>
        <w:t xml:space="preserve"> параграф 7 по-горе), но го оправдава по отношение на второто твърдение (вж</w:t>
      </w:r>
      <w:r w:rsidR="002B6C4A" w:rsidRPr="00620F01">
        <w:rPr>
          <w:lang w:val="bg-BG"/>
        </w:rPr>
        <w:t>.</w:t>
      </w:r>
      <w:r w:rsidRPr="00620F01">
        <w:rPr>
          <w:lang w:val="bg-BG"/>
        </w:rPr>
        <w:t xml:space="preserve"> параграф 9 по-горе), </w:t>
      </w:r>
      <w:r w:rsidR="0000580A" w:rsidRPr="00620F01">
        <w:rPr>
          <w:lang w:val="bg-BG"/>
        </w:rPr>
        <w:t xml:space="preserve">и </w:t>
      </w:r>
      <w:r w:rsidRPr="00620F01">
        <w:rPr>
          <w:lang w:val="bg-BG"/>
        </w:rPr>
        <w:t xml:space="preserve">съответно намалява глобата на 2500 лв. (1278 евро). </w:t>
      </w:r>
      <w:r w:rsidR="002B6C4A" w:rsidRPr="00620F01">
        <w:rPr>
          <w:lang w:val="bg-BG"/>
        </w:rPr>
        <w:t>Той</w:t>
      </w:r>
      <w:r w:rsidRPr="00620F01">
        <w:rPr>
          <w:lang w:val="bg-BG"/>
        </w:rPr>
        <w:t xml:space="preserve"> приема, че жалбоподателят е „разпространил“ първото твърдение, като го  включ</w:t>
      </w:r>
      <w:r w:rsidR="0000580A" w:rsidRPr="00620F01">
        <w:rPr>
          <w:lang w:val="bg-BG"/>
        </w:rPr>
        <w:t>ва</w:t>
      </w:r>
      <w:r w:rsidRPr="00620F01">
        <w:rPr>
          <w:lang w:val="bg-BG"/>
        </w:rPr>
        <w:t xml:space="preserve"> в жалбата си. Фактът, че е бил в </w:t>
      </w:r>
      <w:r w:rsidR="00541971" w:rsidRPr="00620F01">
        <w:rPr>
          <w:lang w:val="bg-BG"/>
        </w:rPr>
        <w:t xml:space="preserve">нестабилно </w:t>
      </w:r>
      <w:r w:rsidRPr="00620F01">
        <w:rPr>
          <w:lang w:val="bg-BG"/>
        </w:rPr>
        <w:t xml:space="preserve">емоционално състояние, </w:t>
      </w:r>
      <w:r w:rsidR="002B6C4A" w:rsidRPr="00620F01">
        <w:rPr>
          <w:lang w:val="bg-BG"/>
        </w:rPr>
        <w:t xml:space="preserve">когато е извършил това, </w:t>
      </w:r>
      <w:r w:rsidRPr="00620F01">
        <w:rPr>
          <w:lang w:val="bg-BG"/>
        </w:rPr>
        <w:t xml:space="preserve">e </w:t>
      </w:r>
      <w:proofErr w:type="spellStart"/>
      <w:r w:rsidRPr="00620F01">
        <w:rPr>
          <w:lang w:val="bg-BG"/>
        </w:rPr>
        <w:t>неотносим</w:t>
      </w:r>
      <w:proofErr w:type="spellEnd"/>
      <w:r w:rsidR="004F1578" w:rsidRPr="00620F01">
        <w:rPr>
          <w:lang w:val="bg-BG"/>
        </w:rPr>
        <w:t>.</w:t>
      </w:r>
      <w:r w:rsidRPr="00620F01">
        <w:rPr>
          <w:lang w:val="bg-BG"/>
        </w:rPr>
        <w:t xml:space="preserve"> Както става ясно от изготвената по време на делото за клевета психиатрична експертиза, той е бил в състояние да разбере естеството на действията си, да прецени последствията от тях и да ги контролира. Без да прави опит да провери дали първото твърдение е фактически обосновано, съдът счита, че то се равнява на обвинение, че съдията търси отмъщение и е използвал поста си за</w:t>
      </w:r>
      <w:r w:rsidR="004F1578" w:rsidRPr="00620F01">
        <w:rPr>
          <w:lang w:val="bg-BG"/>
        </w:rPr>
        <w:t xml:space="preserve"> тази</w:t>
      </w:r>
      <w:r w:rsidRPr="00620F01">
        <w:rPr>
          <w:lang w:val="bg-BG"/>
        </w:rPr>
        <w:t xml:space="preserve"> цел, поставя под съмнение неговия професионали</w:t>
      </w:r>
      <w:r w:rsidR="0013697E" w:rsidRPr="00620F01">
        <w:rPr>
          <w:lang w:val="bg-BG"/>
        </w:rPr>
        <w:t>зъм и петни неговия пост</w:t>
      </w:r>
      <w:r w:rsidRPr="00620F01">
        <w:rPr>
          <w:lang w:val="bg-BG"/>
        </w:rPr>
        <w:t xml:space="preserve">. </w:t>
      </w:r>
      <w:r w:rsidR="00803731" w:rsidRPr="00620F01">
        <w:rPr>
          <w:lang w:val="bg-BG"/>
        </w:rPr>
        <w:t>О</w:t>
      </w:r>
      <w:r w:rsidRPr="00620F01">
        <w:rPr>
          <w:lang w:val="bg-BG"/>
        </w:rPr>
        <w:t xml:space="preserve">т друга страна, съдът не намира </w:t>
      </w:r>
      <w:r w:rsidR="00803731" w:rsidRPr="00620F01">
        <w:rPr>
          <w:lang w:val="bg-BG"/>
        </w:rPr>
        <w:t xml:space="preserve">второто твърдение </w:t>
      </w:r>
      <w:r w:rsidRPr="00620F01">
        <w:rPr>
          <w:lang w:val="bg-BG"/>
        </w:rPr>
        <w:t xml:space="preserve">за оскърбително и </w:t>
      </w:r>
      <w:r w:rsidR="00785A96" w:rsidRPr="00620F01">
        <w:rPr>
          <w:lang w:val="bg-BG"/>
        </w:rPr>
        <w:t xml:space="preserve">то не се равнява на </w:t>
      </w:r>
      <w:r w:rsidRPr="00620F01">
        <w:rPr>
          <w:lang w:val="bg-BG"/>
        </w:rPr>
        <w:t>вменява</w:t>
      </w:r>
      <w:r w:rsidR="00785A96" w:rsidRPr="00620F01">
        <w:rPr>
          <w:lang w:val="bg-BG"/>
        </w:rPr>
        <w:t xml:space="preserve">не на </w:t>
      </w:r>
      <w:r w:rsidRPr="00620F01">
        <w:rPr>
          <w:lang w:val="bg-BG"/>
        </w:rPr>
        <w:t xml:space="preserve">престъпление. Фактът, че съдията е бил ученик на жалбоподателя, не дискредитира съдията по никакъв начин, а изказаният от жалбоподателя възглед, че заради това съдията е трябвало да направи </w:t>
      </w:r>
      <w:proofErr w:type="spellStart"/>
      <w:r w:rsidRPr="00620F01">
        <w:rPr>
          <w:lang w:val="bg-BG"/>
        </w:rPr>
        <w:t>самоотвод</w:t>
      </w:r>
      <w:proofErr w:type="spellEnd"/>
      <w:r w:rsidRPr="00620F01">
        <w:rPr>
          <w:lang w:val="bg-BG"/>
        </w:rPr>
        <w:t xml:space="preserve">, е лично мнение, което не може да </w:t>
      </w:r>
      <w:r w:rsidR="00115317" w:rsidRPr="00620F01">
        <w:rPr>
          <w:lang w:val="bg-BG"/>
        </w:rPr>
        <w:t xml:space="preserve">доведе до </w:t>
      </w:r>
      <w:r w:rsidRPr="00620F01">
        <w:rPr>
          <w:lang w:val="bg-BG"/>
        </w:rPr>
        <w:t xml:space="preserve">наказателна отговорност, защото не може да бъде доказано. С оглед на решението на съда по отношение на второто твърдение, се налага облекчаване на присъдата на жалбоподателя. Като взима предвид чистото криминално досие на жалбоподателя и факта, че </w:t>
      </w:r>
      <w:r w:rsidR="00115317" w:rsidRPr="00620F01">
        <w:rPr>
          <w:lang w:val="bg-BG"/>
        </w:rPr>
        <w:t>има</w:t>
      </w:r>
      <w:r w:rsidRPr="00620F01">
        <w:rPr>
          <w:lang w:val="bg-BG"/>
        </w:rPr>
        <w:t xml:space="preserve"> финансови затруднения, </w:t>
      </w:r>
      <w:r w:rsidR="00115317" w:rsidRPr="00620F01">
        <w:rPr>
          <w:lang w:val="bg-BG"/>
        </w:rPr>
        <w:t xml:space="preserve">защото е безработен, </w:t>
      </w:r>
      <w:r w:rsidRPr="00620F01">
        <w:rPr>
          <w:lang w:val="bg-BG"/>
        </w:rPr>
        <w:t>съдът намира, че трябва да определи по-лека от минималната предвидена присъда и намалява глобата на жалбоподателя на 2500 лв.</w:t>
      </w:r>
    </w:p>
    <w:p w:rsidR="00614823" w:rsidRPr="00620F01" w:rsidRDefault="00614823" w:rsidP="00614823">
      <w:pPr>
        <w:pStyle w:val="ECHRHeading1"/>
        <w:rPr>
          <w:lang w:val="bg-BG"/>
        </w:rPr>
      </w:pPr>
      <w:r w:rsidRPr="00620F01">
        <w:rPr>
          <w:lang w:val="bg-BG"/>
        </w:rPr>
        <w:lastRenderedPageBreak/>
        <w:t>II.  </w:t>
      </w:r>
      <w:r w:rsidR="00BC35B1" w:rsidRPr="00620F01">
        <w:rPr>
          <w:lang w:val="bg-BG"/>
        </w:rPr>
        <w:t>ПРИЛОЖИМО ВЪТРЕШНО</w:t>
      </w:r>
      <w:r w:rsidR="00BC35B1" w:rsidRPr="00620F01" w:rsidDel="00BC35B1">
        <w:rPr>
          <w:lang w:val="bg-BG"/>
        </w:rPr>
        <w:t xml:space="preserve"> </w:t>
      </w:r>
      <w:r w:rsidRPr="00620F01">
        <w:rPr>
          <w:lang w:val="bg-BG"/>
        </w:rPr>
        <w:t>ПРАВО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A.  </w:t>
      </w:r>
      <w:r w:rsidR="00BC35B1" w:rsidRPr="00620F01">
        <w:rPr>
          <w:lang w:val="bg-BG"/>
        </w:rPr>
        <w:t xml:space="preserve">Приложими </w:t>
      </w:r>
      <w:r w:rsidRPr="00620F01">
        <w:rPr>
          <w:lang w:val="bg-BG"/>
        </w:rPr>
        <w:t>конституционни разпоредби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15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Съгласно чл. 45 от Конституцията от 1991 г. гражданите имат право на жалби, предложения и петиции до държавните органи.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16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Съгласно чл. 39 § 1 от Конституцията всеки има </w:t>
      </w:r>
      <w:r w:rsidRPr="00620F01">
        <w:rPr>
          <w:szCs w:val="24"/>
          <w:lang w:val="bg-BG"/>
        </w:rPr>
        <w:t xml:space="preserve">право </w:t>
      </w:r>
      <w:r w:rsidRPr="00620F01">
        <w:rPr>
          <w:lang w:val="bg-BG"/>
        </w:rPr>
        <w:t xml:space="preserve">да изразява мнение и да го разпространява чрез слово - писмено или устно, чрез звук, изображение или по друг начин. Според чл. 39 § 2 това право не може да се използва за накърняване на правата или доброто име на други граждани.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17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Съгласно чл. 41 § 1 от Конституцията всеки има право да разпространява информация, но </w:t>
      </w:r>
      <w:r w:rsidR="00CF7682" w:rsidRPr="00620F01">
        <w:rPr>
          <w:lang w:val="bg-BG"/>
        </w:rPr>
        <w:t xml:space="preserve">осъществяването </w:t>
      </w:r>
      <w:r w:rsidRPr="00620F01">
        <w:rPr>
          <w:lang w:val="bg-BG"/>
        </w:rPr>
        <w:t xml:space="preserve">на това право не може да бъде насочено срещу правата и доброто име на други граждани. 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18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Съгласно чл. 56 от Конституцията всеки има право на защита, когато са нарушени или застрашени негови права или законни интереси.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19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По дело, в което прокурор завежда </w:t>
      </w:r>
      <w:r w:rsidR="00B449E1" w:rsidRPr="00620F01">
        <w:rPr>
          <w:lang w:val="bg-BG"/>
        </w:rPr>
        <w:t xml:space="preserve">частно </w:t>
      </w:r>
      <w:r w:rsidRPr="00620F01">
        <w:rPr>
          <w:lang w:val="bg-BG"/>
        </w:rPr>
        <w:t>наказателно преследване срещу обвиняем, поискал отвод на прокурора от наказателното дело, Върховният касационен съд, потвърждавайки оправдателната присъда на обвиняемия, изтъква, че правото по чл. 45 от Конституцията (вж</w:t>
      </w:r>
      <w:r w:rsidR="00B449E1" w:rsidRPr="00620F01">
        <w:rPr>
          <w:lang w:val="bg-BG"/>
        </w:rPr>
        <w:t>.</w:t>
      </w:r>
      <w:r w:rsidRPr="00620F01">
        <w:rPr>
          <w:lang w:val="bg-BG"/>
        </w:rPr>
        <w:t xml:space="preserve"> параграф 15 по-горе) е автономно</w:t>
      </w:r>
      <w:r w:rsidR="0013697E" w:rsidRPr="00620F01">
        <w:rPr>
          <w:lang w:val="bg-BG"/>
        </w:rPr>
        <w:t xml:space="preserve"> </w:t>
      </w:r>
      <w:r w:rsidRPr="00620F01">
        <w:rPr>
          <w:lang w:val="bg-BG"/>
        </w:rPr>
        <w:t>от правото на свободно изразяване на мнение по чл. 39 от Конституцията (вж</w:t>
      </w:r>
      <w:r w:rsidR="00B449E1" w:rsidRPr="00620F01">
        <w:rPr>
          <w:lang w:val="bg-BG"/>
        </w:rPr>
        <w:t>.</w:t>
      </w:r>
      <w:r w:rsidRPr="00620F01">
        <w:rPr>
          <w:lang w:val="bg-BG"/>
        </w:rPr>
        <w:t xml:space="preserve"> параграф 16 по-горе) и чл. 10 от Конвенцията и </w:t>
      </w:r>
      <w:r w:rsidR="00ED3D1C" w:rsidRPr="00620F01">
        <w:rPr>
          <w:lang w:val="bg-BG"/>
        </w:rPr>
        <w:t>надделява над</w:t>
      </w:r>
      <w:r w:rsidRPr="00620F01">
        <w:rPr>
          <w:lang w:val="bg-BG"/>
        </w:rPr>
        <w:t xml:space="preserve"> правото на прокурора да защитава доброто си име чрез предвидени в наказателното право мерки (вж</w:t>
      </w:r>
      <w:r w:rsidR="00CF7682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 № 421 от 14.11.2008 г. по н. д. № 446/2008 г., ВКС, III н. о.).  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Б. Престъплението клевета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20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Чл. 147 от Наказателния кодекс от 1968 г. предвижда, както следва: </w:t>
      </w:r>
    </w:p>
    <w:p w:rsidR="00614823" w:rsidRPr="00620F01" w:rsidRDefault="00614823" w:rsidP="00614823">
      <w:pPr>
        <w:pStyle w:val="ECHRParaQuote"/>
        <w:rPr>
          <w:lang w:val="bg-BG"/>
        </w:rPr>
      </w:pPr>
      <w:r w:rsidRPr="00620F01">
        <w:rPr>
          <w:lang w:val="bg-BG"/>
        </w:rPr>
        <w:t>„1.  Който разгласи позорно обстоятелство за другиго или му припише престъпление, се наказва за клевета с глоба от три хиляди до седем хиляди лева и с обществено порицание.</w:t>
      </w:r>
    </w:p>
    <w:p w:rsidR="00614823" w:rsidRPr="00620F01" w:rsidRDefault="00614823" w:rsidP="00614823">
      <w:pPr>
        <w:pStyle w:val="ECHRParaQuote"/>
        <w:rPr>
          <w:lang w:val="bg-BG"/>
        </w:rPr>
      </w:pPr>
      <w:r w:rsidRPr="00620F01">
        <w:rPr>
          <w:lang w:val="bg-BG"/>
        </w:rPr>
        <w:t>2.  </w:t>
      </w:r>
      <w:r w:rsidRPr="00620F01">
        <w:rPr>
          <w:szCs w:val="20"/>
          <w:lang w:val="bg-BG"/>
        </w:rPr>
        <w:t>Деецът не се наказва, ако се докаже истинността на разгласените обстоятелства или на приписаните престъпления.</w:t>
      </w:r>
      <w:r w:rsidRPr="00620F01">
        <w:rPr>
          <w:lang w:val="bg-BG"/>
        </w:rPr>
        <w:t>”</w:t>
      </w:r>
    </w:p>
    <w:p w:rsidR="00614823" w:rsidRPr="00620F01" w:rsidRDefault="00614823" w:rsidP="00614823">
      <w:pPr>
        <w:pStyle w:val="ECHRPara"/>
        <w:rPr>
          <w:szCs w:val="24"/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21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</w:t>
      </w:r>
      <w:r w:rsidRPr="00620F01">
        <w:rPr>
          <w:szCs w:val="24"/>
          <w:lang w:val="bg-BG"/>
        </w:rPr>
        <w:t xml:space="preserve">Съгласно чл. 148 §§ 1 (3) и 2 от Наказателния кодекс </w:t>
      </w:r>
      <w:r w:rsidR="00B303DF" w:rsidRPr="00620F01">
        <w:rPr>
          <w:szCs w:val="24"/>
          <w:lang w:val="bg-BG"/>
        </w:rPr>
        <w:t xml:space="preserve">за обида </w:t>
      </w:r>
      <w:r w:rsidRPr="00620F01">
        <w:rPr>
          <w:szCs w:val="24"/>
          <w:lang w:val="bg-BG"/>
        </w:rPr>
        <w:t xml:space="preserve">на длъжностно лице при или по повод изпълнение на службата му </w:t>
      </w:r>
      <w:r w:rsidR="00B303DF" w:rsidRPr="00620F01">
        <w:rPr>
          <w:szCs w:val="24"/>
          <w:lang w:val="bg-BG"/>
        </w:rPr>
        <w:t>наказанието е</w:t>
      </w:r>
      <w:r w:rsidRPr="00620F01">
        <w:rPr>
          <w:szCs w:val="24"/>
          <w:lang w:val="bg-BG"/>
        </w:rPr>
        <w:t xml:space="preserve"> глоба от </w:t>
      </w:r>
      <w:r w:rsidR="00B303DF" w:rsidRPr="00620F01">
        <w:rPr>
          <w:szCs w:val="24"/>
          <w:lang w:val="bg-BG"/>
        </w:rPr>
        <w:t xml:space="preserve">пет </w:t>
      </w:r>
      <w:r w:rsidRPr="00620F01">
        <w:rPr>
          <w:szCs w:val="24"/>
          <w:lang w:val="bg-BG"/>
        </w:rPr>
        <w:t xml:space="preserve">хиляди до петнадесет хиляди лева и обществено порицание.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22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Съгласно чл. 161 § 1 от Наказателния кодекс, в сила от март 2000 г., обвинения по тези разпоредби могат да се повдигат единствено от предполагаем</w:t>
      </w:r>
      <w:r w:rsidR="006C2647" w:rsidRPr="00620F01">
        <w:rPr>
          <w:lang w:val="bg-BG"/>
        </w:rPr>
        <w:t>ия</w:t>
      </w:r>
      <w:r w:rsidRPr="00620F01">
        <w:rPr>
          <w:lang w:val="bg-BG"/>
        </w:rPr>
        <w:t xml:space="preserve"> </w:t>
      </w:r>
      <w:r w:rsidR="006C2647" w:rsidRPr="00620F01">
        <w:rPr>
          <w:lang w:val="bg-BG"/>
        </w:rPr>
        <w:t xml:space="preserve">пострадал от </w:t>
      </w:r>
      <w:r w:rsidRPr="00620F01">
        <w:rPr>
          <w:lang w:val="bg-BG"/>
        </w:rPr>
        <w:t xml:space="preserve">престъплението.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lastRenderedPageBreak/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23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Съгласно съдебната практика на бившия Върховен съд и настоящ Върховен касационен съд (вж</w:t>
      </w:r>
      <w:r w:rsidR="00ED6018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209 от 18.05.1982 г. по н. д. № 209/1982 г. ВС, І н. о.;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347 от 25.09.2009 г. по н. д. № 372/2009 г. ВКС, І н. о.;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418 от 12.11.2009 г. по н. д. № 458/2009 г., ВКС, III н. о.; и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452 от 12.10.2010 г. по н. д. № 411/2010 г., ВКС, III н. о.) твърдения, </w:t>
      </w:r>
      <w:r w:rsidR="006C44D0" w:rsidRPr="00620F01">
        <w:rPr>
          <w:lang w:val="bg-BG"/>
        </w:rPr>
        <w:t xml:space="preserve">направени </w:t>
      </w:r>
      <w:r w:rsidRPr="00620F01">
        <w:rPr>
          <w:lang w:val="bg-BG"/>
        </w:rPr>
        <w:t xml:space="preserve">пред органите на властта в писма, жалби или клетвени показания, не могат да се считат за „разпространяване“ </w:t>
      </w:r>
      <w:r w:rsidR="006C44D0" w:rsidRPr="00620F01">
        <w:rPr>
          <w:lang w:val="bg-BG"/>
        </w:rPr>
        <w:t xml:space="preserve">по </w:t>
      </w:r>
      <w:r w:rsidRPr="00620F01">
        <w:rPr>
          <w:lang w:val="bg-BG"/>
        </w:rPr>
        <w:t xml:space="preserve">смисъла на чл. 147 § 1 от Наказателния кодекс, тъй като </w:t>
      </w:r>
      <w:r w:rsidR="00CA5B27" w:rsidRPr="00620F01">
        <w:rPr>
          <w:lang w:val="bg-BG"/>
        </w:rPr>
        <w:t xml:space="preserve">техните автори </w:t>
      </w:r>
      <w:r w:rsidRPr="00620F01">
        <w:rPr>
          <w:lang w:val="bg-BG"/>
        </w:rPr>
        <w:t>не целят да накърнят доброто име на спомена</w:t>
      </w:r>
      <w:r w:rsidR="006C44D0" w:rsidRPr="00620F01">
        <w:rPr>
          <w:lang w:val="bg-BG"/>
        </w:rPr>
        <w:t>т</w:t>
      </w:r>
      <w:r w:rsidRPr="00620F01">
        <w:rPr>
          <w:lang w:val="bg-BG"/>
        </w:rPr>
        <w:t>ите лица, а да упражнят правото си да подават жалби, да докладват нередности или да търсят помощ от страна на властите.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24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Много по-нисши съдилища се присъединяват към тази позиция (вж</w:t>
      </w:r>
      <w:r w:rsidR="00CA5B27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прис</w:t>
      </w:r>
      <w:proofErr w:type="spellEnd"/>
      <w:r w:rsidRPr="00620F01">
        <w:rPr>
          <w:lang w:val="bg-BG"/>
        </w:rPr>
        <w:t xml:space="preserve">. от 02.07.2009 г. по н. ч. х. д. № 111/2009 г., РС-Берковица; </w:t>
      </w:r>
      <w:proofErr w:type="spellStart"/>
      <w:r w:rsidRPr="00620F01">
        <w:rPr>
          <w:lang w:val="bg-BG"/>
        </w:rPr>
        <w:t>прис</w:t>
      </w:r>
      <w:proofErr w:type="spellEnd"/>
      <w:r w:rsidRPr="00620F01">
        <w:rPr>
          <w:lang w:val="bg-BG"/>
        </w:rPr>
        <w:t xml:space="preserve">. № 696 от 30.11.2009 г. по н. ч. х. д. № 3103/2009 г., РС-Варна;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584 от 16.12.2009 г. по в. гр. д. № 909/2009 г., ОС-Добрич;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60 от 18.05.2010 г. по в. н. ч. х. д. № 209/2009 г., ОС-Габрово;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41 от 30.06.2010 г. по н. д. № 154/2010 г., ОС-Кърджали;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 xml:space="preserve">. № 187 от 13.05.2011 г. по в. н. ч. х. д. № 179/2011 г., ОС-Плевен; и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>. № 878 от 02.07.2013 г. по в. н. ч. х. д. № 1839/2013 г., СГС).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В.  Възможност за касационно обжалване или искане за преразглеждане на наказателни дела за клевета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25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Съгласно чл. 346 § 2 от Наказателнопроцесуалния кодекс от 2005 г., апелативно решение на окръжен съд е предмет на касационно обжалване пред Върховен касационен съд, само ако самият окръжен съд е осъдил или оправдал обвиняемия. Съгласно чл. 336 § 1 такива случаи са налице, когато окръжният съд приложи по-тежко наказателно правило от това, което районният съд е приложил, също и ако осъди, или съответно оправдае, обвиняем, който е бил оправдан, или съответно осъден, от районния съд. При всички положения</w:t>
      </w:r>
      <w:r w:rsidR="00AD2D40" w:rsidRPr="00620F01">
        <w:rPr>
          <w:lang w:val="bg-BG"/>
        </w:rPr>
        <w:t>,</w:t>
      </w:r>
      <w:r w:rsidRPr="00620F01">
        <w:rPr>
          <w:lang w:val="bg-BG"/>
        </w:rPr>
        <w:t xml:space="preserve"> решенията на окръжния съд във връзка с дела, в които наказателната отговорност на обвиняемия е била заменена с административно наказание, не са предмет на касационно обжалване (чл. 346 § 2</w:t>
      </w:r>
      <w:r w:rsidR="002B4405" w:rsidRPr="00620F01">
        <w:rPr>
          <w:lang w:val="bg-BG"/>
        </w:rPr>
        <w:t xml:space="preserve"> в края</w:t>
      </w:r>
      <w:r w:rsidRPr="00620F01">
        <w:rPr>
          <w:lang w:val="bg-BG"/>
        </w:rPr>
        <w:t>). Прилагайки тези правила, Върховният касационен съд е отказал да разгледа касационна жалба срещу част</w:t>
      </w:r>
      <w:r w:rsidR="002B4405" w:rsidRPr="00620F01">
        <w:rPr>
          <w:lang w:val="bg-BG"/>
        </w:rPr>
        <w:t>та</w:t>
      </w:r>
      <w:r w:rsidRPr="00620F01">
        <w:rPr>
          <w:lang w:val="bg-BG"/>
        </w:rPr>
        <w:t xml:space="preserve"> от решение на окръжен съд, която е потвърдила решение на районния съд по дело за клевета (вж</w:t>
      </w:r>
      <w:r w:rsidR="002B4405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реш</w:t>
      </w:r>
      <w:proofErr w:type="spellEnd"/>
      <w:r w:rsidRPr="00620F01">
        <w:rPr>
          <w:lang w:val="bg-BG"/>
        </w:rPr>
        <w:t>. № 452 от 12.10.2010 г. по н. д. № 411/2010 г., ВКС, III н. о.).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26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Съгласно чл. 422 § 1 (5) във връзка с чл. 348 § 1, 420 § 2 и 421 § 3 от същия Кодекс, лице, осъдено за наказуемо от органите на прокуратурата престъпление, чиято наказателна отговорност не е била заменена с административно наказание </w:t>
      </w:r>
      <w:r w:rsidR="006D3E7B" w:rsidRPr="00620F01">
        <w:rPr>
          <w:lang w:val="bg-BG"/>
        </w:rPr>
        <w:t xml:space="preserve">може, </w:t>
      </w:r>
      <w:r w:rsidRPr="00620F01">
        <w:rPr>
          <w:lang w:val="bg-BG"/>
        </w:rPr>
        <w:t xml:space="preserve">ако не е подавало касационна жалба, да поиска възобновяване на производството в рамките на шест месеца от окончателното решение. Основание за това </w:t>
      </w:r>
      <w:r w:rsidRPr="00620F01">
        <w:rPr>
          <w:lang w:val="bg-BG"/>
        </w:rPr>
        <w:lastRenderedPageBreak/>
        <w:t xml:space="preserve">може да бъде, че съдилищата са допуснали сериозни грешки </w:t>
      </w:r>
      <w:r w:rsidR="00771341" w:rsidRPr="00620F01">
        <w:rPr>
          <w:lang w:val="bg-BG"/>
        </w:rPr>
        <w:t>при</w:t>
      </w:r>
      <w:r w:rsidRPr="00620F01">
        <w:rPr>
          <w:lang w:val="bg-BG"/>
        </w:rPr>
        <w:t xml:space="preserve"> прил</w:t>
      </w:r>
      <w:r w:rsidR="00771341" w:rsidRPr="00620F01">
        <w:rPr>
          <w:lang w:val="bg-BG"/>
        </w:rPr>
        <w:t>агането</w:t>
      </w:r>
      <w:r w:rsidRPr="00620F01">
        <w:rPr>
          <w:lang w:val="bg-BG"/>
        </w:rPr>
        <w:t xml:space="preserve"> на материалното право или </w:t>
      </w:r>
      <w:r w:rsidR="004334FF" w:rsidRPr="00620F01">
        <w:rPr>
          <w:lang w:val="bg-BG"/>
        </w:rPr>
        <w:t xml:space="preserve">процесуалните </w:t>
      </w:r>
      <w:r w:rsidRPr="00620F01">
        <w:rPr>
          <w:lang w:val="bg-BG"/>
        </w:rPr>
        <w:t xml:space="preserve">правила, </w:t>
      </w:r>
      <w:r w:rsidR="00771341" w:rsidRPr="00620F01">
        <w:rPr>
          <w:lang w:val="bg-BG"/>
        </w:rPr>
        <w:t>или</w:t>
      </w:r>
      <w:r w:rsidRPr="00620F01">
        <w:rPr>
          <w:lang w:val="bg-BG"/>
        </w:rPr>
        <w:t xml:space="preserve"> наложили явно несъразмерна присъда.  </w:t>
      </w:r>
    </w:p>
    <w:p w:rsidR="00614823" w:rsidRPr="00620F01" w:rsidRDefault="00771341" w:rsidP="00614823">
      <w:pPr>
        <w:pStyle w:val="ECHRTitle1"/>
        <w:rPr>
          <w:lang w:val="bg-BG"/>
        </w:rPr>
      </w:pPr>
      <w:r w:rsidRPr="00620F01">
        <w:rPr>
          <w:lang w:val="bg-BG"/>
        </w:rPr>
        <w:t>ПРАВОТО</w:t>
      </w:r>
    </w:p>
    <w:p w:rsidR="00614823" w:rsidRPr="00620F01" w:rsidRDefault="00614823" w:rsidP="00614823">
      <w:pPr>
        <w:pStyle w:val="ECHRHeading1"/>
        <w:outlineLvl w:val="1"/>
        <w:rPr>
          <w:lang w:val="bg-BG"/>
        </w:rPr>
      </w:pPr>
      <w:r w:rsidRPr="00620F01">
        <w:rPr>
          <w:lang w:val="bg-BG"/>
        </w:rPr>
        <w:t xml:space="preserve">I.  ТВЪРДЯНО НАРУШЕНИЕ ПО ЧЛ 10 ОТ КОНВЕНЦИЯТА </w:t>
      </w:r>
    </w:p>
    <w:p w:rsidR="00614823" w:rsidRPr="00620F01" w:rsidRDefault="00614823" w:rsidP="00614823">
      <w:pPr>
        <w:pStyle w:val="ECHRPara"/>
        <w:keepNext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27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Жалбоподателят се оплаква, че осъждането и наказанието му нарушават неговото право на свободно изразяване</w:t>
      </w:r>
      <w:r w:rsidR="00837320" w:rsidRPr="00620F01">
        <w:rPr>
          <w:lang w:val="bg-BG"/>
        </w:rPr>
        <w:t xml:space="preserve"> на мнение</w:t>
      </w:r>
      <w:r w:rsidRPr="00620F01">
        <w:rPr>
          <w:lang w:val="bg-BG"/>
        </w:rPr>
        <w:t xml:space="preserve">. </w:t>
      </w:r>
      <w:r w:rsidR="00074AF0" w:rsidRPr="00620F01">
        <w:rPr>
          <w:lang w:val="bg-BG"/>
        </w:rPr>
        <w:t>Той се п</w:t>
      </w:r>
      <w:r w:rsidRPr="00620F01">
        <w:rPr>
          <w:lang w:val="bg-BG"/>
        </w:rPr>
        <w:t xml:space="preserve">озовава на чл. 10 от Конвенцията, който в </w:t>
      </w:r>
      <w:proofErr w:type="spellStart"/>
      <w:r w:rsidRPr="00620F01">
        <w:rPr>
          <w:lang w:val="bg-BG"/>
        </w:rPr>
        <w:t>относимите</w:t>
      </w:r>
      <w:proofErr w:type="spellEnd"/>
      <w:r w:rsidRPr="00620F01">
        <w:rPr>
          <w:lang w:val="bg-BG"/>
        </w:rPr>
        <w:t xml:space="preserve"> си части гласи следното: </w:t>
      </w:r>
    </w:p>
    <w:p w:rsidR="00614823" w:rsidRPr="00620F01" w:rsidRDefault="00614823" w:rsidP="00614823">
      <w:pPr>
        <w:pStyle w:val="ECHRParaQuote"/>
        <w:rPr>
          <w:lang w:val="bg-BG"/>
        </w:rPr>
      </w:pPr>
      <w:r w:rsidRPr="00620F01">
        <w:rPr>
          <w:lang w:val="bg-BG"/>
        </w:rPr>
        <w:t>„1.  </w:t>
      </w:r>
      <w:proofErr w:type="spellStart"/>
      <w:r w:rsidRPr="00620F01">
        <w:rPr>
          <w:lang w:val="bg-BG"/>
        </w:rPr>
        <w:t>Βсеки</w:t>
      </w:r>
      <w:proofErr w:type="spellEnd"/>
      <w:r w:rsidRPr="00620F01">
        <w:rPr>
          <w:lang w:val="bg-BG"/>
        </w:rPr>
        <w:t xml:space="preserve"> има право на свобода на изразяването на мнения. Това право включва свободата на всеки да отстоява своето мнение, да получава и да разпространява информация и идеи без намеса на държавните власти и независимо от държавните граници. ...</w:t>
      </w:r>
    </w:p>
    <w:p w:rsidR="00614823" w:rsidRPr="00620F01" w:rsidRDefault="00614823" w:rsidP="00614823">
      <w:pPr>
        <w:pStyle w:val="ECHRParaQuote"/>
        <w:rPr>
          <w:lang w:val="bg-BG"/>
        </w:rPr>
      </w:pPr>
      <w:r w:rsidRPr="00620F01">
        <w:rPr>
          <w:lang w:val="bg-BG"/>
        </w:rPr>
        <w:t>2.  Упражняването на тези свободи, доколкото е съпроводено със задължения и отговорности, може да бъде обусловено от процедури, условия, ограничения или санкции,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цялост, за предотвратяването на безредици или престъпления, за защитата на здравето и морала, както и на репутацията или правата на другите, за предотвратяване разкриването на информация, получена доверително, или за гарантиране авторитета и безпристрастността на правосъдието.”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A.  Становища на страните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28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Правителството твърди, че производството за клевета срещу жалбоподателя е образувано по инициатива на </w:t>
      </w:r>
      <w:r w:rsidR="006B570A" w:rsidRPr="00620F01">
        <w:rPr>
          <w:lang w:val="bg-BG"/>
        </w:rPr>
        <w:t>пострадалия от</w:t>
      </w:r>
      <w:r w:rsidRPr="00620F01">
        <w:rPr>
          <w:lang w:val="bg-BG"/>
        </w:rPr>
        <w:t xml:space="preserve"> престъплението, не от органите на прокуратурата. Последвалата осъдителна присъда на жалбоподателя е имала за цел да защити доброто име и правата на засегнатия от неговите твърдения съдия. Основавала се е на достатъчно ясен закон и не е била несъразмерна. Жалбоподателят неведнъж е участвал като</w:t>
      </w:r>
      <w:r w:rsidR="0013697E" w:rsidRPr="00620F01">
        <w:rPr>
          <w:lang w:val="bg-BG"/>
        </w:rPr>
        <w:t xml:space="preserve"> страна в съдебни производства</w:t>
      </w:r>
      <w:r w:rsidRPr="00620F01">
        <w:rPr>
          <w:lang w:val="bg-BG"/>
        </w:rPr>
        <w:t>, а обидните му твърдени</w:t>
      </w:r>
      <w:r w:rsidR="0013697E" w:rsidRPr="00620F01">
        <w:rPr>
          <w:lang w:val="bg-BG"/>
        </w:rPr>
        <w:t>я по отношение на съдията, който води</w:t>
      </w:r>
      <w:r w:rsidRPr="00620F01">
        <w:rPr>
          <w:lang w:val="bg-BG"/>
        </w:rPr>
        <w:t xml:space="preserve"> неговото дело, са се отразили не само на доброто име на самия съдия, но и на доброто име на съдебната система като цяло. Жалбоподателят е </w:t>
      </w:r>
      <w:r w:rsidR="00E2081D" w:rsidRPr="00620F01">
        <w:rPr>
          <w:lang w:val="bg-BG"/>
        </w:rPr>
        <w:t xml:space="preserve">направил </w:t>
      </w:r>
      <w:r w:rsidRPr="00620F01">
        <w:rPr>
          <w:lang w:val="bg-BG"/>
        </w:rPr>
        <w:t>въпросните твърдения умишлено и без да с</w:t>
      </w:r>
      <w:r w:rsidR="00706709" w:rsidRPr="00620F01">
        <w:rPr>
          <w:lang w:val="bg-BG"/>
        </w:rPr>
        <w:t>а подкрепени с достатъчно</w:t>
      </w:r>
      <w:r w:rsidR="006B570A" w:rsidRPr="00620F01">
        <w:rPr>
          <w:lang w:val="bg-BG"/>
        </w:rPr>
        <w:t xml:space="preserve"> </w:t>
      </w:r>
      <w:r w:rsidR="00E2081D" w:rsidRPr="00620F01">
        <w:rPr>
          <w:lang w:val="bg-BG"/>
        </w:rPr>
        <w:t>доказателства</w:t>
      </w:r>
      <w:r w:rsidRPr="00620F01">
        <w:rPr>
          <w:lang w:val="bg-BG"/>
        </w:rPr>
        <w:t xml:space="preserve">. Националните съдилища са взели предвид всичко това и са наложили съразмерна санкция, като след обжалване са намалили размера на дължимата глоба. В първоначалното наказателно производство жалбоподателят е имал възможност да защити правата си, без да прибягва до обидни твърдения.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lastRenderedPageBreak/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29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Жалбоподателят твърди, че съдилищата се опитват да „го ликвидират психически и физически“, по-конкретно като отсъждат в полза на съдията, завел срещу него производство за клевета. </w:t>
      </w:r>
    </w:p>
    <w:p w:rsidR="00614823" w:rsidRPr="00620F01" w:rsidRDefault="00614823" w:rsidP="0061482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Б.  </w:t>
      </w:r>
      <w:r w:rsidR="00F0660B" w:rsidRPr="00620F01">
        <w:rPr>
          <w:lang w:val="bg-BG"/>
        </w:rPr>
        <w:t>Пре</w:t>
      </w:r>
      <w:r w:rsidRPr="00620F01">
        <w:rPr>
          <w:lang w:val="bg-BG"/>
        </w:rPr>
        <w:t>ценка</w:t>
      </w:r>
      <w:r w:rsidR="00F0660B" w:rsidRPr="00620F01">
        <w:rPr>
          <w:lang w:val="bg-BG"/>
        </w:rPr>
        <w:t>та</w:t>
      </w:r>
      <w:r w:rsidRPr="00620F01">
        <w:rPr>
          <w:lang w:val="bg-BG"/>
        </w:rPr>
        <w:t xml:space="preserve"> на Съда</w:t>
      </w:r>
    </w:p>
    <w:p w:rsidR="00614823" w:rsidRPr="00620F01" w:rsidRDefault="00614823" w:rsidP="00614823">
      <w:pPr>
        <w:pStyle w:val="ECHRHeading3"/>
        <w:outlineLvl w:val="3"/>
        <w:rPr>
          <w:lang w:val="bg-BG"/>
        </w:rPr>
      </w:pPr>
      <w:r w:rsidRPr="00620F01">
        <w:rPr>
          <w:lang w:val="bg-BG"/>
        </w:rPr>
        <w:t>1.  Допустимост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30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Жалбата не е явно необоснована по </w:t>
      </w:r>
      <w:r w:rsidR="00556660" w:rsidRPr="00620F01">
        <w:rPr>
          <w:lang w:val="bg-BG"/>
        </w:rPr>
        <w:t xml:space="preserve">смисъла </w:t>
      </w:r>
      <w:r w:rsidRPr="00620F01">
        <w:rPr>
          <w:lang w:val="bg-BG"/>
        </w:rPr>
        <w:t>на чл. 35 § 3 (a) от Конвенцията или недопустима на друго основание. Следователно</w:t>
      </w:r>
      <w:r w:rsidR="00556660" w:rsidRPr="00620F01">
        <w:rPr>
          <w:lang w:val="bg-BG"/>
        </w:rPr>
        <w:t xml:space="preserve"> тя е</w:t>
      </w:r>
      <w:r w:rsidRPr="00620F01">
        <w:rPr>
          <w:lang w:val="bg-BG"/>
        </w:rPr>
        <w:t xml:space="preserve"> допустима. </w:t>
      </w:r>
    </w:p>
    <w:p w:rsidR="00614823" w:rsidRPr="00620F01" w:rsidRDefault="00614823" w:rsidP="00614823">
      <w:pPr>
        <w:pStyle w:val="ECHRHeading3"/>
        <w:outlineLvl w:val="3"/>
        <w:rPr>
          <w:lang w:val="bg-BG"/>
        </w:rPr>
      </w:pPr>
      <w:r w:rsidRPr="00620F01">
        <w:rPr>
          <w:lang w:val="bg-BG"/>
        </w:rPr>
        <w:t>2.  По същество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31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Осъ</w:t>
      </w:r>
      <w:r w:rsidR="00785A96" w:rsidRPr="00620F01">
        <w:rPr>
          <w:lang w:val="bg-BG"/>
        </w:rPr>
        <w:t>ждането и</w:t>
      </w:r>
      <w:r w:rsidRPr="00620F01">
        <w:rPr>
          <w:lang w:val="bg-BG"/>
        </w:rPr>
        <w:t xml:space="preserve"> присъдата на жалбоподателя (вж</w:t>
      </w:r>
      <w:r w:rsidR="00556660" w:rsidRPr="00620F01">
        <w:rPr>
          <w:lang w:val="bg-BG"/>
        </w:rPr>
        <w:t>.</w:t>
      </w:r>
      <w:r w:rsidRPr="00620F01">
        <w:rPr>
          <w:lang w:val="bg-BG"/>
        </w:rPr>
        <w:t xml:space="preserve"> параграфи 12 и 14 по-горе) представлява</w:t>
      </w:r>
      <w:r w:rsidR="00785A96" w:rsidRPr="00620F01">
        <w:rPr>
          <w:lang w:val="bg-BG"/>
        </w:rPr>
        <w:t>т</w:t>
      </w:r>
      <w:r w:rsidRPr="00620F01">
        <w:rPr>
          <w:lang w:val="bg-BG"/>
        </w:rPr>
        <w:t xml:space="preserve"> „</w:t>
      </w:r>
      <w:r w:rsidR="00DC46A4" w:rsidRPr="00620F01">
        <w:rPr>
          <w:lang w:val="bg-BG"/>
        </w:rPr>
        <w:t>намеса</w:t>
      </w:r>
      <w:r w:rsidRPr="00620F01">
        <w:rPr>
          <w:lang w:val="bg-BG"/>
        </w:rPr>
        <w:t>“ под формата на „наказание“ в неговото право на свобода на изразяването</w:t>
      </w:r>
      <w:r w:rsidR="00DC46A4" w:rsidRPr="00620F01">
        <w:rPr>
          <w:lang w:val="bg-BG"/>
        </w:rPr>
        <w:t xml:space="preserve"> на мнение съгласно</w:t>
      </w:r>
      <w:r w:rsidR="00DA65F3" w:rsidRPr="00620F01">
        <w:rPr>
          <w:lang w:val="bg-BG"/>
        </w:rPr>
        <w:t xml:space="preserve"> </w:t>
      </w:r>
      <w:r w:rsidRPr="00620F01">
        <w:rPr>
          <w:lang w:val="bg-BG"/>
        </w:rPr>
        <w:t>чл. 10 от Конвенцията. Так</w:t>
      </w:r>
      <w:r w:rsidR="00DA65F3" w:rsidRPr="00620F01">
        <w:rPr>
          <w:lang w:val="bg-BG"/>
        </w:rPr>
        <w:t>а</w:t>
      </w:r>
      <w:r w:rsidRPr="00620F01">
        <w:rPr>
          <w:lang w:val="bg-BG"/>
        </w:rPr>
        <w:t xml:space="preserve">ва </w:t>
      </w:r>
      <w:r w:rsidR="00DA65F3" w:rsidRPr="00620F01">
        <w:rPr>
          <w:lang w:val="bg-BG"/>
        </w:rPr>
        <w:t>намеса е</w:t>
      </w:r>
      <w:r w:rsidRPr="00620F01">
        <w:rPr>
          <w:lang w:val="bg-BG"/>
        </w:rPr>
        <w:t xml:space="preserve"> съвместим</w:t>
      </w:r>
      <w:r w:rsidR="00DA65F3" w:rsidRPr="00620F01">
        <w:rPr>
          <w:lang w:val="bg-BG"/>
        </w:rPr>
        <w:t>а</w:t>
      </w:r>
      <w:r w:rsidRPr="00620F01">
        <w:rPr>
          <w:lang w:val="bg-BG"/>
        </w:rPr>
        <w:t xml:space="preserve"> с чл. 10 единствено, ако е „предвиден</w:t>
      </w:r>
      <w:r w:rsidR="00DA65F3" w:rsidRPr="00620F01">
        <w:rPr>
          <w:lang w:val="bg-BG"/>
        </w:rPr>
        <w:t>а</w:t>
      </w:r>
      <w:r w:rsidRPr="00620F01">
        <w:rPr>
          <w:lang w:val="bg-BG"/>
        </w:rPr>
        <w:t xml:space="preserve"> от закона“ и </w:t>
      </w:r>
      <w:r w:rsidR="00DA65F3" w:rsidRPr="00620F01">
        <w:rPr>
          <w:lang w:val="bg-BG"/>
        </w:rPr>
        <w:t xml:space="preserve">е </w:t>
      </w:r>
      <w:r w:rsidRPr="00620F01">
        <w:rPr>
          <w:lang w:val="bg-BG"/>
        </w:rPr>
        <w:t>„необходим</w:t>
      </w:r>
      <w:r w:rsidR="00DA65F3" w:rsidRPr="00620F01">
        <w:rPr>
          <w:lang w:val="bg-BG"/>
        </w:rPr>
        <w:t>а</w:t>
      </w:r>
      <w:r w:rsidRPr="00620F01">
        <w:rPr>
          <w:lang w:val="bg-BG"/>
        </w:rPr>
        <w:t xml:space="preserve"> в едно демократично общество“ за някоя от целите, изложени във втория параграф на въпросния член.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32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Съдът отбелязва, че </w:t>
      </w:r>
      <w:r w:rsidR="00DA65F3" w:rsidRPr="00620F01">
        <w:rPr>
          <w:lang w:val="bg-BG"/>
        </w:rPr>
        <w:t xml:space="preserve">намесата </w:t>
      </w:r>
      <w:r w:rsidRPr="00620F01">
        <w:rPr>
          <w:lang w:val="bg-BG"/>
        </w:rPr>
        <w:t xml:space="preserve">има </w:t>
      </w:r>
      <w:r w:rsidR="00DA65F3" w:rsidRPr="00620F01">
        <w:rPr>
          <w:lang w:val="bg-BG"/>
        </w:rPr>
        <w:t xml:space="preserve">правно </w:t>
      </w:r>
      <w:r w:rsidRPr="00620F01">
        <w:rPr>
          <w:lang w:val="bg-BG"/>
        </w:rPr>
        <w:t>основание – чл. 147 и 148 §§ 1 (3) и 2 от Наказателния кодекс (вж</w:t>
      </w:r>
      <w:r w:rsidR="00571949" w:rsidRPr="00620F01">
        <w:rPr>
          <w:lang w:val="bg-BG"/>
        </w:rPr>
        <w:t>.</w:t>
      </w:r>
      <w:r w:rsidRPr="00620F01">
        <w:rPr>
          <w:lang w:val="bg-BG"/>
        </w:rPr>
        <w:t xml:space="preserve"> параграфи 20 и 21 по-горе), както и </w:t>
      </w:r>
      <w:r w:rsidR="0013697E" w:rsidRPr="00620F01">
        <w:rPr>
          <w:lang w:val="bg-BG"/>
        </w:rPr>
        <w:t>че законът е бил достъпен</w:t>
      </w:r>
      <w:r w:rsidRPr="00620F01">
        <w:rPr>
          <w:lang w:val="bg-BG"/>
        </w:rPr>
        <w:t xml:space="preserve">. Единственият въпрос, който поражда трудности, е дали жалбоподателят е можел да предвиди в разумна за конкретните обстоятелства степен, че може да бъде осъден за клевета във връзка с писменото становище, което е подал при обжалване на присъдата си. 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33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В предходен случай, свързан с твърдения на журналист в</w:t>
      </w:r>
      <w:r w:rsidR="006B570A" w:rsidRPr="00620F01">
        <w:rPr>
          <w:lang w:val="bg-BG"/>
        </w:rPr>
        <w:t>ъ</w:t>
      </w:r>
      <w:r w:rsidRPr="00620F01">
        <w:rPr>
          <w:lang w:val="bg-BG"/>
        </w:rPr>
        <w:t>в вестникарска статия, Съдът прие</w:t>
      </w:r>
      <w:r w:rsidR="00A624DA" w:rsidRPr="00620F01">
        <w:rPr>
          <w:lang w:val="bg-BG"/>
        </w:rPr>
        <w:t>ма</w:t>
      </w:r>
      <w:r w:rsidRPr="00620F01">
        <w:rPr>
          <w:lang w:val="bg-BG"/>
        </w:rPr>
        <w:t>, че чл. 147 § 1 от Наказателния кодекс е достатъчно яс</w:t>
      </w:r>
      <w:r w:rsidR="00A624DA" w:rsidRPr="00620F01">
        <w:rPr>
          <w:lang w:val="bg-BG"/>
        </w:rPr>
        <w:t>е</w:t>
      </w:r>
      <w:r w:rsidRPr="00620F01">
        <w:rPr>
          <w:lang w:val="bg-BG"/>
        </w:rPr>
        <w:t>н (вж</w:t>
      </w:r>
      <w:r w:rsidR="00A624DA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r w:rsidRPr="00620F01">
        <w:rPr>
          <w:i/>
          <w:lang w:val="bg-BG"/>
        </w:rPr>
        <w:t>Касабова срещу България</w:t>
      </w:r>
      <w:r w:rsidRPr="00620F01">
        <w:rPr>
          <w:lang w:val="bg-BG"/>
        </w:rPr>
        <w:t>, № 22385/03</w:t>
      </w:r>
      <w:r w:rsidRPr="00620F01">
        <w:rPr>
          <w:snapToGrid w:val="0"/>
          <w:szCs w:val="24"/>
          <w:lang w:val="bg-BG"/>
        </w:rPr>
        <w:t>, § 52, 19 април 2011 г.</w:t>
      </w:r>
      <w:r w:rsidRPr="00620F01">
        <w:rPr>
          <w:lang w:val="bg-BG"/>
        </w:rPr>
        <w:t xml:space="preserve">). </w:t>
      </w:r>
      <w:r w:rsidR="00A624DA" w:rsidRPr="00620F01">
        <w:rPr>
          <w:lang w:val="bg-BG"/>
        </w:rPr>
        <w:t>Разглежданата</w:t>
      </w:r>
      <w:r w:rsidRPr="00620F01">
        <w:rPr>
          <w:lang w:val="bg-BG"/>
        </w:rPr>
        <w:t xml:space="preserve"> ситуация</w:t>
      </w:r>
      <w:r w:rsidR="00A624DA" w:rsidRPr="00620F01">
        <w:rPr>
          <w:lang w:val="bg-BG"/>
        </w:rPr>
        <w:t xml:space="preserve"> обаче</w:t>
      </w:r>
      <w:r w:rsidRPr="00620F01">
        <w:rPr>
          <w:lang w:val="bg-BG"/>
        </w:rPr>
        <w:t xml:space="preserve"> е съвсем различна. </w:t>
      </w:r>
      <w:r w:rsidR="00B9140C" w:rsidRPr="00620F01">
        <w:rPr>
          <w:lang w:val="bg-BG"/>
        </w:rPr>
        <w:t>Тази р</w:t>
      </w:r>
      <w:r w:rsidRPr="00620F01">
        <w:rPr>
          <w:lang w:val="bg-BG"/>
        </w:rPr>
        <w:t>азпоредба</w:t>
      </w:r>
      <w:r w:rsidR="00B9140C" w:rsidRPr="00620F01">
        <w:rPr>
          <w:lang w:val="bg-BG"/>
        </w:rPr>
        <w:t xml:space="preserve"> третира като закононарушение</w:t>
      </w:r>
      <w:r w:rsidRPr="00620F01">
        <w:rPr>
          <w:lang w:val="bg-BG"/>
        </w:rPr>
        <w:t xml:space="preserve"> „разпространението“ на обидни твърдения (вж</w:t>
      </w:r>
      <w:r w:rsidR="00222082" w:rsidRPr="00620F01">
        <w:rPr>
          <w:lang w:val="bg-BG"/>
        </w:rPr>
        <w:t>.</w:t>
      </w:r>
      <w:r w:rsidRPr="00620F01">
        <w:rPr>
          <w:lang w:val="bg-BG"/>
        </w:rPr>
        <w:t xml:space="preserve"> параграф 20 по-горе). Изглежда, че според съдебната практика на бившия Върховен съд и настоящ</w:t>
      </w:r>
      <w:r w:rsidR="00222082" w:rsidRPr="00620F01">
        <w:rPr>
          <w:lang w:val="bg-BG"/>
        </w:rPr>
        <w:t>ия</w:t>
      </w:r>
      <w:r w:rsidRPr="00620F01">
        <w:rPr>
          <w:lang w:val="bg-BG"/>
        </w:rPr>
        <w:t xml:space="preserve"> Върховен касационен съд твърдения, изразени в жалби или клетвени показания пред органите на властта не могат да се считат за „разпространяване“, тъй като </w:t>
      </w:r>
      <w:r w:rsidR="00D161C4" w:rsidRPr="00620F01">
        <w:rPr>
          <w:lang w:val="bg-BG"/>
        </w:rPr>
        <w:t xml:space="preserve">техните автори </w:t>
      </w:r>
      <w:r w:rsidRPr="00620F01">
        <w:rPr>
          <w:lang w:val="bg-BG"/>
        </w:rPr>
        <w:t>не целят да навредят на доброто име на засегнатите лица, а да упражнят правото си да подават жалби, да докладват нередности или да търсят помощ от страна на властите (вж</w:t>
      </w:r>
      <w:r w:rsidR="00D161C4" w:rsidRPr="00620F01">
        <w:rPr>
          <w:lang w:val="bg-BG"/>
        </w:rPr>
        <w:t>.</w:t>
      </w:r>
      <w:r w:rsidRPr="00620F01">
        <w:rPr>
          <w:lang w:val="bg-BG"/>
        </w:rPr>
        <w:t xml:space="preserve"> параграф 23 по-горе). Следователно подлежи на съмнение дали жалбоподателят е можел да предвиди, че включвайки оспорваното твърдение в своята жалба срещу наложен</w:t>
      </w:r>
      <w:r w:rsidR="00B55A0B" w:rsidRPr="00620F01">
        <w:rPr>
          <w:lang w:val="bg-BG"/>
        </w:rPr>
        <w:t>ите</w:t>
      </w:r>
      <w:r w:rsidRPr="00620F01">
        <w:rPr>
          <w:lang w:val="bg-BG"/>
        </w:rPr>
        <w:t xml:space="preserve"> му </w:t>
      </w:r>
      <w:r w:rsidR="00B55A0B" w:rsidRPr="00620F01">
        <w:rPr>
          <w:lang w:val="bg-BG"/>
        </w:rPr>
        <w:t xml:space="preserve">осъждане и </w:t>
      </w:r>
      <w:r w:rsidRPr="00620F01">
        <w:rPr>
          <w:lang w:val="bg-BG"/>
        </w:rPr>
        <w:t>присъда, нарушава чл. 147 § 1 от Наказателния кодекс (вж</w:t>
      </w:r>
      <w:r w:rsidR="000E51DB" w:rsidRPr="00620F01">
        <w:rPr>
          <w:lang w:val="bg-BG"/>
        </w:rPr>
        <w:t>.</w:t>
      </w:r>
      <w:r w:rsidRPr="00620F01">
        <w:rPr>
          <w:lang w:val="bg-BG"/>
        </w:rPr>
        <w:t xml:space="preserve">, </w:t>
      </w:r>
      <w:r w:rsidR="000E51DB" w:rsidRPr="00620F01">
        <w:rPr>
          <w:lang w:val="bg-BG"/>
        </w:rPr>
        <w:t>според случая</w:t>
      </w:r>
      <w:r w:rsidRPr="00620F01">
        <w:rPr>
          <w:lang w:val="bg-BG"/>
        </w:rPr>
        <w:t xml:space="preserve">,  </w:t>
      </w:r>
      <w:proofErr w:type="spellStart"/>
      <w:r w:rsidRPr="00620F01">
        <w:rPr>
          <w:i/>
          <w:lang w:val="bg-BG"/>
        </w:rPr>
        <w:t>Siryk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Ukraine</w:t>
      </w:r>
      <w:proofErr w:type="spellEnd"/>
      <w:r w:rsidRPr="00620F01">
        <w:rPr>
          <w:lang w:val="bg-BG"/>
        </w:rPr>
        <w:t>, № 6428/07</w:t>
      </w:r>
      <w:r w:rsidRPr="00620F01">
        <w:rPr>
          <w:snapToGrid w:val="0"/>
          <w:szCs w:val="24"/>
          <w:lang w:val="bg-BG"/>
        </w:rPr>
        <w:t xml:space="preserve">, §§ 36-38, </w:t>
      </w:r>
      <w:r w:rsidRPr="00620F01">
        <w:rPr>
          <w:szCs w:val="24"/>
          <w:lang w:val="bg-BG"/>
        </w:rPr>
        <w:t xml:space="preserve">31 </w:t>
      </w:r>
      <w:r w:rsidRPr="00620F01">
        <w:rPr>
          <w:snapToGrid w:val="0"/>
          <w:szCs w:val="24"/>
          <w:lang w:val="bg-BG"/>
        </w:rPr>
        <w:t>март 2011 г.)</w:t>
      </w:r>
      <w:r w:rsidRPr="00620F01">
        <w:rPr>
          <w:lang w:val="bg-BG"/>
        </w:rPr>
        <w:t>.</w:t>
      </w:r>
    </w:p>
    <w:p w:rsidR="00614823" w:rsidRPr="00620F01" w:rsidRDefault="00614823" w:rsidP="00614823">
      <w:pPr>
        <w:pStyle w:val="ECHRPara"/>
        <w:rPr>
          <w:szCs w:val="24"/>
          <w:lang w:val="bg-BG"/>
        </w:rPr>
      </w:pPr>
      <w:r w:rsidRPr="00620F01">
        <w:rPr>
          <w:lang w:val="bg-BG"/>
        </w:rPr>
        <w:lastRenderedPageBreak/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34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Приложимите </w:t>
      </w:r>
      <w:r w:rsidR="006B570A" w:rsidRPr="00620F01">
        <w:rPr>
          <w:lang w:val="bg-BG"/>
        </w:rPr>
        <w:t>процесуални</w:t>
      </w:r>
      <w:r w:rsidRPr="00620F01">
        <w:rPr>
          <w:lang w:val="bg-BG"/>
        </w:rPr>
        <w:t xml:space="preserve"> правила не са позволили присъдата на жалбоподателя да стигне до Върховния касационен съд, който да се произнесе относно начина, по който чл. 147 § 1 </w:t>
      </w:r>
      <w:r w:rsidR="00212A6C" w:rsidRPr="00620F01">
        <w:rPr>
          <w:lang w:val="bg-BG"/>
        </w:rPr>
        <w:t xml:space="preserve">от Наказателния кодекс </w:t>
      </w:r>
      <w:r w:rsidRPr="00620F01">
        <w:rPr>
          <w:lang w:val="bg-BG"/>
        </w:rPr>
        <w:t>е бил приложен в конкретните обстоятелства (вж</w:t>
      </w:r>
      <w:r w:rsidR="00212A6C" w:rsidRPr="00620F01">
        <w:rPr>
          <w:lang w:val="bg-BG"/>
        </w:rPr>
        <w:t>.</w:t>
      </w:r>
      <w:r w:rsidRPr="00620F01">
        <w:rPr>
          <w:lang w:val="bg-BG"/>
        </w:rPr>
        <w:t xml:space="preserve"> параграфи 25 и 26 по-горе). Съдът, от своя страна, не смята, че трябва да се произнесе по този въпрос, тъй като при всички положения не счита, че </w:t>
      </w:r>
      <w:r w:rsidR="00212A6C" w:rsidRPr="00620F01">
        <w:rPr>
          <w:lang w:val="bg-BG"/>
        </w:rPr>
        <w:t xml:space="preserve">намесата </w:t>
      </w:r>
      <w:r w:rsidRPr="00620F01">
        <w:rPr>
          <w:lang w:val="bg-BG"/>
        </w:rPr>
        <w:t>е бил</w:t>
      </w:r>
      <w:r w:rsidR="00212A6C" w:rsidRPr="00620F01">
        <w:rPr>
          <w:lang w:val="bg-BG"/>
        </w:rPr>
        <w:t>а</w:t>
      </w:r>
      <w:r w:rsidRPr="00620F01">
        <w:rPr>
          <w:lang w:val="bg-BG"/>
        </w:rPr>
        <w:t xml:space="preserve"> „необходим</w:t>
      </w:r>
      <w:r w:rsidR="00212A6C" w:rsidRPr="00620F01">
        <w:rPr>
          <w:lang w:val="bg-BG"/>
        </w:rPr>
        <w:t>а</w:t>
      </w:r>
      <w:r w:rsidRPr="00620F01">
        <w:rPr>
          <w:lang w:val="bg-BG"/>
        </w:rPr>
        <w:t xml:space="preserve"> в едно демократично общество“, по следните причини. 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szCs w:val="24"/>
          <w:lang w:val="bg-BG"/>
        </w:rPr>
        <w:fldChar w:fldCharType="begin"/>
      </w:r>
      <w:r w:rsidRPr="00620F01">
        <w:rPr>
          <w:szCs w:val="24"/>
          <w:lang w:val="bg-BG"/>
        </w:rPr>
        <w:instrText xml:space="preserve"> SEQ level0 \*arabic </w:instrText>
      </w:r>
      <w:r w:rsidRPr="00620F01">
        <w:rPr>
          <w:szCs w:val="24"/>
          <w:lang w:val="bg-BG"/>
        </w:rPr>
        <w:fldChar w:fldCharType="separate"/>
      </w:r>
      <w:r w:rsidRPr="00620F01">
        <w:rPr>
          <w:noProof/>
          <w:szCs w:val="24"/>
          <w:lang w:val="bg-BG"/>
        </w:rPr>
        <w:t>35</w:t>
      </w:r>
      <w:r w:rsidRPr="00620F01">
        <w:rPr>
          <w:szCs w:val="24"/>
          <w:lang w:val="bg-BG"/>
        </w:rPr>
        <w:fldChar w:fldCharType="end"/>
      </w:r>
      <w:r w:rsidRPr="00620F01">
        <w:rPr>
          <w:szCs w:val="24"/>
          <w:lang w:val="bg-BG"/>
        </w:rPr>
        <w:t>.  </w:t>
      </w:r>
      <w:r w:rsidR="00A47346" w:rsidRPr="00620F01">
        <w:rPr>
          <w:szCs w:val="24"/>
          <w:lang w:val="bg-BG"/>
        </w:rPr>
        <w:t xml:space="preserve"> Намесата </w:t>
      </w:r>
      <w:r w:rsidRPr="00620F01">
        <w:rPr>
          <w:szCs w:val="24"/>
          <w:lang w:val="bg-BG"/>
        </w:rPr>
        <w:t>може да се приеме като опит за защита на доброто име на съдията, срещу когото е било насочено твърдението на жалбоподателя, както и за поддържане на авторитета на съдебната система</w:t>
      </w:r>
      <w:r w:rsidR="00C4717F" w:rsidRPr="00620F01">
        <w:rPr>
          <w:szCs w:val="24"/>
          <w:lang w:val="bg-BG"/>
        </w:rPr>
        <w:t>, следователно и като преследваща законови цели</w:t>
      </w:r>
      <w:r w:rsidRPr="00620F01">
        <w:rPr>
          <w:szCs w:val="24"/>
          <w:lang w:val="bg-BG"/>
        </w:rPr>
        <w:t xml:space="preserve">. </w:t>
      </w:r>
    </w:p>
    <w:p w:rsidR="00614823" w:rsidRPr="00620F01" w:rsidRDefault="00614823" w:rsidP="0061482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36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Най-важният въпрос е дали </w:t>
      </w:r>
      <w:r w:rsidR="009B1F4C" w:rsidRPr="00620F01">
        <w:rPr>
          <w:lang w:val="bg-BG"/>
        </w:rPr>
        <w:t xml:space="preserve">намесата </w:t>
      </w:r>
      <w:r w:rsidRPr="00620F01">
        <w:rPr>
          <w:lang w:val="bg-BG"/>
        </w:rPr>
        <w:t>е бил</w:t>
      </w:r>
      <w:r w:rsidR="009B1F4C" w:rsidRPr="00620F01">
        <w:rPr>
          <w:lang w:val="bg-BG"/>
        </w:rPr>
        <w:t>а</w:t>
      </w:r>
      <w:r w:rsidRPr="00620F01">
        <w:rPr>
          <w:lang w:val="bg-BG"/>
        </w:rPr>
        <w:t xml:space="preserve"> „необходим</w:t>
      </w:r>
      <w:r w:rsidR="009B1F4C" w:rsidRPr="00620F01">
        <w:rPr>
          <w:lang w:val="bg-BG"/>
        </w:rPr>
        <w:t>а</w:t>
      </w:r>
      <w:r w:rsidRPr="00620F01">
        <w:rPr>
          <w:lang w:val="bg-BG"/>
        </w:rPr>
        <w:t xml:space="preserve"> в едно демократично общество“ за постигане на </w:t>
      </w:r>
      <w:r w:rsidR="009B1F4C" w:rsidRPr="00620F01">
        <w:rPr>
          <w:lang w:val="bg-BG"/>
        </w:rPr>
        <w:t xml:space="preserve">тези </w:t>
      </w:r>
      <w:r w:rsidRPr="00620F01">
        <w:rPr>
          <w:lang w:val="bg-BG"/>
        </w:rPr>
        <w:t xml:space="preserve">цели. За да отговори на този въпрос, Съдът трябва да определи дали </w:t>
      </w:r>
      <w:r w:rsidR="009B1F4C" w:rsidRPr="00620F01">
        <w:rPr>
          <w:lang w:val="bg-BG"/>
        </w:rPr>
        <w:t xml:space="preserve">намесата </w:t>
      </w:r>
      <w:r w:rsidRPr="00620F01">
        <w:rPr>
          <w:lang w:val="bg-BG"/>
        </w:rPr>
        <w:t>е бил</w:t>
      </w:r>
      <w:r w:rsidR="009B1F4C" w:rsidRPr="00620F01">
        <w:rPr>
          <w:lang w:val="bg-BG"/>
        </w:rPr>
        <w:t>а</w:t>
      </w:r>
      <w:r w:rsidRPr="00620F01">
        <w:rPr>
          <w:lang w:val="bg-BG"/>
        </w:rPr>
        <w:t xml:space="preserve"> съразмерн</w:t>
      </w:r>
      <w:r w:rsidR="009B1F4C" w:rsidRPr="00620F01">
        <w:rPr>
          <w:lang w:val="bg-BG"/>
        </w:rPr>
        <w:t>а</w:t>
      </w:r>
      <w:r w:rsidRPr="00620F01">
        <w:rPr>
          <w:lang w:val="bg-BG"/>
        </w:rPr>
        <w:t>, като се има предвид свободата на преценка на националните органи в тази област (вж</w:t>
      </w:r>
      <w:r w:rsidR="009B1F4C" w:rsidRPr="00620F01">
        <w:rPr>
          <w:lang w:val="bg-BG"/>
        </w:rPr>
        <w:t>.</w:t>
      </w:r>
      <w:r w:rsidRPr="00620F01">
        <w:rPr>
          <w:lang w:val="bg-BG"/>
        </w:rPr>
        <w:t xml:space="preserve">, наред с много други, </w:t>
      </w:r>
      <w:proofErr w:type="spellStart"/>
      <w:r w:rsidRPr="00620F01">
        <w:rPr>
          <w:i/>
          <w:lang w:val="bg-BG"/>
        </w:rPr>
        <w:t>Cumpǎnǎ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and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Mazǎre</w:t>
      </w:r>
      <w:proofErr w:type="spellEnd"/>
      <w:r w:rsidRPr="00620F01">
        <w:rPr>
          <w:i/>
          <w:lang w:val="bg-BG"/>
        </w:rPr>
        <w:t xml:space="preserve"> v. </w:t>
      </w:r>
      <w:proofErr w:type="spellStart"/>
      <w:r w:rsidRPr="00620F01">
        <w:rPr>
          <w:i/>
          <w:lang w:val="bg-BG"/>
        </w:rPr>
        <w:t>Romania</w:t>
      </w:r>
      <w:proofErr w:type="spellEnd"/>
      <w:r w:rsidRPr="00620F01">
        <w:rPr>
          <w:lang w:val="bg-BG"/>
        </w:rPr>
        <w:t xml:space="preserve"> [GC], № 33348/96, §§ 88-91, ЕСПЧ 2004-XI).  </w:t>
      </w:r>
    </w:p>
    <w:p w:rsidR="00D54428" w:rsidRPr="00620F01" w:rsidRDefault="00614823" w:rsidP="00614823">
      <w:pPr>
        <w:pStyle w:val="ECHRPara"/>
        <w:rPr>
          <w:snapToGrid w:val="0"/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37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Основ</w:t>
      </w:r>
      <w:r w:rsidR="00E61810" w:rsidRPr="00620F01">
        <w:rPr>
          <w:lang w:val="bg-BG"/>
        </w:rPr>
        <w:t>ните</w:t>
      </w:r>
      <w:r w:rsidRPr="00620F01">
        <w:rPr>
          <w:lang w:val="bg-BG"/>
        </w:rPr>
        <w:t xml:space="preserve"> принципи</w:t>
      </w:r>
      <w:r w:rsidR="00E61810" w:rsidRPr="00620F01">
        <w:rPr>
          <w:lang w:val="bg-BG"/>
        </w:rPr>
        <w:t xml:space="preserve"> ръководещи тази преценка</w:t>
      </w:r>
      <w:r w:rsidRPr="00620F01">
        <w:rPr>
          <w:lang w:val="bg-BG"/>
        </w:rPr>
        <w:t xml:space="preserve"> неотдавна бяха потвърдени </w:t>
      </w:r>
      <w:r w:rsidR="00920007" w:rsidRPr="00620F01">
        <w:rPr>
          <w:lang w:val="bg-BG"/>
        </w:rPr>
        <w:t xml:space="preserve">отново </w:t>
      </w:r>
      <w:r w:rsidRPr="00620F01">
        <w:rPr>
          <w:lang w:val="bg-BG"/>
        </w:rPr>
        <w:t xml:space="preserve">в </w:t>
      </w:r>
      <w:proofErr w:type="spellStart"/>
      <w:r w:rsidRPr="00620F01">
        <w:rPr>
          <w:i/>
          <w:lang w:val="bg-BG"/>
        </w:rPr>
        <w:t>Morice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France</w:t>
      </w:r>
      <w:proofErr w:type="spellEnd"/>
      <w:r w:rsidRPr="00620F01">
        <w:rPr>
          <w:i/>
          <w:lang w:val="bg-BG"/>
        </w:rPr>
        <w:t xml:space="preserve"> </w:t>
      </w:r>
      <w:r w:rsidRPr="00620F01">
        <w:rPr>
          <w:lang w:val="bg-BG"/>
        </w:rPr>
        <w:t>([GC], № 29369/10</w:t>
      </w:r>
      <w:r w:rsidRPr="00620F01">
        <w:rPr>
          <w:snapToGrid w:val="0"/>
          <w:lang w:val="bg-BG"/>
        </w:rPr>
        <w:t>, § 124, 2</w:t>
      </w:r>
      <w:r w:rsidRPr="00620F01">
        <w:rPr>
          <w:lang w:val="bg-BG"/>
        </w:rPr>
        <w:t>3</w:t>
      </w:r>
      <w:r w:rsidRPr="00620F01">
        <w:rPr>
          <w:snapToGrid w:val="0"/>
          <w:lang w:val="bg-BG"/>
        </w:rPr>
        <w:t xml:space="preserve"> април 2015 г.)</w:t>
      </w:r>
      <w:r w:rsidR="00D54428" w:rsidRPr="00620F01">
        <w:rPr>
          <w:snapToGrid w:val="0"/>
          <w:lang w:val="bg-BG"/>
        </w:rPr>
        <w:t>:</w:t>
      </w:r>
    </w:p>
    <w:p w:rsidR="00B958F3" w:rsidRPr="00620F01" w:rsidRDefault="00B958F3" w:rsidP="00B958F3">
      <w:pPr>
        <w:pStyle w:val="ECHRParaQuote"/>
        <w:rPr>
          <w:lang w:val="bg-BG"/>
        </w:rPr>
      </w:pPr>
      <w:r w:rsidRPr="00620F01">
        <w:rPr>
          <w:lang w:val="bg-BG"/>
        </w:rPr>
        <w:t>„</w:t>
      </w:r>
      <w:r w:rsidR="00D54428" w:rsidRPr="00620F01">
        <w:rPr>
          <w:lang w:val="bg-BG"/>
        </w:rPr>
        <w:t>(i)  </w:t>
      </w:r>
      <w:r w:rsidRPr="00620F01">
        <w:rPr>
          <w:lang w:val="bg-BG"/>
        </w:rPr>
        <w:t xml:space="preserve">Свободата на изразяване </w:t>
      </w:r>
      <w:r w:rsidR="00920007" w:rsidRPr="00620F01">
        <w:rPr>
          <w:lang w:val="bg-BG"/>
        </w:rPr>
        <w:t xml:space="preserve">на мнение </w:t>
      </w:r>
      <w:r w:rsidRPr="00620F01">
        <w:rPr>
          <w:lang w:val="bg-BG"/>
        </w:rPr>
        <w:t xml:space="preserve">е сред най-важните </w:t>
      </w:r>
      <w:r w:rsidR="00920007" w:rsidRPr="00620F01">
        <w:rPr>
          <w:lang w:val="bg-BG"/>
        </w:rPr>
        <w:t xml:space="preserve">основи </w:t>
      </w:r>
      <w:r w:rsidRPr="00620F01">
        <w:rPr>
          <w:lang w:val="bg-BG"/>
        </w:rPr>
        <w:t xml:space="preserve">на демократичното общество и едно от основните условия както за неговия прогрес, така и за себереализацията на всеки индивид. </w:t>
      </w:r>
      <w:r w:rsidR="00440B75" w:rsidRPr="00620F01">
        <w:rPr>
          <w:lang w:val="bg-BG"/>
        </w:rPr>
        <w:t>Съгласно</w:t>
      </w:r>
      <w:r w:rsidRPr="00620F01">
        <w:rPr>
          <w:lang w:val="bg-BG"/>
        </w:rPr>
        <w:t xml:space="preserve"> чл. 10 § 2, това право</w:t>
      </w:r>
      <w:r w:rsidR="00265622" w:rsidRPr="00620F01">
        <w:rPr>
          <w:lang w:val="bg-BG"/>
        </w:rPr>
        <w:t xml:space="preserve"> </w:t>
      </w:r>
      <w:r w:rsidRPr="00620F01">
        <w:rPr>
          <w:lang w:val="bg-BG"/>
        </w:rPr>
        <w:t xml:space="preserve">е приложимо </w:t>
      </w:r>
      <w:r w:rsidR="00440B75" w:rsidRPr="00620F01">
        <w:rPr>
          <w:lang w:val="bg-BG"/>
        </w:rPr>
        <w:t xml:space="preserve">не само </w:t>
      </w:r>
      <w:r w:rsidR="00265622" w:rsidRPr="00620F01">
        <w:rPr>
          <w:lang w:val="bg-BG"/>
        </w:rPr>
        <w:t>към</w:t>
      </w:r>
      <w:r w:rsidRPr="00620F01">
        <w:rPr>
          <w:lang w:val="bg-BG"/>
        </w:rPr>
        <w:t xml:space="preserve"> до „информация“ или „идеи“, които се приемат благосклонно</w:t>
      </w:r>
      <w:r w:rsidR="00440B75" w:rsidRPr="00620F01">
        <w:rPr>
          <w:lang w:val="bg-BG"/>
        </w:rPr>
        <w:t xml:space="preserve"> или</w:t>
      </w:r>
      <w:r w:rsidRPr="00620F01">
        <w:rPr>
          <w:lang w:val="bg-BG"/>
        </w:rPr>
        <w:t xml:space="preserve"> </w:t>
      </w:r>
      <w:r w:rsidR="00265622" w:rsidRPr="00620F01">
        <w:rPr>
          <w:lang w:val="bg-BG"/>
        </w:rPr>
        <w:t xml:space="preserve">се </w:t>
      </w:r>
      <w:r w:rsidRPr="00620F01">
        <w:rPr>
          <w:lang w:val="bg-BG"/>
        </w:rPr>
        <w:t>считат за безобидни или незначителни</w:t>
      </w:r>
      <w:r w:rsidR="00265622" w:rsidRPr="00620F01">
        <w:rPr>
          <w:lang w:val="bg-BG"/>
        </w:rPr>
        <w:t>, но и към</w:t>
      </w:r>
      <w:r w:rsidRPr="00620F01">
        <w:rPr>
          <w:lang w:val="bg-BG"/>
        </w:rPr>
        <w:t xml:space="preserve"> твърдения, които обиждат, шокират или внасят смут. Такива са изискванията на плурализма, толерантността и широтата на възгледите, без които не би могло да съществува „демократично общество“. Както е посочено в чл. 10, тази свобода подлежи на изключения, които ... трябва да се тълкуват </w:t>
      </w:r>
      <w:r w:rsidR="00B00A52" w:rsidRPr="00620F01">
        <w:rPr>
          <w:lang w:val="bg-BG"/>
        </w:rPr>
        <w:t>стриктно</w:t>
      </w:r>
      <w:r w:rsidRPr="00620F01">
        <w:rPr>
          <w:lang w:val="bg-BG"/>
        </w:rPr>
        <w:t xml:space="preserve">, а нуждата от ограничения трябва да </w:t>
      </w:r>
      <w:r w:rsidR="00FF64D9" w:rsidRPr="00620F01">
        <w:rPr>
          <w:lang w:val="bg-BG"/>
        </w:rPr>
        <w:t xml:space="preserve">бъде убедително </w:t>
      </w:r>
      <w:r w:rsidRPr="00620F01">
        <w:rPr>
          <w:lang w:val="bg-BG"/>
        </w:rPr>
        <w:t>установ</w:t>
      </w:r>
      <w:r w:rsidR="00FF64D9" w:rsidRPr="00620F01">
        <w:rPr>
          <w:lang w:val="bg-BG"/>
        </w:rPr>
        <w:t>ена</w:t>
      </w:r>
      <w:r w:rsidRPr="00620F01">
        <w:rPr>
          <w:lang w:val="bg-BG"/>
        </w:rPr>
        <w:t xml:space="preserve"> ...   </w:t>
      </w:r>
    </w:p>
    <w:p w:rsidR="00B958F3" w:rsidRPr="00620F01" w:rsidRDefault="00B958F3" w:rsidP="00B958F3">
      <w:pPr>
        <w:pStyle w:val="ECHRParaQuote"/>
        <w:rPr>
          <w:lang w:val="bg-BG"/>
        </w:rPr>
      </w:pPr>
      <w:r w:rsidRPr="00620F01">
        <w:rPr>
          <w:lang w:val="bg-BG"/>
        </w:rPr>
        <w:t>(ii)  По смисъла на чл. 10 § 2 прилагателното „необходим“ предполага наличие на „належаща обществена нужда“. Високодоговарящите страни разполагат с известна свобода на преценка по въпроса дали съществува такава нужда, но това върви ръка за ръка с контрол от страна на Европейския съюз, който обхваща както законодателството, така и прилагащите го решения, дори онези от тях, които се взимат от независ</w:t>
      </w:r>
      <w:r w:rsidR="007A0C0E" w:rsidRPr="00620F01">
        <w:rPr>
          <w:lang w:val="bg-BG"/>
        </w:rPr>
        <w:t>им съд. Следователно, Съдът има</w:t>
      </w:r>
      <w:r w:rsidRPr="00620F01">
        <w:rPr>
          <w:lang w:val="bg-BG"/>
        </w:rPr>
        <w:t xml:space="preserve"> правомощията да се произнася като най-висша инстанция по въпроса дали конкретно „ограничение“ е съвместимо със свободата на изразяване на мнение, защитена в чл. 10.  </w:t>
      </w:r>
    </w:p>
    <w:p w:rsidR="00B958F3" w:rsidRPr="00620F01" w:rsidRDefault="00B958F3" w:rsidP="00B958F3">
      <w:pPr>
        <w:pStyle w:val="ECHRParaQuote"/>
        <w:rPr>
          <w:lang w:val="bg-BG"/>
        </w:rPr>
      </w:pPr>
      <w:r w:rsidRPr="00620F01">
        <w:rPr>
          <w:lang w:val="bg-BG"/>
        </w:rPr>
        <w:t xml:space="preserve">(iii)  В изпълнение на контролните си функции, Съдът няма за задача да заема мястото на компетентните национални власти, а по-скоро да преразгледа съгласно чл. 10 решенията, които те са взели по силата на своите правомощия за преценка. Това не означава, че контролът се ограничава до </w:t>
      </w:r>
      <w:r w:rsidR="00182DDE" w:rsidRPr="00620F01">
        <w:rPr>
          <w:lang w:val="bg-BG"/>
        </w:rPr>
        <w:t>установяването</w:t>
      </w:r>
      <w:r w:rsidRPr="00620F01">
        <w:rPr>
          <w:lang w:val="bg-BG"/>
        </w:rPr>
        <w:t xml:space="preserve"> дали държавата-ответник е упражнила правото си на преценка разумно, внимателно и добросъвестно; Съдът трябва да разгледа оспорван</w:t>
      </w:r>
      <w:r w:rsidR="008751F4" w:rsidRPr="00620F01">
        <w:rPr>
          <w:lang w:val="bg-BG"/>
        </w:rPr>
        <w:t>ата</w:t>
      </w:r>
      <w:r w:rsidRPr="00620F01">
        <w:rPr>
          <w:lang w:val="bg-BG"/>
        </w:rPr>
        <w:t xml:space="preserve"> </w:t>
      </w:r>
      <w:r w:rsidR="008751F4" w:rsidRPr="00620F01">
        <w:rPr>
          <w:lang w:val="bg-BG"/>
        </w:rPr>
        <w:t xml:space="preserve">намеса </w:t>
      </w:r>
      <w:r w:rsidRPr="00620F01">
        <w:rPr>
          <w:lang w:val="bg-BG"/>
        </w:rPr>
        <w:t>в светлината на цялостния случай, да определи дали е</w:t>
      </w:r>
      <w:r w:rsidR="008751F4" w:rsidRPr="00620F01">
        <w:rPr>
          <w:lang w:val="bg-BG"/>
        </w:rPr>
        <w:t xml:space="preserve"> била</w:t>
      </w:r>
      <w:r w:rsidRPr="00620F01">
        <w:rPr>
          <w:lang w:val="bg-BG"/>
        </w:rPr>
        <w:t xml:space="preserve"> „съразмерн</w:t>
      </w:r>
      <w:r w:rsidR="008751F4" w:rsidRPr="00620F01">
        <w:rPr>
          <w:lang w:val="bg-BG"/>
        </w:rPr>
        <w:t>а</w:t>
      </w:r>
      <w:r w:rsidRPr="00620F01">
        <w:rPr>
          <w:lang w:val="bg-BG"/>
        </w:rPr>
        <w:t xml:space="preserve"> на преследваната законова цел“ и дали причините, изтъкнати от държавните органи с цел да </w:t>
      </w:r>
      <w:r w:rsidR="00AC7605" w:rsidRPr="00620F01">
        <w:rPr>
          <w:lang w:val="bg-BG"/>
        </w:rPr>
        <w:t xml:space="preserve">я </w:t>
      </w:r>
      <w:r w:rsidRPr="00620F01">
        <w:rPr>
          <w:lang w:val="bg-BG"/>
        </w:rPr>
        <w:t xml:space="preserve">оправдаят, са „относими и достатъчни“ ... </w:t>
      </w:r>
      <w:r w:rsidR="00AC7605" w:rsidRPr="00620F01">
        <w:rPr>
          <w:lang w:val="bg-BG"/>
        </w:rPr>
        <w:t>Правейки това</w:t>
      </w:r>
      <w:r w:rsidRPr="00620F01">
        <w:rPr>
          <w:lang w:val="bg-BG"/>
        </w:rPr>
        <w:t xml:space="preserve"> Съдът трябва да се </w:t>
      </w:r>
      <w:r w:rsidRPr="00620F01">
        <w:rPr>
          <w:lang w:val="bg-BG"/>
        </w:rPr>
        <w:lastRenderedPageBreak/>
        <w:t xml:space="preserve">увери, че националните </w:t>
      </w:r>
      <w:r w:rsidR="00AC7605" w:rsidRPr="00620F01">
        <w:rPr>
          <w:lang w:val="bg-BG"/>
        </w:rPr>
        <w:t xml:space="preserve">органи </w:t>
      </w:r>
      <w:r w:rsidRPr="00620F01">
        <w:rPr>
          <w:lang w:val="bg-BG"/>
        </w:rPr>
        <w:t xml:space="preserve">са приложили стандарти, които отговарят на </w:t>
      </w:r>
      <w:r w:rsidR="00AC7605" w:rsidRPr="00620F01">
        <w:rPr>
          <w:lang w:val="bg-BG"/>
        </w:rPr>
        <w:t xml:space="preserve">заложените </w:t>
      </w:r>
      <w:r w:rsidRPr="00620F01">
        <w:rPr>
          <w:lang w:val="bg-BG"/>
        </w:rPr>
        <w:t xml:space="preserve">в чл. 10 принципи и </w:t>
      </w:r>
      <w:r w:rsidR="00982972" w:rsidRPr="00620F01">
        <w:rPr>
          <w:lang w:val="bg-BG"/>
        </w:rPr>
        <w:t>освен това</w:t>
      </w:r>
      <w:r w:rsidRPr="00620F01">
        <w:rPr>
          <w:lang w:val="bg-BG"/>
        </w:rPr>
        <w:t xml:space="preserve">, че са основали решението си на приемлива оценка на </w:t>
      </w:r>
      <w:proofErr w:type="spellStart"/>
      <w:r w:rsidRPr="00620F01">
        <w:rPr>
          <w:lang w:val="bg-BG"/>
        </w:rPr>
        <w:t>относимите</w:t>
      </w:r>
      <w:proofErr w:type="spellEnd"/>
      <w:r w:rsidRPr="00620F01">
        <w:rPr>
          <w:lang w:val="bg-BG"/>
        </w:rPr>
        <w:t xml:space="preserve"> факти ...“ 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38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Съдът разглежда случаи, свързани с обидни твърдения срещу съдии или прокурори</w:t>
      </w:r>
      <w:r w:rsidR="004A7183" w:rsidRPr="00620F01">
        <w:rPr>
          <w:lang w:val="bg-BG"/>
        </w:rPr>
        <w:t xml:space="preserve">,  които са </w:t>
      </w:r>
      <w:r w:rsidR="007A0C0E" w:rsidRPr="00620F01">
        <w:rPr>
          <w:lang w:val="bg-BG"/>
        </w:rPr>
        <w:t>на</w:t>
      </w:r>
      <w:r w:rsidR="004A7183" w:rsidRPr="00620F01">
        <w:rPr>
          <w:lang w:val="bg-BG"/>
        </w:rPr>
        <w:t xml:space="preserve">правени от </w:t>
      </w:r>
      <w:proofErr w:type="spellStart"/>
      <w:r w:rsidR="004A7183" w:rsidRPr="00620F01">
        <w:rPr>
          <w:lang w:val="bg-BG"/>
        </w:rPr>
        <w:t>непредставлявани</w:t>
      </w:r>
      <w:proofErr w:type="spellEnd"/>
      <w:r w:rsidR="004A7183" w:rsidRPr="00620F01">
        <w:rPr>
          <w:lang w:val="bg-BG"/>
        </w:rPr>
        <w:t xml:space="preserve"> страни в хода на или </w:t>
      </w:r>
      <w:r w:rsidRPr="00620F01">
        <w:rPr>
          <w:lang w:val="bg-BG"/>
        </w:rPr>
        <w:t>във връзка с</w:t>
      </w:r>
      <w:r w:rsidR="007A0C0E" w:rsidRPr="00620F01">
        <w:rPr>
          <w:lang w:val="bg-BG"/>
        </w:rPr>
        <w:t>ъс</w:t>
      </w:r>
      <w:r w:rsidRPr="00620F01">
        <w:rPr>
          <w:lang w:val="bg-BG"/>
        </w:rPr>
        <w:t xml:space="preserve"> съдебни производства (вж</w:t>
      </w:r>
      <w:r w:rsidR="004A7183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Lešník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Slovakia</w:t>
      </w:r>
      <w:proofErr w:type="spellEnd"/>
      <w:r w:rsidRPr="00620F01">
        <w:rPr>
          <w:lang w:val="bg-BG"/>
        </w:rPr>
        <w:t>,</w:t>
      </w:r>
      <w:r w:rsidRPr="00620F01">
        <w:rPr>
          <w:i/>
          <w:lang w:val="bg-BG"/>
        </w:rPr>
        <w:t xml:space="preserve"> </w:t>
      </w:r>
      <w:r w:rsidRPr="00620F01">
        <w:rPr>
          <w:lang w:val="bg-BG"/>
        </w:rPr>
        <w:t xml:space="preserve">№ 35640/97, EСПЧ 2003-IV (прокурор); </w:t>
      </w:r>
      <w:proofErr w:type="spellStart"/>
      <w:r w:rsidRPr="00620F01">
        <w:rPr>
          <w:i/>
          <w:lang w:val="bg-BG"/>
        </w:rPr>
        <w:t>Skałka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Poland</w:t>
      </w:r>
      <w:proofErr w:type="spellEnd"/>
      <w:r w:rsidRPr="00620F01">
        <w:rPr>
          <w:lang w:val="bg-BG"/>
        </w:rPr>
        <w:t>,</w:t>
      </w:r>
      <w:r w:rsidRPr="00620F01">
        <w:rPr>
          <w:i/>
          <w:lang w:val="bg-BG"/>
        </w:rPr>
        <w:t xml:space="preserve"> </w:t>
      </w:r>
      <w:r w:rsidRPr="00620F01">
        <w:rPr>
          <w:lang w:val="bg-BG"/>
        </w:rPr>
        <w:t xml:space="preserve">№ 43425/98, 27 май 2003 г. (съдия); </w:t>
      </w:r>
      <w:proofErr w:type="spellStart"/>
      <w:r w:rsidRPr="00620F01">
        <w:rPr>
          <w:i/>
          <w:szCs w:val="24"/>
          <w:lang w:val="bg-BG"/>
        </w:rPr>
        <w:t>Saday</w:t>
      </w:r>
      <w:proofErr w:type="spellEnd"/>
      <w:r w:rsidRPr="00620F01">
        <w:rPr>
          <w:i/>
          <w:szCs w:val="24"/>
          <w:lang w:val="bg-BG"/>
        </w:rPr>
        <w:t xml:space="preserve"> v. </w:t>
      </w:r>
      <w:proofErr w:type="spellStart"/>
      <w:r w:rsidRPr="00620F01">
        <w:rPr>
          <w:i/>
          <w:szCs w:val="24"/>
          <w:lang w:val="bg-BG"/>
        </w:rPr>
        <w:t>Turkey</w:t>
      </w:r>
      <w:proofErr w:type="spellEnd"/>
      <w:r w:rsidRPr="00620F01">
        <w:rPr>
          <w:szCs w:val="24"/>
          <w:lang w:val="bg-BG"/>
        </w:rPr>
        <w:t xml:space="preserve">, </w:t>
      </w:r>
      <w:r w:rsidRPr="00620F01">
        <w:rPr>
          <w:lang w:val="bg-BG"/>
        </w:rPr>
        <w:t>№</w:t>
      </w:r>
      <w:r w:rsidRPr="00620F01">
        <w:rPr>
          <w:szCs w:val="24"/>
          <w:lang w:val="bg-BG"/>
        </w:rPr>
        <w:t xml:space="preserve"> 32458/96, 30 март 2006 г. (съдии); </w:t>
      </w:r>
      <w:proofErr w:type="spellStart"/>
      <w:r w:rsidRPr="00620F01">
        <w:rPr>
          <w:i/>
          <w:szCs w:val="24"/>
          <w:lang w:val="bg-BG"/>
        </w:rPr>
        <w:t>Bezymyannyy</w:t>
      </w:r>
      <w:proofErr w:type="spellEnd"/>
      <w:r w:rsidRPr="00620F01">
        <w:rPr>
          <w:i/>
          <w:szCs w:val="24"/>
          <w:lang w:val="bg-BG"/>
        </w:rPr>
        <w:t xml:space="preserve"> v. </w:t>
      </w:r>
      <w:proofErr w:type="spellStart"/>
      <w:r w:rsidRPr="00620F01">
        <w:rPr>
          <w:i/>
          <w:szCs w:val="24"/>
          <w:lang w:val="bg-BG"/>
        </w:rPr>
        <w:t>Russia</w:t>
      </w:r>
      <w:proofErr w:type="spellEnd"/>
      <w:r w:rsidRPr="00620F01">
        <w:rPr>
          <w:szCs w:val="24"/>
          <w:lang w:val="bg-BG"/>
        </w:rPr>
        <w:t xml:space="preserve">, </w:t>
      </w:r>
      <w:r w:rsidRPr="00620F01">
        <w:rPr>
          <w:lang w:val="bg-BG"/>
        </w:rPr>
        <w:t>№</w:t>
      </w:r>
      <w:r w:rsidRPr="00620F01">
        <w:rPr>
          <w:szCs w:val="24"/>
          <w:lang w:val="bg-BG"/>
        </w:rPr>
        <w:t xml:space="preserve"> 10941/03, 8 април 2010 г. (съдия); и </w:t>
      </w:r>
      <w:proofErr w:type="spellStart"/>
      <w:r w:rsidRPr="00620F01">
        <w:rPr>
          <w:i/>
          <w:lang w:val="bg-BG"/>
        </w:rPr>
        <w:t>Łopuch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Poland</w:t>
      </w:r>
      <w:proofErr w:type="spellEnd"/>
      <w:r w:rsidRPr="00620F01">
        <w:rPr>
          <w:lang w:val="bg-BG"/>
        </w:rPr>
        <w:t xml:space="preserve">, № 43587/09, 24 юли 2012 г. (съдия)). Съдът </w:t>
      </w:r>
      <w:r w:rsidR="005E772D" w:rsidRPr="00620F01">
        <w:rPr>
          <w:lang w:val="bg-BG"/>
        </w:rPr>
        <w:t xml:space="preserve">също </w:t>
      </w:r>
      <w:r w:rsidRPr="00620F01">
        <w:rPr>
          <w:lang w:val="bg-BG"/>
        </w:rPr>
        <w:t xml:space="preserve">е разглежда и случаи, засягащи обидни твърдения срещу съдии, прокурори, вещи лица или полицейски служители, </w:t>
      </w:r>
      <w:r w:rsidR="007A0C0E" w:rsidRPr="00620F01">
        <w:rPr>
          <w:lang w:val="bg-BG"/>
        </w:rPr>
        <w:t>на</w:t>
      </w:r>
      <w:r w:rsidR="005E772D" w:rsidRPr="00620F01">
        <w:rPr>
          <w:lang w:val="bg-BG"/>
        </w:rPr>
        <w:t xml:space="preserve">правени </w:t>
      </w:r>
      <w:r w:rsidRPr="00620F01">
        <w:rPr>
          <w:lang w:val="bg-BG"/>
        </w:rPr>
        <w:t>от защитата в хода на съдебн</w:t>
      </w:r>
      <w:r w:rsidR="008E071C" w:rsidRPr="00620F01">
        <w:rPr>
          <w:lang w:val="bg-BG"/>
        </w:rPr>
        <w:t>о</w:t>
      </w:r>
      <w:r w:rsidRPr="00620F01">
        <w:rPr>
          <w:lang w:val="bg-BG"/>
        </w:rPr>
        <w:t xml:space="preserve"> производств</w:t>
      </w:r>
      <w:r w:rsidR="008E071C" w:rsidRPr="00620F01">
        <w:rPr>
          <w:lang w:val="bg-BG"/>
        </w:rPr>
        <w:t>о</w:t>
      </w:r>
      <w:r w:rsidRPr="00620F01">
        <w:rPr>
          <w:lang w:val="bg-BG"/>
        </w:rPr>
        <w:t xml:space="preserve"> (вж</w:t>
      </w:r>
      <w:r w:rsidR="007A0C0E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Nikula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Finland</w:t>
      </w:r>
      <w:proofErr w:type="spellEnd"/>
      <w:r w:rsidRPr="00620F01">
        <w:rPr>
          <w:lang w:val="bg-BG"/>
        </w:rPr>
        <w:t xml:space="preserve">, № 31611/96, ЕСПЧ 2002-II (прокурор); </w:t>
      </w:r>
      <w:proofErr w:type="spellStart"/>
      <w:r w:rsidRPr="00620F01">
        <w:rPr>
          <w:i/>
          <w:lang w:val="bg-BG"/>
        </w:rPr>
        <w:t>Steur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the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Netherlands</w:t>
      </w:r>
      <w:proofErr w:type="spellEnd"/>
      <w:r w:rsidRPr="00620F01">
        <w:rPr>
          <w:lang w:val="bg-BG"/>
        </w:rPr>
        <w:t xml:space="preserve">, № 39657/98, ЕСПЧ 2003-XI (полицейски служител); </w:t>
      </w:r>
      <w:proofErr w:type="spellStart"/>
      <w:r w:rsidRPr="00620F01">
        <w:rPr>
          <w:i/>
          <w:lang w:val="bg-BG"/>
        </w:rPr>
        <w:t>Kyprianou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Cyprus</w:t>
      </w:r>
      <w:proofErr w:type="spellEnd"/>
      <w:r w:rsidRPr="00620F01">
        <w:rPr>
          <w:i/>
          <w:lang w:val="bg-BG"/>
        </w:rPr>
        <w:t xml:space="preserve"> </w:t>
      </w:r>
      <w:r w:rsidRPr="00620F01">
        <w:rPr>
          <w:lang w:val="bg-BG"/>
        </w:rPr>
        <w:t xml:space="preserve">[ГО], № 73797/01, ЕСПЧ 2005-XIII (съдии); </w:t>
      </w:r>
      <w:proofErr w:type="spellStart"/>
      <w:r w:rsidRPr="00620F01">
        <w:rPr>
          <w:i/>
          <w:lang w:val="bg-BG"/>
        </w:rPr>
        <w:t>Schmidt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Austria</w:t>
      </w:r>
      <w:proofErr w:type="spellEnd"/>
      <w:r w:rsidRPr="00620F01">
        <w:rPr>
          <w:lang w:val="bg-BG"/>
        </w:rPr>
        <w:t xml:space="preserve">, № 513/05, 17 юли 2008 г. (прокурор); и </w:t>
      </w:r>
      <w:proofErr w:type="spellStart"/>
      <w:r w:rsidRPr="00620F01">
        <w:rPr>
          <w:i/>
          <w:lang w:val="bg-BG"/>
        </w:rPr>
        <w:t>Fuchs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Germany</w:t>
      </w:r>
      <w:proofErr w:type="spellEnd"/>
      <w:r w:rsidRPr="00620F01">
        <w:rPr>
          <w:lang w:val="bg-BG"/>
        </w:rPr>
        <w:t xml:space="preserve"> (решение), № 29222/11, 27 януари 2015 г. (вещо лице)). Както в тези случаи, така и по настоящото дело Съдът ще разгледа </w:t>
      </w:r>
      <w:r w:rsidR="008C28F8" w:rsidRPr="00620F01">
        <w:rPr>
          <w:lang w:val="bg-BG"/>
        </w:rPr>
        <w:t xml:space="preserve">пропорционалността на </w:t>
      </w:r>
      <w:r w:rsidR="008E071C" w:rsidRPr="00620F01">
        <w:rPr>
          <w:lang w:val="bg-BG"/>
        </w:rPr>
        <w:t xml:space="preserve">намесата </w:t>
      </w:r>
      <w:r w:rsidRPr="00620F01">
        <w:rPr>
          <w:lang w:val="bg-BG"/>
        </w:rPr>
        <w:t xml:space="preserve">в правата на жалбоподателя, като обърне внимание на естеството и конкретния начин, по който твърдението е било комуникирано, контекста, в който е било направено, степента, в която е засегнало съдията, както и тежестта на наказанието, наложено на жалбоподателя. 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39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</w:t>
      </w:r>
      <w:r w:rsidR="008C28F8" w:rsidRPr="00620F01">
        <w:rPr>
          <w:lang w:val="bg-BG"/>
        </w:rPr>
        <w:t>Правейки това</w:t>
      </w:r>
      <w:r w:rsidRPr="00620F01">
        <w:rPr>
          <w:lang w:val="bg-BG"/>
        </w:rPr>
        <w:t xml:space="preserve"> Съдът </w:t>
      </w:r>
      <w:r w:rsidR="008C28F8" w:rsidRPr="00620F01">
        <w:rPr>
          <w:lang w:val="bg-BG"/>
        </w:rPr>
        <w:t xml:space="preserve">по-конкретно </w:t>
      </w:r>
      <w:r w:rsidRPr="00620F01">
        <w:rPr>
          <w:lang w:val="bg-BG"/>
        </w:rPr>
        <w:t>ще вземе под внимание факта, че дейността на съдилищата, чиято роля е да гарантират правосъдие и имат основн</w:t>
      </w:r>
      <w:r w:rsidR="0060077B" w:rsidRPr="00620F01">
        <w:rPr>
          <w:lang w:val="bg-BG"/>
        </w:rPr>
        <w:t>а</w:t>
      </w:r>
      <w:r w:rsidRPr="00620F01">
        <w:rPr>
          <w:lang w:val="bg-BG"/>
        </w:rPr>
        <w:t xml:space="preserve"> </w:t>
      </w:r>
      <w:r w:rsidR="0060077B" w:rsidRPr="00620F01">
        <w:rPr>
          <w:lang w:val="bg-BG"/>
        </w:rPr>
        <w:t xml:space="preserve">роля </w:t>
      </w:r>
      <w:r w:rsidRPr="00620F01">
        <w:rPr>
          <w:lang w:val="bg-BG"/>
        </w:rPr>
        <w:t xml:space="preserve">в една държава, управлявана от върховенството на закона, изисква обществено доверие и поради това </w:t>
      </w:r>
      <w:r w:rsidR="00547065" w:rsidRPr="00620F01">
        <w:rPr>
          <w:lang w:val="bg-BG"/>
        </w:rPr>
        <w:t>следва</w:t>
      </w:r>
      <w:r w:rsidRPr="00620F01">
        <w:rPr>
          <w:lang w:val="bg-BG"/>
        </w:rPr>
        <w:t xml:space="preserve"> да бъдат защитени от неоснователни нападки. Макар</w:t>
      </w:r>
      <w:r w:rsidR="00547065" w:rsidRPr="00620F01">
        <w:rPr>
          <w:lang w:val="bg-BG"/>
        </w:rPr>
        <w:t>,</w:t>
      </w:r>
      <w:r w:rsidRPr="00620F01">
        <w:rPr>
          <w:lang w:val="bg-BG"/>
        </w:rPr>
        <w:t xml:space="preserve"> че съдилищата </w:t>
      </w:r>
      <w:r w:rsidR="00A550F0" w:rsidRPr="00620F01">
        <w:rPr>
          <w:lang w:val="bg-BG"/>
        </w:rPr>
        <w:t xml:space="preserve">подлежат на </w:t>
      </w:r>
      <w:r w:rsidRPr="00620F01">
        <w:rPr>
          <w:lang w:val="bg-BG"/>
        </w:rPr>
        <w:t>критик</w:t>
      </w:r>
      <w:r w:rsidR="00A550F0" w:rsidRPr="00620F01">
        <w:rPr>
          <w:lang w:val="bg-BG"/>
        </w:rPr>
        <w:t>а и</w:t>
      </w:r>
      <w:r w:rsidRPr="00620F01">
        <w:rPr>
          <w:lang w:val="bg-BG"/>
        </w:rPr>
        <w:t xml:space="preserve"> </w:t>
      </w:r>
      <w:r w:rsidR="00A550F0" w:rsidRPr="00620F01">
        <w:rPr>
          <w:lang w:val="bg-BG"/>
        </w:rPr>
        <w:t>контрол</w:t>
      </w:r>
      <w:r w:rsidRPr="00620F01">
        <w:rPr>
          <w:lang w:val="bg-BG"/>
        </w:rPr>
        <w:t>, и макар страните в съдебните производств</w:t>
      </w:r>
      <w:r w:rsidR="006176AF" w:rsidRPr="00620F01">
        <w:rPr>
          <w:lang w:val="bg-BG"/>
        </w:rPr>
        <w:t xml:space="preserve">а </w:t>
      </w:r>
      <w:r w:rsidRPr="00620F01">
        <w:rPr>
          <w:lang w:val="bg-BG"/>
        </w:rPr>
        <w:t>да имат право да коментират правораздаването, защитавайки правата си, критиките не трябва да надхвърлят определени граници. По-конкретно, трябва да се прави ясно разграничение между критика и обида (вж</w:t>
      </w:r>
      <w:r w:rsidR="008F72E5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Łopuch</w:t>
      </w:r>
      <w:proofErr w:type="spellEnd"/>
      <w:r w:rsidRPr="00620F01">
        <w:rPr>
          <w:lang w:val="bg-BG"/>
        </w:rPr>
        <w:t>, цитирано по-горе, § 61, с допълнителни препратки).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40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</w:t>
      </w:r>
      <w:r w:rsidR="008F72E5" w:rsidRPr="00620F01">
        <w:rPr>
          <w:lang w:val="bg-BG"/>
        </w:rPr>
        <w:t>Тъй като т</w:t>
      </w:r>
      <w:r w:rsidRPr="00620F01">
        <w:rPr>
          <w:lang w:val="bg-BG"/>
        </w:rPr>
        <w:t>върденията, за които жалбоподателят е осъден, са изразени в жалба срещу получен</w:t>
      </w:r>
      <w:r w:rsidR="001A2903" w:rsidRPr="00620F01">
        <w:rPr>
          <w:lang w:val="bg-BG"/>
        </w:rPr>
        <w:t xml:space="preserve">ите </w:t>
      </w:r>
      <w:r w:rsidRPr="00620F01">
        <w:rPr>
          <w:lang w:val="bg-BG"/>
        </w:rPr>
        <w:t xml:space="preserve">от него </w:t>
      </w:r>
      <w:r w:rsidR="001A2903" w:rsidRPr="00620F01">
        <w:rPr>
          <w:lang w:val="bg-BG"/>
        </w:rPr>
        <w:t xml:space="preserve">осъждане и </w:t>
      </w:r>
      <w:r w:rsidRPr="00620F01">
        <w:rPr>
          <w:lang w:val="bg-BG"/>
        </w:rPr>
        <w:t xml:space="preserve">присъда в предходно </w:t>
      </w:r>
      <w:r w:rsidR="001A2903" w:rsidRPr="00620F01">
        <w:rPr>
          <w:lang w:val="bg-BG"/>
        </w:rPr>
        <w:t xml:space="preserve">дело </w:t>
      </w:r>
      <w:r w:rsidRPr="00620F01">
        <w:rPr>
          <w:lang w:val="bg-BG"/>
        </w:rPr>
        <w:t>(вж</w:t>
      </w:r>
      <w:r w:rsidR="001A2903" w:rsidRPr="00620F01">
        <w:rPr>
          <w:lang w:val="bg-BG"/>
        </w:rPr>
        <w:t>.</w:t>
      </w:r>
      <w:r w:rsidRPr="00620F01">
        <w:rPr>
          <w:lang w:val="bg-BG"/>
        </w:rPr>
        <w:t xml:space="preserve"> параграф 7 по-горе)</w:t>
      </w:r>
      <w:r w:rsidR="001A2903" w:rsidRPr="00620F01">
        <w:rPr>
          <w:lang w:val="bg-BG"/>
        </w:rPr>
        <w:t xml:space="preserve">, </w:t>
      </w:r>
      <w:r w:rsidRPr="00620F01">
        <w:rPr>
          <w:lang w:val="bg-BG"/>
        </w:rPr>
        <w:t xml:space="preserve"> в настоящата оценка особена тежест трябва да се отдаде на следния фактор: наказанията, наложени във връзка с твърдения, изразени </w:t>
      </w:r>
      <w:r w:rsidR="004F7EAF" w:rsidRPr="00620F01">
        <w:rPr>
          <w:lang w:val="bg-BG"/>
        </w:rPr>
        <w:t xml:space="preserve">от обвиняемия или неговия адвокат </w:t>
      </w:r>
      <w:r w:rsidRPr="00620F01">
        <w:rPr>
          <w:lang w:val="bg-BG"/>
        </w:rPr>
        <w:t xml:space="preserve">в хода на </w:t>
      </w:r>
      <w:r w:rsidR="004F7EAF" w:rsidRPr="00620F01">
        <w:rPr>
          <w:lang w:val="bg-BG"/>
        </w:rPr>
        <w:t xml:space="preserve">наказателно </w:t>
      </w:r>
      <w:r w:rsidRPr="00620F01">
        <w:rPr>
          <w:lang w:val="bg-BG"/>
        </w:rPr>
        <w:t xml:space="preserve">производство, също могат да </w:t>
      </w:r>
      <w:r w:rsidR="000A658D" w:rsidRPr="00620F01">
        <w:rPr>
          <w:lang w:val="bg-BG"/>
        </w:rPr>
        <w:t>засегнат</w:t>
      </w:r>
      <w:r w:rsidRPr="00620F01">
        <w:rPr>
          <w:lang w:val="bg-BG"/>
        </w:rPr>
        <w:t xml:space="preserve"> </w:t>
      </w:r>
      <w:r w:rsidR="008E0718" w:rsidRPr="00620F01">
        <w:rPr>
          <w:lang w:val="bg-BG"/>
        </w:rPr>
        <w:t xml:space="preserve">и </w:t>
      </w:r>
      <w:r w:rsidRPr="00620F01">
        <w:rPr>
          <w:lang w:val="bg-BG"/>
        </w:rPr>
        <w:t xml:space="preserve">правото на справедлив процес, като </w:t>
      </w:r>
      <w:r w:rsidR="008E0718" w:rsidRPr="00620F01">
        <w:rPr>
          <w:lang w:val="bg-BG"/>
        </w:rPr>
        <w:t>разколебаят</w:t>
      </w:r>
      <w:r w:rsidRPr="00620F01">
        <w:rPr>
          <w:lang w:val="bg-BG"/>
        </w:rPr>
        <w:t xml:space="preserve"> обвиняемия и неговия адвокат да </w:t>
      </w:r>
      <w:r w:rsidR="00F60DA5" w:rsidRPr="00620F01">
        <w:rPr>
          <w:lang w:val="bg-BG"/>
        </w:rPr>
        <w:t>използват</w:t>
      </w:r>
      <w:r w:rsidRPr="00620F01">
        <w:rPr>
          <w:lang w:val="bg-BG"/>
        </w:rPr>
        <w:t xml:space="preserve"> </w:t>
      </w:r>
      <w:r w:rsidR="002A02A9" w:rsidRPr="00620F01">
        <w:rPr>
          <w:lang w:val="bg-BG"/>
        </w:rPr>
        <w:t xml:space="preserve">активна </w:t>
      </w:r>
      <w:r w:rsidRPr="00620F01">
        <w:rPr>
          <w:lang w:val="bg-BG"/>
        </w:rPr>
        <w:t xml:space="preserve">защита. </w:t>
      </w:r>
      <w:r w:rsidR="00F60DA5" w:rsidRPr="00620F01">
        <w:rPr>
          <w:lang w:val="bg-BG"/>
        </w:rPr>
        <w:t xml:space="preserve">Докато </w:t>
      </w:r>
      <w:r w:rsidRPr="00620F01">
        <w:rPr>
          <w:lang w:val="bg-BG"/>
        </w:rPr>
        <w:t xml:space="preserve">правото на свободно изразяване на </w:t>
      </w:r>
      <w:r w:rsidR="00F60DA5" w:rsidRPr="00620F01">
        <w:rPr>
          <w:lang w:val="bg-BG"/>
        </w:rPr>
        <w:t xml:space="preserve">мнение на </w:t>
      </w:r>
      <w:r w:rsidRPr="00620F01">
        <w:rPr>
          <w:lang w:val="bg-BG"/>
        </w:rPr>
        <w:t>обвиняем или неговия адвокат</w:t>
      </w:r>
      <w:r w:rsidR="002A02A9" w:rsidRPr="00620F01">
        <w:rPr>
          <w:lang w:val="bg-BG"/>
        </w:rPr>
        <w:t>,</w:t>
      </w:r>
      <w:r w:rsidRPr="00620F01">
        <w:rPr>
          <w:lang w:val="bg-BG"/>
        </w:rPr>
        <w:t xml:space="preserve"> </w:t>
      </w:r>
      <w:r w:rsidR="000D731D" w:rsidRPr="00620F01">
        <w:rPr>
          <w:lang w:val="bg-BG"/>
        </w:rPr>
        <w:t>във връзка с такива твърдения</w:t>
      </w:r>
      <w:r w:rsidR="002A02A9" w:rsidRPr="00620F01">
        <w:rPr>
          <w:lang w:val="bg-BG"/>
        </w:rPr>
        <w:t>,</w:t>
      </w:r>
      <w:r w:rsidR="000D731D" w:rsidRPr="00620F01">
        <w:rPr>
          <w:lang w:val="bg-BG"/>
        </w:rPr>
        <w:t xml:space="preserve"> </w:t>
      </w:r>
      <w:r w:rsidRPr="00620F01">
        <w:rPr>
          <w:lang w:val="bg-BG"/>
        </w:rPr>
        <w:t xml:space="preserve">да не е неограничено, </w:t>
      </w:r>
      <w:r w:rsidR="000D731D" w:rsidRPr="00620F01">
        <w:rPr>
          <w:lang w:val="bg-BG"/>
        </w:rPr>
        <w:t xml:space="preserve">то </w:t>
      </w:r>
      <w:r w:rsidR="000853C3" w:rsidRPr="00620F01">
        <w:rPr>
          <w:lang w:val="bg-BG"/>
        </w:rPr>
        <w:t xml:space="preserve">равнопоставеността </w:t>
      </w:r>
      <w:r w:rsidR="006176AF" w:rsidRPr="00620F01">
        <w:rPr>
          <w:lang w:val="bg-BG"/>
        </w:rPr>
        <w:t xml:space="preserve">и </w:t>
      </w:r>
      <w:r w:rsidR="006176AF" w:rsidRPr="00620F01">
        <w:rPr>
          <w:lang w:val="bg-BG"/>
        </w:rPr>
        <w:lastRenderedPageBreak/>
        <w:t xml:space="preserve">справедливостта </w:t>
      </w:r>
      <w:r w:rsidR="000853C3" w:rsidRPr="00620F01">
        <w:rPr>
          <w:lang w:val="bg-BG"/>
        </w:rPr>
        <w:t xml:space="preserve">като цяло </w:t>
      </w:r>
      <w:r w:rsidRPr="00620F01">
        <w:rPr>
          <w:lang w:val="bg-BG"/>
        </w:rPr>
        <w:t>предполага</w:t>
      </w:r>
      <w:r w:rsidR="006176AF" w:rsidRPr="00620F01">
        <w:rPr>
          <w:lang w:val="bg-BG"/>
        </w:rPr>
        <w:t>т</w:t>
      </w:r>
      <w:r w:rsidRPr="00620F01">
        <w:rPr>
          <w:lang w:val="bg-BG"/>
        </w:rPr>
        <w:t xml:space="preserve"> свободна и дори </w:t>
      </w:r>
      <w:r w:rsidR="002A02A9" w:rsidRPr="00620F01">
        <w:rPr>
          <w:lang w:val="bg-BG"/>
        </w:rPr>
        <w:t xml:space="preserve">по-силна </w:t>
      </w:r>
      <w:r w:rsidRPr="00620F01">
        <w:rPr>
          <w:lang w:val="bg-BG"/>
        </w:rPr>
        <w:t>размяна на арг</w:t>
      </w:r>
      <w:r w:rsidR="006176AF" w:rsidRPr="00620F01">
        <w:rPr>
          <w:lang w:val="bg-BG"/>
        </w:rPr>
        <w:t>ументи между страните по делото</w:t>
      </w:r>
      <w:r w:rsidR="00D563BD" w:rsidRPr="00620F01">
        <w:rPr>
          <w:lang w:val="bg-BG"/>
        </w:rPr>
        <w:t xml:space="preserve"> </w:t>
      </w:r>
      <w:r w:rsidRPr="00620F01">
        <w:rPr>
          <w:lang w:val="bg-BG"/>
        </w:rPr>
        <w:t>(вж</w:t>
      </w:r>
      <w:r w:rsidR="00D563BD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Nikula</w:t>
      </w:r>
      <w:proofErr w:type="spellEnd"/>
      <w:r w:rsidRPr="00620F01">
        <w:rPr>
          <w:lang w:val="bg-BG"/>
        </w:rPr>
        <w:t xml:space="preserve">, § 49; </w:t>
      </w:r>
      <w:proofErr w:type="spellStart"/>
      <w:r w:rsidRPr="00620F01">
        <w:rPr>
          <w:i/>
          <w:lang w:val="bg-BG"/>
        </w:rPr>
        <w:t>Steur</w:t>
      </w:r>
      <w:proofErr w:type="spellEnd"/>
      <w:r w:rsidRPr="00620F01">
        <w:rPr>
          <w:lang w:val="bg-BG"/>
        </w:rPr>
        <w:t xml:space="preserve">, § 44; и </w:t>
      </w:r>
      <w:proofErr w:type="spellStart"/>
      <w:r w:rsidRPr="00620F01">
        <w:rPr>
          <w:i/>
          <w:lang w:val="bg-BG"/>
        </w:rPr>
        <w:t>Kyprianou</w:t>
      </w:r>
      <w:proofErr w:type="spellEnd"/>
      <w:r w:rsidRPr="00620F01">
        <w:rPr>
          <w:lang w:val="bg-BG"/>
        </w:rPr>
        <w:t>,</w:t>
      </w:r>
      <w:r w:rsidRPr="00620F01">
        <w:rPr>
          <w:i/>
          <w:lang w:val="bg-BG"/>
        </w:rPr>
        <w:t xml:space="preserve"> </w:t>
      </w:r>
      <w:r w:rsidRPr="00620F01">
        <w:rPr>
          <w:lang w:val="bg-BG"/>
        </w:rPr>
        <w:t>§ 175, цитирани по-горе).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41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В случая на жалбоподателя едва ли може да се твърди, че използваните от него думи представляват по-скоро обида, отколкото критика (вж</w:t>
      </w:r>
      <w:r w:rsidR="00D563BD" w:rsidRPr="00620F01">
        <w:rPr>
          <w:lang w:val="bg-BG"/>
        </w:rPr>
        <w:t>.</w:t>
      </w:r>
      <w:r w:rsidRPr="00620F01">
        <w:rPr>
          <w:lang w:val="bg-BG"/>
        </w:rPr>
        <w:t xml:space="preserve"> параграф 7 по-горе). Освен това,  </w:t>
      </w:r>
      <w:r w:rsidR="00D563BD" w:rsidRPr="00620F01">
        <w:rPr>
          <w:lang w:val="bg-BG"/>
        </w:rPr>
        <w:t xml:space="preserve">обвинението на </w:t>
      </w:r>
      <w:r w:rsidRPr="00620F01">
        <w:rPr>
          <w:lang w:val="bg-BG"/>
        </w:rPr>
        <w:t>жалбоподателя</w:t>
      </w:r>
      <w:r w:rsidR="00D563BD" w:rsidRPr="00620F01">
        <w:rPr>
          <w:lang w:val="bg-BG"/>
        </w:rPr>
        <w:t>, вместо да бъде общо</w:t>
      </w:r>
      <w:r w:rsidR="005810EF" w:rsidRPr="00620F01">
        <w:rPr>
          <w:lang w:val="bg-BG"/>
        </w:rPr>
        <w:t>, то е</w:t>
      </w:r>
      <w:r w:rsidRPr="00620F01">
        <w:rPr>
          <w:lang w:val="bg-BG"/>
        </w:rPr>
        <w:t xml:space="preserve"> насочен</w:t>
      </w:r>
      <w:r w:rsidR="005810EF" w:rsidRPr="00620F01">
        <w:rPr>
          <w:lang w:val="bg-BG"/>
        </w:rPr>
        <w:t>о</w:t>
      </w:r>
      <w:r w:rsidRPr="00620F01">
        <w:rPr>
          <w:lang w:val="bg-BG"/>
        </w:rPr>
        <w:t xml:space="preserve"> към представянето на съдията в производството срещу него. Жалбоподателят посочва фактическата основа за своите резерви относно безпристрастността на съдията. Впоследствие тези </w:t>
      </w:r>
      <w:r w:rsidR="00F92E96" w:rsidRPr="00620F01">
        <w:rPr>
          <w:lang w:val="bg-BG"/>
        </w:rPr>
        <w:t xml:space="preserve">опасения </w:t>
      </w:r>
      <w:r w:rsidRPr="00620F01">
        <w:rPr>
          <w:lang w:val="bg-BG"/>
        </w:rPr>
        <w:t xml:space="preserve">са напълно потвърдени от апелативния съд, който </w:t>
      </w:r>
      <w:r w:rsidR="00F92E96" w:rsidRPr="00620F01">
        <w:rPr>
          <w:lang w:val="bg-BG"/>
        </w:rPr>
        <w:t xml:space="preserve">намира, че </w:t>
      </w:r>
      <w:r w:rsidRPr="00620F01">
        <w:rPr>
          <w:lang w:val="bg-BG"/>
        </w:rPr>
        <w:t>съдията е демонстрирал недопустим</w:t>
      </w:r>
      <w:r w:rsidR="00F92E96" w:rsidRPr="00620F01">
        <w:rPr>
          <w:lang w:val="bg-BG"/>
        </w:rPr>
        <w:t>о</w:t>
      </w:r>
      <w:r w:rsidRPr="00620F01">
        <w:rPr>
          <w:lang w:val="bg-BG"/>
        </w:rPr>
        <w:t xml:space="preserve"> пристрасти</w:t>
      </w:r>
      <w:r w:rsidR="00F92E96" w:rsidRPr="00620F01">
        <w:rPr>
          <w:lang w:val="bg-BG"/>
        </w:rPr>
        <w:t>е</w:t>
      </w:r>
      <w:r w:rsidRPr="00620F01">
        <w:rPr>
          <w:lang w:val="bg-BG"/>
        </w:rPr>
        <w:t xml:space="preserve"> и е трябвало да </w:t>
      </w:r>
      <w:r w:rsidR="00450582" w:rsidRPr="00620F01">
        <w:rPr>
          <w:lang w:val="bg-BG"/>
        </w:rPr>
        <w:t>направи</w:t>
      </w:r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самоотвод</w:t>
      </w:r>
      <w:proofErr w:type="spellEnd"/>
      <w:r w:rsidRPr="00620F01">
        <w:rPr>
          <w:lang w:val="bg-BG"/>
        </w:rPr>
        <w:t xml:space="preserve"> (вж</w:t>
      </w:r>
      <w:r w:rsidR="00450582" w:rsidRPr="00620F01">
        <w:rPr>
          <w:lang w:val="bg-BG"/>
        </w:rPr>
        <w:t>.</w:t>
      </w:r>
      <w:r w:rsidRPr="00620F01">
        <w:rPr>
          <w:lang w:val="bg-BG"/>
        </w:rPr>
        <w:t xml:space="preserve"> параграф 10 по-горе). Съдилищата, които са разглеждали делото за клевета, не коментират този въпрос (вж</w:t>
      </w:r>
      <w:r w:rsidR="00450582" w:rsidRPr="00620F01">
        <w:rPr>
          <w:lang w:val="bg-BG"/>
        </w:rPr>
        <w:t>.</w:t>
      </w:r>
      <w:r w:rsidRPr="00620F01">
        <w:rPr>
          <w:lang w:val="bg-BG"/>
        </w:rPr>
        <w:t xml:space="preserve"> параграфи 12 и 14 по-горе).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42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Твърдението на жалбоподателя, изразено в писмена жалба срещу получен</w:t>
      </w:r>
      <w:r w:rsidR="0035350C" w:rsidRPr="00620F01">
        <w:rPr>
          <w:lang w:val="bg-BG"/>
        </w:rPr>
        <w:t xml:space="preserve">ите </w:t>
      </w:r>
      <w:r w:rsidRPr="00620F01">
        <w:rPr>
          <w:lang w:val="bg-BG"/>
        </w:rPr>
        <w:t xml:space="preserve">от него </w:t>
      </w:r>
      <w:r w:rsidR="0035350C" w:rsidRPr="00620F01">
        <w:rPr>
          <w:lang w:val="bg-BG"/>
        </w:rPr>
        <w:t xml:space="preserve">осъждане и </w:t>
      </w:r>
      <w:r w:rsidRPr="00620F01">
        <w:rPr>
          <w:lang w:val="bg-BG"/>
        </w:rPr>
        <w:t xml:space="preserve">присъда, не е правено обществено достояние по никакъв начин. Следователно не представлява сериозна заплаха за авторитета и доброто име на съдията. </w:t>
      </w:r>
      <w:r w:rsidR="0035350C" w:rsidRPr="00620F01">
        <w:rPr>
          <w:lang w:val="bg-BG"/>
        </w:rPr>
        <w:t xml:space="preserve">Нито </w:t>
      </w:r>
      <w:r w:rsidRPr="00620F01">
        <w:rPr>
          <w:lang w:val="bg-BG"/>
        </w:rPr>
        <w:t>може да се твърди</w:t>
      </w:r>
      <w:r w:rsidR="0035350C" w:rsidRPr="00620F01">
        <w:rPr>
          <w:lang w:val="bg-BG"/>
        </w:rPr>
        <w:t>,</w:t>
      </w:r>
      <w:r w:rsidRPr="00620F01">
        <w:rPr>
          <w:lang w:val="bg-BG"/>
        </w:rPr>
        <w:t xml:space="preserve"> че </w:t>
      </w:r>
      <w:r w:rsidR="00783F08" w:rsidRPr="00620F01">
        <w:rPr>
          <w:lang w:val="bg-BG"/>
        </w:rPr>
        <w:t xml:space="preserve"> е могло </w:t>
      </w:r>
      <w:r w:rsidRPr="00620F01">
        <w:rPr>
          <w:lang w:val="bg-BG"/>
        </w:rPr>
        <w:t>да се отрази сериозно върху професионалн</w:t>
      </w:r>
      <w:r w:rsidR="00783F08" w:rsidRPr="00620F01">
        <w:rPr>
          <w:lang w:val="bg-BG"/>
        </w:rPr>
        <w:t>ата</w:t>
      </w:r>
      <w:r w:rsidRPr="00620F01">
        <w:rPr>
          <w:lang w:val="bg-BG"/>
        </w:rPr>
        <w:t xml:space="preserve"> </w:t>
      </w:r>
      <w:r w:rsidR="00783F08" w:rsidRPr="00620F01">
        <w:rPr>
          <w:lang w:val="bg-BG"/>
        </w:rPr>
        <w:t xml:space="preserve">репутация </w:t>
      </w:r>
      <w:r w:rsidRPr="00620F01">
        <w:rPr>
          <w:lang w:val="bg-BG"/>
        </w:rPr>
        <w:t xml:space="preserve">на съдията, да отнеме от времето и ресурсите му или да доведе до дисциплинарни или други наказания спрямо него. </w:t>
      </w:r>
    </w:p>
    <w:p w:rsidR="00B958F3" w:rsidRPr="00620F01" w:rsidRDefault="00B958F3" w:rsidP="00C70F9F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43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В този контекст трябва да се отбележи и че жалбоподателят не е </w:t>
      </w:r>
      <w:r w:rsidR="00783F08" w:rsidRPr="00620F01">
        <w:rPr>
          <w:lang w:val="bg-BG"/>
        </w:rPr>
        <w:t>адвокат</w:t>
      </w:r>
      <w:r w:rsidRPr="00620F01">
        <w:rPr>
          <w:lang w:val="bg-BG"/>
        </w:rPr>
        <w:t xml:space="preserve">. </w:t>
      </w:r>
      <w:r w:rsidR="00783F08" w:rsidRPr="00620F01">
        <w:rPr>
          <w:lang w:val="bg-BG"/>
        </w:rPr>
        <w:t xml:space="preserve">Адвокатите </w:t>
      </w:r>
      <w:r w:rsidRPr="00620F01">
        <w:rPr>
          <w:lang w:val="bg-BG"/>
        </w:rPr>
        <w:t>имат специални „задължения и отговорности“ в упражняването на правото си на свободно изказване на мнени</w:t>
      </w:r>
      <w:r w:rsidR="009B2CEA" w:rsidRPr="00620F01">
        <w:rPr>
          <w:lang w:val="bg-BG"/>
        </w:rPr>
        <w:t>е</w:t>
      </w:r>
      <w:r w:rsidRPr="00620F01">
        <w:rPr>
          <w:lang w:val="bg-BG"/>
        </w:rPr>
        <w:t xml:space="preserve"> (вж</w:t>
      </w:r>
      <w:r w:rsidR="009B2CEA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Nikula</w:t>
      </w:r>
      <w:proofErr w:type="spellEnd"/>
      <w:r w:rsidRPr="00620F01">
        <w:rPr>
          <w:lang w:val="bg-BG"/>
        </w:rPr>
        <w:t xml:space="preserve">, § 45; </w:t>
      </w:r>
      <w:proofErr w:type="spellStart"/>
      <w:r w:rsidRPr="00620F01">
        <w:rPr>
          <w:i/>
          <w:lang w:val="bg-BG"/>
        </w:rPr>
        <w:t>Steur</w:t>
      </w:r>
      <w:proofErr w:type="spellEnd"/>
      <w:r w:rsidRPr="00620F01">
        <w:rPr>
          <w:lang w:val="bg-BG"/>
        </w:rPr>
        <w:t xml:space="preserve">, § 37; </w:t>
      </w:r>
      <w:proofErr w:type="spellStart"/>
      <w:r w:rsidRPr="00620F01">
        <w:rPr>
          <w:i/>
          <w:lang w:val="bg-BG"/>
        </w:rPr>
        <w:t>Fuchs</w:t>
      </w:r>
      <w:proofErr w:type="spellEnd"/>
      <w:r w:rsidRPr="00620F01">
        <w:rPr>
          <w:lang w:val="bg-BG"/>
        </w:rPr>
        <w:t xml:space="preserve">, § 39; и </w:t>
      </w:r>
      <w:proofErr w:type="spellStart"/>
      <w:r w:rsidRPr="00620F01">
        <w:rPr>
          <w:i/>
          <w:lang w:val="bg-BG"/>
        </w:rPr>
        <w:t>Morice</w:t>
      </w:r>
      <w:proofErr w:type="spellEnd"/>
      <w:r w:rsidRPr="00620F01">
        <w:rPr>
          <w:lang w:val="bg-BG"/>
        </w:rPr>
        <w:t xml:space="preserve">, </w:t>
      </w:r>
      <w:r w:rsidRPr="00620F01">
        <w:rPr>
          <w:snapToGrid w:val="0"/>
          <w:lang w:val="bg-BG"/>
        </w:rPr>
        <w:t xml:space="preserve">§§ 132-39, </w:t>
      </w:r>
      <w:r w:rsidRPr="00620F01">
        <w:rPr>
          <w:lang w:val="bg-BG"/>
        </w:rPr>
        <w:t xml:space="preserve">цитирани по-горе). Не може да се очаква </w:t>
      </w:r>
      <w:proofErr w:type="spellStart"/>
      <w:r w:rsidRPr="00620F01">
        <w:rPr>
          <w:lang w:val="bg-BG"/>
        </w:rPr>
        <w:t>непредставляваните</w:t>
      </w:r>
      <w:proofErr w:type="spellEnd"/>
      <w:r w:rsidRPr="00620F01">
        <w:rPr>
          <w:lang w:val="bg-BG"/>
        </w:rPr>
        <w:t xml:space="preserve"> страни по делото да следват същия стандарт на поведение</w:t>
      </w:r>
      <w:r w:rsidR="009B2CEA" w:rsidRPr="00620F01">
        <w:rPr>
          <w:lang w:val="bg-BG"/>
        </w:rPr>
        <w:t xml:space="preserve"> и трябва п</w:t>
      </w:r>
      <w:r w:rsidRPr="00620F01">
        <w:rPr>
          <w:lang w:val="bg-BG"/>
        </w:rPr>
        <w:t>о принцип да имат възможност да се защитават по делото без риск от наказа</w:t>
      </w:r>
      <w:r w:rsidR="00C16C17" w:rsidRPr="00620F01">
        <w:rPr>
          <w:lang w:val="bg-BG"/>
        </w:rPr>
        <w:t>телни санкции</w:t>
      </w:r>
      <w:r w:rsidRPr="00620F01">
        <w:rPr>
          <w:lang w:val="bg-BG"/>
        </w:rPr>
        <w:t>, дори и твърденията им да се окажат необосновани.</w:t>
      </w:r>
      <w:r w:rsidR="00C70F9F" w:rsidRPr="00620F01">
        <w:rPr>
          <w:lang w:val="bg-BG"/>
        </w:rPr>
        <w:t xml:space="preserve"> </w:t>
      </w:r>
      <w:r w:rsidRPr="00620F01">
        <w:rPr>
          <w:lang w:val="bg-BG"/>
        </w:rPr>
        <w:t xml:space="preserve">Наказателните съдилища обикновено разполагат с други </w:t>
      </w:r>
      <w:r w:rsidR="00CE5815" w:rsidRPr="00620F01">
        <w:rPr>
          <w:lang w:val="bg-BG"/>
        </w:rPr>
        <w:t>средства</w:t>
      </w:r>
      <w:r w:rsidRPr="00620F01">
        <w:rPr>
          <w:lang w:val="bg-BG"/>
        </w:rPr>
        <w:t>, посредством които да се справят с явно неверни или обидни твърдения, изразени в писмени становища, и</w:t>
      </w:r>
      <w:r w:rsidR="00CE5815" w:rsidRPr="00620F01">
        <w:rPr>
          <w:lang w:val="bg-BG"/>
        </w:rPr>
        <w:t>ли</w:t>
      </w:r>
      <w:r w:rsidRPr="00620F01">
        <w:rPr>
          <w:lang w:val="bg-BG"/>
        </w:rPr>
        <w:t xml:space="preserve"> с</w:t>
      </w:r>
      <w:r w:rsidR="005A6F87" w:rsidRPr="00620F01">
        <w:rPr>
          <w:lang w:val="bg-BG"/>
        </w:rPr>
        <w:t>ъс</w:t>
      </w:r>
      <w:r w:rsidRPr="00620F01">
        <w:rPr>
          <w:lang w:val="bg-BG"/>
        </w:rPr>
        <w:t xml:space="preserve"> </w:t>
      </w:r>
      <w:r w:rsidR="006E5598" w:rsidRPr="00620F01">
        <w:rPr>
          <w:lang w:val="bg-BG"/>
        </w:rPr>
        <w:t xml:space="preserve">смущаващо </w:t>
      </w:r>
      <w:r w:rsidRPr="00620F01">
        <w:rPr>
          <w:lang w:val="bg-BG"/>
        </w:rPr>
        <w:t>поведение в съдебната зала от страна на обвиняемия (вж</w:t>
      </w:r>
      <w:r w:rsidR="006E5598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Nikula</w:t>
      </w:r>
      <w:proofErr w:type="spellEnd"/>
      <w:r w:rsidRPr="00620F01">
        <w:rPr>
          <w:lang w:val="bg-BG"/>
        </w:rPr>
        <w:t>, цитирано по-горе, § 53).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44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Въпреки това жалбоподателят е </w:t>
      </w:r>
      <w:r w:rsidR="006E5598" w:rsidRPr="00620F01">
        <w:rPr>
          <w:lang w:val="bg-BG"/>
        </w:rPr>
        <w:t>трябвало да</w:t>
      </w:r>
      <w:r w:rsidR="005A6F87" w:rsidRPr="00620F01">
        <w:rPr>
          <w:lang w:val="bg-BG"/>
        </w:rPr>
        <w:t xml:space="preserve"> </w:t>
      </w:r>
      <w:r w:rsidR="006E5598" w:rsidRPr="00620F01">
        <w:rPr>
          <w:lang w:val="bg-BG"/>
        </w:rPr>
        <w:t xml:space="preserve">понесе сериозни последици </w:t>
      </w:r>
      <w:r w:rsidRPr="00620F01">
        <w:rPr>
          <w:lang w:val="bg-BG"/>
        </w:rPr>
        <w:t>за своите твърдения. Наложени са му наказателна присъда и съществена глоба, която дори след като е намалена о</w:t>
      </w:r>
      <w:r w:rsidR="00C70F9F" w:rsidRPr="00620F01">
        <w:rPr>
          <w:lang w:val="bg-BG"/>
        </w:rPr>
        <w:t>т апелативния съд, възлиза на 2</w:t>
      </w:r>
      <w:r w:rsidRPr="00620F01">
        <w:rPr>
          <w:lang w:val="bg-BG"/>
        </w:rPr>
        <w:t xml:space="preserve">500 лв. </w:t>
      </w:r>
      <w:r w:rsidR="00C70F9F" w:rsidRPr="00620F01">
        <w:rPr>
          <w:lang w:val="bg-BG"/>
        </w:rPr>
        <w:t>(1</w:t>
      </w:r>
      <w:r w:rsidRPr="00620F01">
        <w:rPr>
          <w:lang w:val="bg-BG"/>
        </w:rPr>
        <w:t>278 евро) (вж</w:t>
      </w:r>
      <w:r w:rsidR="00727143" w:rsidRPr="00620F01">
        <w:rPr>
          <w:lang w:val="bg-BG"/>
        </w:rPr>
        <w:t>.</w:t>
      </w:r>
      <w:r w:rsidRPr="00620F01">
        <w:rPr>
          <w:lang w:val="bg-BG"/>
        </w:rPr>
        <w:t xml:space="preserve"> параграф </w:t>
      </w:r>
      <w:r w:rsidRPr="00620F01">
        <w:rPr>
          <w:noProof/>
          <w:lang w:val="bg-BG"/>
        </w:rPr>
        <w:t>14</w:t>
      </w:r>
      <w:r w:rsidRPr="00620F01">
        <w:rPr>
          <w:lang w:val="bg-BG"/>
        </w:rPr>
        <w:t xml:space="preserve"> по-горе). Съдът счита, че наложените мерки са възпрели жалбоподателя да оспори присъдата, като постави под съмнение безпристрастността на съдията, който я е произнесъл. 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45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С оглед на описаните по-горе съображения Съдът заключва, че присъдата за клевета на жалбоподателя представлява несъразмерн</w:t>
      </w:r>
      <w:r w:rsidR="00727143" w:rsidRPr="00620F01">
        <w:rPr>
          <w:lang w:val="bg-BG"/>
        </w:rPr>
        <w:t>а</w:t>
      </w:r>
      <w:r w:rsidRPr="00620F01">
        <w:rPr>
          <w:lang w:val="bg-BG"/>
        </w:rPr>
        <w:t xml:space="preserve"> </w:t>
      </w:r>
      <w:r w:rsidR="00727143" w:rsidRPr="00620F01">
        <w:rPr>
          <w:lang w:val="bg-BG"/>
        </w:rPr>
        <w:t xml:space="preserve">намеса </w:t>
      </w:r>
      <w:r w:rsidRPr="00620F01">
        <w:rPr>
          <w:lang w:val="bg-BG"/>
        </w:rPr>
        <w:t>в правото му на свободно изразяване</w:t>
      </w:r>
      <w:r w:rsidR="00727143" w:rsidRPr="00620F01">
        <w:rPr>
          <w:lang w:val="bg-BG"/>
        </w:rPr>
        <w:t xml:space="preserve"> на мнение</w:t>
      </w:r>
      <w:r w:rsidRPr="00620F01">
        <w:rPr>
          <w:lang w:val="bg-BG"/>
        </w:rPr>
        <w:t xml:space="preserve"> и </w:t>
      </w:r>
      <w:r w:rsidR="00727143" w:rsidRPr="00620F01">
        <w:rPr>
          <w:lang w:val="bg-BG"/>
        </w:rPr>
        <w:t xml:space="preserve">следователно </w:t>
      </w:r>
      <w:r w:rsidRPr="00620F01">
        <w:rPr>
          <w:lang w:val="bg-BG"/>
        </w:rPr>
        <w:lastRenderedPageBreak/>
        <w:t xml:space="preserve">не е „необходима в демократично общество“. </w:t>
      </w:r>
      <w:r w:rsidR="00727143" w:rsidRPr="00620F01">
        <w:rPr>
          <w:lang w:val="bg-BG"/>
        </w:rPr>
        <w:t>Съобразно с това е налице</w:t>
      </w:r>
      <w:r w:rsidR="00734A55" w:rsidRPr="00620F01">
        <w:rPr>
          <w:lang w:val="bg-BG"/>
        </w:rPr>
        <w:t xml:space="preserve"> нарушение на</w:t>
      </w:r>
      <w:r w:rsidRPr="00620F01">
        <w:rPr>
          <w:lang w:val="bg-BG"/>
        </w:rPr>
        <w:t xml:space="preserve"> чл. 10 от Конвенцията.  </w:t>
      </w:r>
    </w:p>
    <w:p w:rsidR="00B958F3" w:rsidRPr="00620F01" w:rsidRDefault="00B958F3" w:rsidP="00B958F3">
      <w:pPr>
        <w:pStyle w:val="ECHRHeading1"/>
        <w:outlineLvl w:val="1"/>
        <w:rPr>
          <w:lang w:val="bg-BG"/>
        </w:rPr>
      </w:pPr>
      <w:r w:rsidRPr="00620F01">
        <w:rPr>
          <w:lang w:val="bg-BG"/>
        </w:rPr>
        <w:t xml:space="preserve">II.  ПРИЛОЖЕНИЕ НА ЧЛ 41 ОТ КОНВЕНЦИЯТА </w:t>
      </w:r>
    </w:p>
    <w:p w:rsidR="00B958F3" w:rsidRPr="00620F01" w:rsidRDefault="00B958F3" w:rsidP="00B958F3">
      <w:pPr>
        <w:pStyle w:val="ECHRPara"/>
        <w:keepNext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46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Чл. 41 от Конвенцията </w:t>
      </w:r>
      <w:r w:rsidR="00C4727C" w:rsidRPr="00620F01">
        <w:rPr>
          <w:lang w:val="bg-BG"/>
        </w:rPr>
        <w:t>гласи</w:t>
      </w:r>
      <w:r w:rsidRPr="00620F01">
        <w:rPr>
          <w:lang w:val="bg-BG"/>
        </w:rPr>
        <w:t xml:space="preserve">: </w:t>
      </w:r>
    </w:p>
    <w:p w:rsidR="00B958F3" w:rsidRPr="00620F01" w:rsidRDefault="00C70F9F" w:rsidP="00B958F3">
      <w:pPr>
        <w:pStyle w:val="ECHRParaQuote"/>
        <w:keepLines/>
        <w:rPr>
          <w:lang w:val="bg-BG"/>
        </w:rPr>
      </w:pPr>
      <w:r w:rsidRPr="00620F01">
        <w:rPr>
          <w:lang w:val="bg-BG"/>
        </w:rPr>
        <w:t>„</w:t>
      </w:r>
      <w:r w:rsidR="00B958F3" w:rsidRPr="00620F01">
        <w:rPr>
          <w:lang w:val="bg-BG"/>
        </w:rPr>
        <w:t xml:space="preserve">Ако Съдът установи нарушение на Конвенцията или на Протоколите към нея и ако вътрешното право на съответната </w:t>
      </w:r>
      <w:proofErr w:type="spellStart"/>
      <w:r w:rsidR="00B958F3" w:rsidRPr="00620F01">
        <w:rPr>
          <w:lang w:val="bg-BG"/>
        </w:rPr>
        <w:t>Βисокодоговаряща</w:t>
      </w:r>
      <w:proofErr w:type="spellEnd"/>
      <w:r w:rsidR="00B958F3" w:rsidRPr="00620F01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Pr="00620F01">
        <w:rPr>
          <w:lang w:val="bg-BG"/>
        </w:rPr>
        <w:t>.</w:t>
      </w:r>
      <w:r w:rsidR="00B958F3" w:rsidRPr="00620F01">
        <w:rPr>
          <w:lang w:val="bg-BG"/>
        </w:rPr>
        <w:t>”</w:t>
      </w:r>
    </w:p>
    <w:p w:rsidR="00B958F3" w:rsidRPr="00620F01" w:rsidRDefault="00B958F3" w:rsidP="00B958F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A.  </w:t>
      </w:r>
      <w:r w:rsidR="00C4727C" w:rsidRPr="00620F01">
        <w:rPr>
          <w:lang w:val="bg-BG"/>
        </w:rPr>
        <w:t xml:space="preserve">Обезщетение </w:t>
      </w:r>
      <w:r w:rsidR="00C70F9F" w:rsidRPr="00620F01">
        <w:rPr>
          <w:lang w:val="bg-BG"/>
        </w:rPr>
        <w:t>за вреди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47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Жалбоподателят претендира 50 000 евро </w:t>
      </w:r>
      <w:r w:rsidR="00C70F9F" w:rsidRPr="00620F01">
        <w:rPr>
          <w:lang w:val="bg-BG"/>
        </w:rPr>
        <w:t xml:space="preserve">имуществени вреди и 50 000 евро </w:t>
      </w:r>
      <w:r w:rsidRPr="00620F01">
        <w:rPr>
          <w:lang w:val="bg-BG"/>
        </w:rPr>
        <w:t xml:space="preserve">неимуществени вреди. 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48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Правителството счита това искане за прекомерн</w:t>
      </w:r>
      <w:r w:rsidR="00557515" w:rsidRPr="00620F01">
        <w:rPr>
          <w:lang w:val="bg-BG"/>
        </w:rPr>
        <w:t>о</w:t>
      </w:r>
      <w:r w:rsidRPr="00620F01">
        <w:rPr>
          <w:lang w:val="bg-BG"/>
        </w:rPr>
        <w:t xml:space="preserve"> и </w:t>
      </w:r>
      <w:r w:rsidR="00C70F9F" w:rsidRPr="00620F01">
        <w:rPr>
          <w:lang w:val="bg-BG"/>
        </w:rPr>
        <w:t xml:space="preserve">несъразмерно </w:t>
      </w:r>
      <w:r w:rsidRPr="00620F01">
        <w:rPr>
          <w:lang w:val="bg-BG"/>
        </w:rPr>
        <w:t xml:space="preserve">със сумите, присъждани от Съда в подобни предходни случаи. Според Правителството установяването на нарушение би било достатъчно справедливо </w:t>
      </w:r>
      <w:r w:rsidR="00B3383B" w:rsidRPr="00620F01">
        <w:rPr>
          <w:lang w:val="bg-BG"/>
        </w:rPr>
        <w:t xml:space="preserve">обезщетение </w:t>
      </w:r>
      <w:r w:rsidRPr="00620F01">
        <w:rPr>
          <w:lang w:val="bg-BG"/>
        </w:rPr>
        <w:t xml:space="preserve">за претърпените от жалбоподателя вреди.  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49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</w:t>
      </w:r>
      <w:r w:rsidR="00734A55" w:rsidRPr="00620F01">
        <w:rPr>
          <w:lang w:val="bg-BG"/>
        </w:rPr>
        <w:t>Установяването на нарушение на</w:t>
      </w:r>
      <w:r w:rsidRPr="00620F01">
        <w:rPr>
          <w:lang w:val="bg-BG"/>
        </w:rPr>
        <w:t xml:space="preserve"> чл. 10 от Конвенцията се основава на факта, че жалбоподателят е бил подведен под наказателна отговорност за това, че е изразил твърдението си. Следователно</w:t>
      </w:r>
      <w:r w:rsidR="00027F13" w:rsidRPr="00620F01">
        <w:rPr>
          <w:lang w:val="bg-BG"/>
        </w:rPr>
        <w:t>, по принцип, той има право</w:t>
      </w:r>
      <w:r w:rsidRPr="00620F01">
        <w:rPr>
          <w:lang w:val="bg-BG"/>
        </w:rPr>
        <w:t xml:space="preserve"> да му бъдат възстановени сумите, които е платил за глоби и разходи в резултат на издадените решения срещу него (вж</w:t>
      </w:r>
      <w:r w:rsidR="00027F13" w:rsidRPr="00620F01">
        <w:rPr>
          <w:lang w:val="bg-BG"/>
        </w:rPr>
        <w:t>.</w:t>
      </w:r>
      <w:r w:rsidRPr="00620F01">
        <w:rPr>
          <w:lang w:val="bg-BG"/>
        </w:rPr>
        <w:t xml:space="preserve">, сред други решения, </w:t>
      </w:r>
      <w:proofErr w:type="spellStart"/>
      <w:r w:rsidRPr="00620F01">
        <w:rPr>
          <w:i/>
          <w:lang w:val="bg-BG"/>
        </w:rPr>
        <w:t>Lingens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Austria</w:t>
      </w:r>
      <w:proofErr w:type="spellEnd"/>
      <w:r w:rsidRPr="00620F01">
        <w:rPr>
          <w:lang w:val="bg-BG"/>
        </w:rPr>
        <w:t xml:space="preserve">, 8 юли 1986 г., § 50, Серия A № 103; </w:t>
      </w:r>
      <w:proofErr w:type="spellStart"/>
      <w:r w:rsidRPr="00620F01">
        <w:rPr>
          <w:lang w:val="bg-BG"/>
        </w:rPr>
        <w:t>Bladet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Tromsø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and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Stensaas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Norway</w:t>
      </w:r>
      <w:proofErr w:type="spellEnd"/>
      <w:r w:rsidR="00C70F9F" w:rsidRPr="00620F01">
        <w:rPr>
          <w:lang w:val="bg-BG"/>
        </w:rPr>
        <w:t xml:space="preserve"> [GC</w:t>
      </w:r>
      <w:r w:rsidRPr="00620F01">
        <w:rPr>
          <w:lang w:val="bg-BG"/>
        </w:rPr>
        <w:t xml:space="preserve">], № 21980/93, §§ 75 и 77, ЕСПЧ 1999-III; и </w:t>
      </w:r>
      <w:proofErr w:type="spellStart"/>
      <w:r w:rsidRPr="00620F01">
        <w:rPr>
          <w:i/>
          <w:lang w:val="bg-BG"/>
        </w:rPr>
        <w:t>Axel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Springer</w:t>
      </w:r>
      <w:proofErr w:type="spellEnd"/>
      <w:r w:rsidRPr="00620F01">
        <w:rPr>
          <w:i/>
          <w:lang w:val="bg-BG"/>
        </w:rPr>
        <w:t xml:space="preserve"> AG v. </w:t>
      </w:r>
      <w:proofErr w:type="spellStart"/>
      <w:r w:rsidRPr="00620F01">
        <w:rPr>
          <w:i/>
          <w:lang w:val="bg-BG"/>
        </w:rPr>
        <w:t>Germany</w:t>
      </w:r>
      <w:proofErr w:type="spellEnd"/>
      <w:r w:rsidR="00C70F9F" w:rsidRPr="00620F01">
        <w:rPr>
          <w:lang w:val="bg-BG"/>
        </w:rPr>
        <w:t xml:space="preserve"> [GC</w:t>
      </w:r>
      <w:r w:rsidRPr="00620F01">
        <w:rPr>
          <w:lang w:val="bg-BG"/>
        </w:rPr>
        <w:t>], № 39954/08</w:t>
      </w:r>
      <w:r w:rsidRPr="00620F01">
        <w:rPr>
          <w:snapToGrid w:val="0"/>
          <w:szCs w:val="24"/>
          <w:lang w:val="bg-BG"/>
        </w:rPr>
        <w:t xml:space="preserve">, §§ 113 и 115, </w:t>
      </w:r>
      <w:r w:rsidRPr="00620F01">
        <w:rPr>
          <w:szCs w:val="24"/>
          <w:lang w:val="bg-BG"/>
        </w:rPr>
        <w:t>7</w:t>
      </w:r>
      <w:r w:rsidRPr="00620F01">
        <w:rPr>
          <w:snapToGrid w:val="0"/>
          <w:szCs w:val="24"/>
          <w:lang w:val="bg-BG"/>
        </w:rPr>
        <w:t xml:space="preserve"> февруари 2012 г.</w:t>
      </w:r>
      <w:r w:rsidRPr="00620F01">
        <w:rPr>
          <w:lang w:val="bg-BG"/>
        </w:rPr>
        <w:t>). Жалбоподателят обаче не представя доказателств</w:t>
      </w:r>
      <w:r w:rsidR="00B57784" w:rsidRPr="00620F01">
        <w:rPr>
          <w:lang w:val="bg-BG"/>
        </w:rPr>
        <w:t>а</w:t>
      </w:r>
      <w:r w:rsidRPr="00620F01">
        <w:rPr>
          <w:lang w:val="bg-BG"/>
        </w:rPr>
        <w:t xml:space="preserve"> за това, че действително е платил въпросните суми. Следователно няма причина да му бъде присъдено обезщетение в това отношение (вж</w:t>
      </w:r>
      <w:r w:rsidR="00B57784" w:rsidRPr="00620F01">
        <w:rPr>
          <w:lang w:val="bg-BG"/>
        </w:rPr>
        <w:t>.</w:t>
      </w:r>
      <w:r w:rsidRPr="00620F01">
        <w:rPr>
          <w:lang w:val="bg-BG"/>
        </w:rPr>
        <w:t xml:space="preserve"> </w:t>
      </w:r>
      <w:proofErr w:type="spellStart"/>
      <w:r w:rsidRPr="00620F01">
        <w:rPr>
          <w:i/>
          <w:lang w:val="bg-BG"/>
        </w:rPr>
        <w:t>Erdoğdu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and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İnce</w:t>
      </w:r>
      <w:proofErr w:type="spellEnd"/>
      <w:r w:rsidRPr="00620F01">
        <w:rPr>
          <w:i/>
          <w:lang w:val="bg-BG"/>
        </w:rPr>
        <w:t xml:space="preserve"> v. </w:t>
      </w:r>
      <w:proofErr w:type="spellStart"/>
      <w:r w:rsidRPr="00620F01">
        <w:rPr>
          <w:i/>
          <w:lang w:val="bg-BG"/>
        </w:rPr>
        <w:t>Turkey</w:t>
      </w:r>
      <w:proofErr w:type="spellEnd"/>
      <w:r w:rsidR="00C70F9F" w:rsidRPr="00620F01">
        <w:rPr>
          <w:lang w:val="bg-BG"/>
        </w:rPr>
        <w:t xml:space="preserve"> [GC</w:t>
      </w:r>
      <w:r w:rsidRPr="00620F01">
        <w:rPr>
          <w:lang w:val="bg-BG"/>
        </w:rPr>
        <w:t xml:space="preserve">], № 25067/94 и 25068/94, § 64, ЕСПЧ 1999-IV; </w:t>
      </w:r>
      <w:r w:rsidR="00B57784" w:rsidRPr="00620F01">
        <w:rPr>
          <w:i/>
          <w:iCs/>
          <w:lang w:val="bg-BG"/>
        </w:rPr>
        <w:t>Йорданова и Цонев срещу България</w:t>
      </w:r>
      <w:r w:rsidRPr="00620F01">
        <w:rPr>
          <w:lang w:val="bg-BG"/>
        </w:rPr>
        <w:t xml:space="preserve">, № 5126/05, § 78, 2 октомври 2012 г.; и </w:t>
      </w:r>
      <w:proofErr w:type="spellStart"/>
      <w:r w:rsidRPr="00620F01">
        <w:rPr>
          <w:i/>
          <w:lang w:val="bg-BG"/>
        </w:rPr>
        <w:t>Couderc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and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Hachette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Filipacchi</w:t>
      </w:r>
      <w:proofErr w:type="spellEnd"/>
      <w:r w:rsidRPr="00620F01">
        <w:rPr>
          <w:i/>
          <w:lang w:val="bg-BG"/>
        </w:rPr>
        <w:t xml:space="preserve"> </w:t>
      </w:r>
      <w:proofErr w:type="spellStart"/>
      <w:r w:rsidRPr="00620F01">
        <w:rPr>
          <w:i/>
          <w:lang w:val="bg-BG"/>
        </w:rPr>
        <w:t>Associés</w:t>
      </w:r>
      <w:proofErr w:type="spellEnd"/>
      <w:r w:rsidRPr="00620F01">
        <w:rPr>
          <w:lang w:val="bg-BG"/>
        </w:rPr>
        <w:t xml:space="preserve"> </w:t>
      </w:r>
      <w:r w:rsidRPr="00620F01">
        <w:rPr>
          <w:i/>
          <w:lang w:val="bg-BG"/>
        </w:rPr>
        <w:t xml:space="preserve">v. </w:t>
      </w:r>
      <w:proofErr w:type="spellStart"/>
      <w:r w:rsidRPr="00620F01">
        <w:rPr>
          <w:i/>
          <w:lang w:val="bg-BG"/>
        </w:rPr>
        <w:t>France</w:t>
      </w:r>
      <w:proofErr w:type="spellEnd"/>
      <w:r w:rsidRPr="00620F01">
        <w:rPr>
          <w:i/>
          <w:lang w:val="bg-BG"/>
        </w:rPr>
        <w:t xml:space="preserve"> </w:t>
      </w:r>
      <w:r w:rsidR="00C70F9F" w:rsidRPr="00620F01">
        <w:rPr>
          <w:lang w:val="bg-BG"/>
        </w:rPr>
        <w:t>[GC</w:t>
      </w:r>
      <w:r w:rsidRPr="00620F01">
        <w:rPr>
          <w:lang w:val="bg-BG"/>
        </w:rPr>
        <w:t>], № 40454/07, § 157, 10 ноември 2015 г.).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50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От друга страна, жалбоподателят </w:t>
      </w:r>
      <w:r w:rsidR="001C2B19" w:rsidRPr="00620F01">
        <w:rPr>
          <w:lang w:val="bg-BG"/>
        </w:rPr>
        <w:t xml:space="preserve">несъмнено </w:t>
      </w:r>
      <w:r w:rsidRPr="00620F01">
        <w:rPr>
          <w:lang w:val="bg-BG"/>
        </w:rPr>
        <w:t>е претърпял неимуществени вреди вследствие на решенията, които са го подвели под наказателна отговорност за това, че е упражн</w:t>
      </w:r>
      <w:r w:rsidR="001C2B19" w:rsidRPr="00620F01">
        <w:rPr>
          <w:lang w:val="bg-BG"/>
        </w:rPr>
        <w:t>и</w:t>
      </w:r>
      <w:r w:rsidRPr="00620F01">
        <w:rPr>
          <w:lang w:val="bg-BG"/>
        </w:rPr>
        <w:t>л правото си на свобода на изразяване на мнени</w:t>
      </w:r>
      <w:r w:rsidR="001C2B19" w:rsidRPr="00620F01">
        <w:rPr>
          <w:lang w:val="bg-BG"/>
        </w:rPr>
        <w:t>е</w:t>
      </w:r>
      <w:r w:rsidRPr="00620F01">
        <w:rPr>
          <w:lang w:val="bg-BG"/>
        </w:rPr>
        <w:t xml:space="preserve">. Произнасяйки се по справедливост, както се изисква съгласно чл. 41 от Конвенцията, Съдът </w:t>
      </w:r>
      <w:r w:rsidR="001C2B19" w:rsidRPr="00620F01">
        <w:rPr>
          <w:lang w:val="bg-BG"/>
        </w:rPr>
        <w:t xml:space="preserve">му </w:t>
      </w:r>
      <w:r w:rsidRPr="00620F01">
        <w:rPr>
          <w:lang w:val="bg-BG"/>
        </w:rPr>
        <w:t xml:space="preserve">присъжда обезщетение от </w:t>
      </w:r>
      <w:r w:rsidR="004B5B74" w:rsidRPr="00620F01">
        <w:rPr>
          <w:lang w:val="bg-BG"/>
        </w:rPr>
        <w:t>3</w:t>
      </w:r>
      <w:r w:rsidRPr="00620F01">
        <w:rPr>
          <w:lang w:val="bg-BG"/>
        </w:rPr>
        <w:t>500 евро, ка</w:t>
      </w:r>
      <w:r w:rsidR="00137D0E" w:rsidRPr="00620F01">
        <w:rPr>
          <w:lang w:val="bg-BG"/>
        </w:rPr>
        <w:t>кто и всички данъци, които биха могли</w:t>
      </w:r>
      <w:r w:rsidRPr="00620F01">
        <w:rPr>
          <w:lang w:val="bg-BG"/>
        </w:rPr>
        <w:t xml:space="preserve"> да бъдат наложени.</w:t>
      </w:r>
    </w:p>
    <w:p w:rsidR="00B958F3" w:rsidRPr="00620F01" w:rsidRDefault="00C70F9F" w:rsidP="00B958F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lastRenderedPageBreak/>
        <w:t>Б</w:t>
      </w:r>
      <w:r w:rsidR="00B958F3" w:rsidRPr="00620F01">
        <w:rPr>
          <w:lang w:val="bg-BG"/>
        </w:rPr>
        <w:t>.  </w:t>
      </w:r>
      <w:r w:rsidRPr="00620F01">
        <w:rPr>
          <w:lang w:val="bg-BG"/>
        </w:rPr>
        <w:t>Разходи</w:t>
      </w:r>
      <w:r w:rsidR="00B958F3" w:rsidRPr="00620F01">
        <w:rPr>
          <w:lang w:val="bg-BG"/>
        </w:rPr>
        <w:t xml:space="preserve"> и разноски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51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Първоначално жалбоподателят няма претенции по тази </w:t>
      </w:r>
      <w:r w:rsidR="005C2085" w:rsidRPr="00620F01">
        <w:rPr>
          <w:lang w:val="bg-BG"/>
        </w:rPr>
        <w:t>точка</w:t>
      </w:r>
      <w:r w:rsidRPr="00620F01">
        <w:rPr>
          <w:lang w:val="bg-BG"/>
        </w:rPr>
        <w:t xml:space="preserve">. В края на </w:t>
      </w:r>
      <w:r w:rsidR="005C2085" w:rsidRPr="00620F01">
        <w:rPr>
          <w:lang w:val="bg-BG"/>
        </w:rPr>
        <w:t>доброволното</w:t>
      </w:r>
      <w:r w:rsidR="00063931" w:rsidRPr="00620F01">
        <w:rPr>
          <w:lang w:val="bg-BG"/>
        </w:rPr>
        <w:t xml:space="preserve"> си</w:t>
      </w:r>
      <w:r w:rsidR="005C2085" w:rsidRPr="00620F01">
        <w:rPr>
          <w:lang w:val="bg-BG"/>
        </w:rPr>
        <w:t xml:space="preserve"> </w:t>
      </w:r>
      <w:r w:rsidRPr="00620F01">
        <w:rPr>
          <w:lang w:val="bg-BG"/>
        </w:rPr>
        <w:t>становище, подадено на 28 април 2014 г.</w:t>
      </w:r>
      <w:r w:rsidR="00063931" w:rsidRPr="00620F01">
        <w:rPr>
          <w:lang w:val="bg-BG"/>
        </w:rPr>
        <w:t>,</w:t>
      </w:r>
      <w:r w:rsidRPr="00620F01">
        <w:rPr>
          <w:lang w:val="bg-BG"/>
        </w:rPr>
        <w:t xml:space="preserve"> което </w:t>
      </w:r>
      <w:r w:rsidR="00063931" w:rsidRPr="00620F01">
        <w:rPr>
          <w:lang w:val="bg-BG"/>
        </w:rPr>
        <w:t>п</w:t>
      </w:r>
      <w:r w:rsidR="00C70F9F" w:rsidRPr="00620F01">
        <w:rPr>
          <w:lang w:val="bg-BG"/>
        </w:rPr>
        <w:t xml:space="preserve">редседателят </w:t>
      </w:r>
      <w:r w:rsidRPr="00620F01">
        <w:rPr>
          <w:lang w:val="bg-BG"/>
        </w:rPr>
        <w:t xml:space="preserve">на отделението отказва да добави към </w:t>
      </w:r>
      <w:r w:rsidR="00063931" w:rsidRPr="00620F01">
        <w:rPr>
          <w:lang w:val="bg-BG"/>
        </w:rPr>
        <w:t xml:space="preserve">преписката </w:t>
      </w:r>
      <w:r w:rsidRPr="00620F01">
        <w:rPr>
          <w:lang w:val="bg-BG"/>
        </w:rPr>
        <w:t>по дело</w:t>
      </w:r>
      <w:r w:rsidR="00C70F9F" w:rsidRPr="00620F01">
        <w:rPr>
          <w:lang w:val="bg-BG"/>
        </w:rPr>
        <w:t xml:space="preserve">то, жалбоподателят претендира 1500 евро </w:t>
      </w:r>
      <w:r w:rsidR="00137D0E" w:rsidRPr="00620F01">
        <w:rPr>
          <w:lang w:val="bg-BG"/>
        </w:rPr>
        <w:t xml:space="preserve">за направени </w:t>
      </w:r>
      <w:r w:rsidR="00C70F9F" w:rsidRPr="00620F01">
        <w:rPr>
          <w:lang w:val="bg-BG"/>
        </w:rPr>
        <w:t>разходи</w:t>
      </w:r>
      <w:r w:rsidRPr="00620F01">
        <w:rPr>
          <w:lang w:val="bg-BG"/>
        </w:rPr>
        <w:t xml:space="preserve"> и разноски. Не представя документи в подкрепа на т</w:t>
      </w:r>
      <w:r w:rsidR="00063931" w:rsidRPr="00620F01">
        <w:rPr>
          <w:lang w:val="bg-BG"/>
        </w:rPr>
        <w:t>а</w:t>
      </w:r>
      <w:r w:rsidRPr="00620F01">
        <w:rPr>
          <w:lang w:val="bg-BG"/>
        </w:rPr>
        <w:t xml:space="preserve">зи </w:t>
      </w:r>
      <w:r w:rsidR="00063931" w:rsidRPr="00620F01">
        <w:rPr>
          <w:lang w:val="bg-BG"/>
        </w:rPr>
        <w:t>претенция</w:t>
      </w:r>
      <w:r w:rsidRPr="00620F01">
        <w:rPr>
          <w:lang w:val="bg-BG"/>
        </w:rPr>
        <w:t>.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52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>.  В този случай</w:t>
      </w:r>
      <w:r w:rsidR="007F0A84" w:rsidRPr="00620F01">
        <w:rPr>
          <w:lang w:val="bg-BG"/>
        </w:rPr>
        <w:t>,</w:t>
      </w:r>
      <w:r w:rsidRPr="00620F01">
        <w:rPr>
          <w:lang w:val="bg-BG"/>
        </w:rPr>
        <w:t xml:space="preserve"> не е необходимо да се </w:t>
      </w:r>
      <w:r w:rsidR="007F0A84" w:rsidRPr="00620F01">
        <w:rPr>
          <w:lang w:val="bg-BG"/>
        </w:rPr>
        <w:t>реши</w:t>
      </w:r>
      <w:r w:rsidRPr="00620F01">
        <w:rPr>
          <w:lang w:val="bg-BG"/>
        </w:rPr>
        <w:t xml:space="preserve"> дали претенциите на жалбоподателя, макар и изразени в недопуснато до </w:t>
      </w:r>
      <w:r w:rsidR="007F0A84" w:rsidRPr="00620F01">
        <w:rPr>
          <w:lang w:val="bg-BG"/>
        </w:rPr>
        <w:t xml:space="preserve">преписката </w:t>
      </w:r>
      <w:r w:rsidRPr="00620F01">
        <w:rPr>
          <w:lang w:val="bg-BG"/>
        </w:rPr>
        <w:t xml:space="preserve">по делото </w:t>
      </w:r>
      <w:r w:rsidR="007F0A84" w:rsidRPr="00620F01">
        <w:rPr>
          <w:lang w:val="bg-BG"/>
        </w:rPr>
        <w:t xml:space="preserve">доброволно </w:t>
      </w:r>
      <w:r w:rsidRPr="00620F01">
        <w:rPr>
          <w:lang w:val="bg-BG"/>
        </w:rPr>
        <w:t xml:space="preserve">становище, са изразени по законов ред. Дори да </w:t>
      </w:r>
      <w:r w:rsidR="007F0A84" w:rsidRPr="00620F01">
        <w:rPr>
          <w:lang w:val="bg-BG"/>
        </w:rPr>
        <w:t>се приеме</w:t>
      </w:r>
      <w:r w:rsidRPr="00620F01">
        <w:rPr>
          <w:lang w:val="bg-BG"/>
        </w:rPr>
        <w:t xml:space="preserve">, че случаят е такъв, искът не е подкрепен с документи и следва да се отхвърли. </w:t>
      </w:r>
    </w:p>
    <w:p w:rsidR="00B958F3" w:rsidRPr="00620F01" w:rsidRDefault="00276C01" w:rsidP="00B958F3">
      <w:pPr>
        <w:pStyle w:val="ECHRHeading2"/>
        <w:outlineLvl w:val="2"/>
        <w:rPr>
          <w:lang w:val="bg-BG"/>
        </w:rPr>
      </w:pPr>
      <w:r w:rsidRPr="00620F01">
        <w:rPr>
          <w:lang w:val="bg-BG"/>
        </w:rPr>
        <w:t>В</w:t>
      </w:r>
      <w:r w:rsidR="00B958F3" w:rsidRPr="00620F01">
        <w:rPr>
          <w:lang w:val="bg-BG"/>
        </w:rPr>
        <w:t>.  Лихва за забава</w:t>
      </w:r>
    </w:p>
    <w:p w:rsidR="00B958F3" w:rsidRPr="00620F01" w:rsidRDefault="00B958F3" w:rsidP="00B958F3">
      <w:pPr>
        <w:pStyle w:val="ECHRPara"/>
        <w:rPr>
          <w:lang w:val="bg-BG"/>
        </w:rPr>
      </w:pPr>
      <w:r w:rsidRPr="00620F01">
        <w:rPr>
          <w:lang w:val="bg-BG"/>
        </w:rPr>
        <w:fldChar w:fldCharType="begin"/>
      </w:r>
      <w:r w:rsidRPr="00620F01">
        <w:rPr>
          <w:lang w:val="bg-BG"/>
        </w:rPr>
        <w:instrText xml:space="preserve"> SEQ level0 \*arabic </w:instrText>
      </w:r>
      <w:r w:rsidRPr="00620F01">
        <w:rPr>
          <w:lang w:val="bg-BG"/>
        </w:rPr>
        <w:fldChar w:fldCharType="separate"/>
      </w:r>
      <w:r w:rsidRPr="00620F01">
        <w:rPr>
          <w:noProof/>
          <w:lang w:val="bg-BG"/>
        </w:rPr>
        <w:t>53</w:t>
      </w:r>
      <w:r w:rsidRPr="00620F01">
        <w:rPr>
          <w:lang w:val="bg-BG"/>
        </w:rPr>
        <w:fldChar w:fldCharType="end"/>
      </w:r>
      <w:r w:rsidRPr="00620F01">
        <w:rPr>
          <w:lang w:val="bg-BG"/>
        </w:rPr>
        <w:t xml:space="preserve">.  Съдът счита за уместно лихвата за забава да бъде обвързана с </w:t>
      </w:r>
      <w:r w:rsidR="00664EE6" w:rsidRPr="00620F01">
        <w:rPr>
          <w:lang w:val="bg-BG"/>
        </w:rPr>
        <w:t>лихвения процент</w:t>
      </w:r>
      <w:r w:rsidRPr="00620F01">
        <w:rPr>
          <w:lang w:val="bg-BG"/>
        </w:rPr>
        <w:t xml:space="preserve"> по заеми на Европейската централна банка, към която </w:t>
      </w:r>
      <w:r w:rsidR="00664EE6" w:rsidRPr="00620F01">
        <w:rPr>
          <w:lang w:val="bg-BG"/>
        </w:rPr>
        <w:t xml:space="preserve">следва да </w:t>
      </w:r>
      <w:r w:rsidRPr="00620F01">
        <w:rPr>
          <w:lang w:val="bg-BG"/>
        </w:rPr>
        <w:t>се добавят три процентни пункта.</w:t>
      </w:r>
    </w:p>
    <w:p w:rsidR="00B958F3" w:rsidRPr="00620F01" w:rsidRDefault="00B958F3" w:rsidP="00B958F3">
      <w:pPr>
        <w:pStyle w:val="ECHRTitle1"/>
        <w:rPr>
          <w:lang w:val="bg-BG"/>
        </w:rPr>
      </w:pPr>
      <w:r w:rsidRPr="00620F01">
        <w:rPr>
          <w:lang w:val="bg-BG"/>
        </w:rPr>
        <w:t xml:space="preserve">ПО ТЕЗИ </w:t>
      </w:r>
      <w:r w:rsidR="00664EE6" w:rsidRPr="00620F01">
        <w:rPr>
          <w:lang w:val="bg-BG"/>
        </w:rPr>
        <w:t xml:space="preserve">ПРИЧИНИ </w:t>
      </w:r>
      <w:r w:rsidRPr="00620F01">
        <w:rPr>
          <w:lang w:val="bg-BG"/>
        </w:rPr>
        <w:t>СЪДЪТ ЕДИНОДУШНО</w:t>
      </w:r>
      <w:r w:rsidRPr="00620F01">
        <w:rPr>
          <w:lang w:val="bg-BG" w:eastAsia="x-none"/>
        </w:rPr>
        <w:t>,</w:t>
      </w:r>
    </w:p>
    <w:p w:rsidR="00B958F3" w:rsidRPr="00620F01" w:rsidRDefault="00B958F3" w:rsidP="00B958F3">
      <w:pPr>
        <w:pStyle w:val="JuList"/>
        <w:rPr>
          <w:lang w:val="bg-BG"/>
        </w:rPr>
      </w:pPr>
      <w:r w:rsidRPr="00620F01">
        <w:rPr>
          <w:lang w:val="bg-BG"/>
        </w:rPr>
        <w:t>1.  </w:t>
      </w:r>
      <w:r w:rsidRPr="00620F01">
        <w:rPr>
          <w:i/>
          <w:lang w:val="bg-BG"/>
        </w:rPr>
        <w:t>Обявява</w:t>
      </w:r>
      <w:r w:rsidR="00276C01" w:rsidRPr="00620F01">
        <w:rPr>
          <w:lang w:val="bg-BG"/>
        </w:rPr>
        <w:t xml:space="preserve"> останалата част</w:t>
      </w:r>
      <w:r w:rsidRPr="00620F01">
        <w:rPr>
          <w:lang w:val="bg-BG"/>
        </w:rPr>
        <w:t xml:space="preserve"> от жалбата за допустим</w:t>
      </w:r>
      <w:r w:rsidR="00276C01" w:rsidRPr="00620F01">
        <w:rPr>
          <w:lang w:val="bg-BG"/>
        </w:rPr>
        <w:t>а</w:t>
      </w:r>
      <w:r w:rsidRPr="00620F01">
        <w:rPr>
          <w:lang w:val="bg-BG"/>
        </w:rPr>
        <w:t xml:space="preserve">; </w:t>
      </w:r>
    </w:p>
    <w:p w:rsidR="00B958F3" w:rsidRPr="00620F01" w:rsidRDefault="00B958F3" w:rsidP="00B958F3">
      <w:pPr>
        <w:pStyle w:val="JuList"/>
        <w:ind w:left="0" w:firstLine="0"/>
        <w:rPr>
          <w:lang w:val="bg-BG"/>
        </w:rPr>
      </w:pPr>
    </w:p>
    <w:p w:rsidR="00B958F3" w:rsidRPr="00620F01" w:rsidRDefault="00B958F3" w:rsidP="00B958F3">
      <w:pPr>
        <w:pStyle w:val="JuList"/>
        <w:rPr>
          <w:lang w:val="bg-BG"/>
        </w:rPr>
      </w:pPr>
      <w:r w:rsidRPr="00620F01">
        <w:rPr>
          <w:lang w:val="bg-BG"/>
        </w:rPr>
        <w:t>2.  </w:t>
      </w:r>
      <w:r w:rsidR="008328B9" w:rsidRPr="00620F01">
        <w:rPr>
          <w:i/>
          <w:lang w:val="bg-BG"/>
        </w:rPr>
        <w:t>Приема</w:t>
      </w:r>
      <w:r w:rsidR="00734A55" w:rsidRPr="00620F01">
        <w:rPr>
          <w:lang w:val="bg-BG"/>
        </w:rPr>
        <w:t xml:space="preserve">, че е </w:t>
      </w:r>
      <w:r w:rsidR="008328B9" w:rsidRPr="00620F01">
        <w:rPr>
          <w:lang w:val="bg-BG"/>
        </w:rPr>
        <w:t xml:space="preserve">налице </w:t>
      </w:r>
      <w:r w:rsidR="00734A55" w:rsidRPr="00620F01">
        <w:rPr>
          <w:lang w:val="bg-BG"/>
        </w:rPr>
        <w:t>нарушение на</w:t>
      </w:r>
      <w:r w:rsidRPr="00620F01">
        <w:rPr>
          <w:lang w:val="bg-BG"/>
        </w:rPr>
        <w:t xml:space="preserve"> чл. 10 от Конвенцията;</w:t>
      </w:r>
    </w:p>
    <w:p w:rsidR="00B958F3" w:rsidRPr="00620F01" w:rsidRDefault="00B958F3" w:rsidP="00B958F3">
      <w:pPr>
        <w:pStyle w:val="JuList"/>
        <w:rPr>
          <w:lang w:val="bg-BG"/>
        </w:rPr>
      </w:pPr>
    </w:p>
    <w:p w:rsidR="00B958F3" w:rsidRPr="00620F01" w:rsidRDefault="00B958F3" w:rsidP="00B958F3">
      <w:pPr>
        <w:pStyle w:val="JuList"/>
        <w:keepNext/>
        <w:rPr>
          <w:lang w:val="bg-BG"/>
        </w:rPr>
      </w:pPr>
      <w:r w:rsidRPr="00620F01">
        <w:rPr>
          <w:lang w:val="bg-BG"/>
        </w:rPr>
        <w:t>3.  </w:t>
      </w:r>
      <w:r w:rsidR="008328B9" w:rsidRPr="00620F01">
        <w:rPr>
          <w:i/>
          <w:lang w:val="bg-BG"/>
        </w:rPr>
        <w:t>Приема</w:t>
      </w:r>
      <w:r w:rsidRPr="00620F01">
        <w:rPr>
          <w:lang w:val="bg-BG"/>
        </w:rPr>
        <w:t>,</w:t>
      </w:r>
    </w:p>
    <w:p w:rsidR="00B958F3" w:rsidRPr="00620F01" w:rsidRDefault="00B958F3" w:rsidP="00B958F3">
      <w:pPr>
        <w:pStyle w:val="JuLista"/>
        <w:rPr>
          <w:lang w:val="bg-BG"/>
        </w:rPr>
      </w:pPr>
      <w:r w:rsidRPr="00620F01">
        <w:rPr>
          <w:lang w:val="bg-BG"/>
        </w:rPr>
        <w:t xml:space="preserve">(a)  че държавата-ответник </w:t>
      </w:r>
      <w:r w:rsidR="00664EE6" w:rsidRPr="00620F01">
        <w:rPr>
          <w:lang w:val="bg-BG"/>
        </w:rPr>
        <w:t>следва</w:t>
      </w:r>
      <w:r w:rsidR="008328B9" w:rsidRPr="00620F01">
        <w:rPr>
          <w:lang w:val="bg-BG"/>
        </w:rPr>
        <w:t xml:space="preserve"> </w:t>
      </w:r>
      <w:r w:rsidRPr="00620F01">
        <w:rPr>
          <w:lang w:val="bg-BG"/>
        </w:rPr>
        <w:t>да з</w:t>
      </w:r>
      <w:r w:rsidR="008328B9" w:rsidRPr="00620F01">
        <w:rPr>
          <w:lang w:val="bg-BG"/>
        </w:rPr>
        <w:t>а</w:t>
      </w:r>
      <w:r w:rsidRPr="00620F01">
        <w:rPr>
          <w:lang w:val="bg-BG"/>
        </w:rPr>
        <w:t xml:space="preserve">плати на жалбоподателя в срок от три </w:t>
      </w:r>
      <w:proofErr w:type="spellStart"/>
      <w:r w:rsidRPr="00620F01">
        <w:rPr>
          <w:lang w:val="bg-BG"/>
        </w:rPr>
        <w:t>месеца</w:t>
      </w:r>
      <w:r w:rsidR="00664EE6" w:rsidRPr="00620F01">
        <w:rPr>
          <w:lang w:val="bg-BG"/>
        </w:rPr>
        <w:t>считано</w:t>
      </w:r>
      <w:proofErr w:type="spellEnd"/>
      <w:r w:rsidRPr="00620F01">
        <w:rPr>
          <w:lang w:val="bg-BG"/>
        </w:rPr>
        <w:t xml:space="preserve"> от </w:t>
      </w:r>
      <w:r w:rsidR="008B0874" w:rsidRPr="00620F01">
        <w:rPr>
          <w:lang w:val="bg-BG"/>
        </w:rPr>
        <w:t>датата, на която решение</w:t>
      </w:r>
      <w:r w:rsidR="00144AA0" w:rsidRPr="00620F01">
        <w:rPr>
          <w:lang w:val="bg-BG"/>
        </w:rPr>
        <w:t>то</w:t>
      </w:r>
      <w:r w:rsidR="008B0874" w:rsidRPr="00620F01">
        <w:rPr>
          <w:lang w:val="bg-BG"/>
        </w:rPr>
        <w:t xml:space="preserve"> стане </w:t>
      </w:r>
      <w:r w:rsidR="004B5B74" w:rsidRPr="00620F01">
        <w:rPr>
          <w:lang w:val="bg-BG"/>
        </w:rPr>
        <w:t xml:space="preserve">окончателно </w:t>
      </w:r>
      <w:r w:rsidR="008B0874" w:rsidRPr="00620F01">
        <w:rPr>
          <w:lang w:val="bg-BG"/>
        </w:rPr>
        <w:t>в съответствие с</w:t>
      </w:r>
      <w:r w:rsidRPr="00620F01">
        <w:rPr>
          <w:lang w:val="bg-BG"/>
        </w:rPr>
        <w:t xml:space="preserve"> чл. 44 § 2 </w:t>
      </w:r>
      <w:r w:rsidR="00734A55" w:rsidRPr="00620F01">
        <w:rPr>
          <w:lang w:val="bg-BG"/>
        </w:rPr>
        <w:t>от Конвенцията, 3</w:t>
      </w:r>
      <w:r w:rsidRPr="00620F01">
        <w:rPr>
          <w:lang w:val="bg-BG"/>
        </w:rPr>
        <w:t>500 евро</w:t>
      </w:r>
      <w:r w:rsidR="00734A55" w:rsidRPr="00620F01">
        <w:rPr>
          <w:lang w:val="bg-BG"/>
        </w:rPr>
        <w:t xml:space="preserve"> (три хиляди и петстотин евро)</w:t>
      </w:r>
      <w:r w:rsidRPr="00620F01">
        <w:rPr>
          <w:lang w:val="bg-BG"/>
        </w:rPr>
        <w:t>, ка</w:t>
      </w:r>
      <w:r w:rsidR="008B0874" w:rsidRPr="00620F01">
        <w:rPr>
          <w:lang w:val="bg-BG"/>
        </w:rPr>
        <w:t xml:space="preserve">кто и </w:t>
      </w:r>
      <w:r w:rsidR="00144AA0" w:rsidRPr="00620F01">
        <w:rPr>
          <w:lang w:val="bg-BG"/>
        </w:rPr>
        <w:t xml:space="preserve">всякакви </w:t>
      </w:r>
      <w:r w:rsidR="008B0874" w:rsidRPr="00620F01">
        <w:rPr>
          <w:lang w:val="bg-BG"/>
        </w:rPr>
        <w:t xml:space="preserve">данъци, </w:t>
      </w:r>
      <w:r w:rsidR="00144AA0" w:rsidRPr="00620F01">
        <w:rPr>
          <w:lang w:val="bg-BG"/>
        </w:rPr>
        <w:t>които могат да бъдат наложени по отношение на неимуществени вреди</w:t>
      </w:r>
      <w:r w:rsidRPr="00620F01">
        <w:rPr>
          <w:lang w:val="bg-BG"/>
        </w:rPr>
        <w:t xml:space="preserve">. Сумата трябва да </w:t>
      </w:r>
      <w:r w:rsidR="00144AA0" w:rsidRPr="00620F01">
        <w:rPr>
          <w:lang w:val="bg-BG"/>
        </w:rPr>
        <w:t>се конвертира</w:t>
      </w:r>
      <w:r w:rsidRPr="00620F01">
        <w:rPr>
          <w:lang w:val="bg-BG"/>
        </w:rPr>
        <w:t xml:space="preserve"> във валутата на държавата-ответник по курса към датата </w:t>
      </w:r>
      <w:r w:rsidR="004B5B74" w:rsidRPr="00620F01">
        <w:rPr>
          <w:lang w:val="bg-BG"/>
        </w:rPr>
        <w:t xml:space="preserve">на </w:t>
      </w:r>
      <w:r w:rsidRPr="00620F01">
        <w:rPr>
          <w:lang w:val="bg-BG"/>
        </w:rPr>
        <w:t>плащането;</w:t>
      </w:r>
    </w:p>
    <w:p w:rsidR="00B958F3" w:rsidRPr="00620F01" w:rsidRDefault="00734A55" w:rsidP="00B958F3">
      <w:pPr>
        <w:pStyle w:val="JuLista"/>
        <w:rPr>
          <w:lang w:val="bg-BG"/>
        </w:rPr>
      </w:pPr>
      <w:r w:rsidRPr="00620F01">
        <w:rPr>
          <w:lang w:val="bg-BG"/>
        </w:rPr>
        <w:t>(б</w:t>
      </w:r>
      <w:r w:rsidR="00B958F3" w:rsidRPr="00620F01">
        <w:rPr>
          <w:lang w:val="bg-BG"/>
        </w:rPr>
        <w:t>)  </w:t>
      </w:r>
      <w:r w:rsidR="00557515" w:rsidRPr="00620F01">
        <w:rPr>
          <w:lang w:val="bg-BG"/>
        </w:rPr>
        <w:t>че считано от изтичането на гореспоменатите три месеца до разплащането, по горните суми следва да се дължи проста лихва в размер, равен на лихвения процент по заеми на Европейската централна банка по време на просрочения период плюс три процентни пункта</w:t>
      </w:r>
      <w:r w:rsidR="00B958F3" w:rsidRPr="00620F01">
        <w:rPr>
          <w:lang w:val="bg-BG"/>
        </w:rPr>
        <w:t>;</w:t>
      </w:r>
    </w:p>
    <w:p w:rsidR="00B958F3" w:rsidRPr="00620F01" w:rsidRDefault="00B958F3" w:rsidP="00B958F3">
      <w:pPr>
        <w:pStyle w:val="JuList"/>
        <w:rPr>
          <w:lang w:val="bg-BG"/>
        </w:rPr>
      </w:pPr>
    </w:p>
    <w:p w:rsidR="00B958F3" w:rsidRPr="00620F01" w:rsidRDefault="00B958F3" w:rsidP="00B958F3">
      <w:pPr>
        <w:pStyle w:val="JuList"/>
        <w:keepNext/>
        <w:keepLines/>
        <w:rPr>
          <w:lang w:val="bg-BG"/>
        </w:rPr>
      </w:pPr>
      <w:r w:rsidRPr="00620F01">
        <w:rPr>
          <w:lang w:val="bg-BG"/>
        </w:rPr>
        <w:lastRenderedPageBreak/>
        <w:t>4.  </w:t>
      </w:r>
      <w:r w:rsidRPr="00620F01">
        <w:rPr>
          <w:i/>
          <w:lang w:val="bg-BG"/>
        </w:rPr>
        <w:t>Отхвърля</w:t>
      </w:r>
      <w:r w:rsidRPr="00620F01">
        <w:rPr>
          <w:lang w:val="bg-BG"/>
        </w:rPr>
        <w:t xml:space="preserve"> </w:t>
      </w:r>
      <w:r w:rsidR="00557515" w:rsidRPr="00620F01">
        <w:rPr>
          <w:lang w:val="bg-BG"/>
        </w:rPr>
        <w:t>искането на жалбоподателя за справедливо обезщетение в останалата му част</w:t>
      </w:r>
      <w:r w:rsidRPr="00620F01">
        <w:rPr>
          <w:lang w:val="bg-BG"/>
        </w:rPr>
        <w:t xml:space="preserve">. </w:t>
      </w:r>
    </w:p>
    <w:p w:rsidR="00B958F3" w:rsidRPr="00620F01" w:rsidRDefault="00B958F3" w:rsidP="00B958F3">
      <w:pPr>
        <w:pStyle w:val="JuParaLast"/>
        <w:rPr>
          <w:lang w:val="bg-BG"/>
        </w:rPr>
      </w:pPr>
      <w:r w:rsidRPr="00620F01">
        <w:rPr>
          <w:lang w:val="bg-BG"/>
        </w:rPr>
        <w:t>Изготвено на английски език и оповестено писмено на 12 юли 2016 г. в съответствие с Правило 77 §§ 2 и 3 от Правилника на Съда.</w:t>
      </w:r>
    </w:p>
    <w:p w:rsidR="008B0874" w:rsidRPr="00620F01" w:rsidRDefault="00B958F3" w:rsidP="008B0874">
      <w:pPr>
        <w:pStyle w:val="JuSigned"/>
        <w:rPr>
          <w:iCs/>
          <w:lang w:val="bg-BG"/>
        </w:rPr>
      </w:pPr>
      <w:r w:rsidRPr="00620F01">
        <w:rPr>
          <w:lang w:val="bg-BG"/>
        </w:rPr>
        <w:tab/>
      </w:r>
      <w:proofErr w:type="spellStart"/>
      <w:r w:rsidRPr="00620F01">
        <w:rPr>
          <w:lang w:val="bg-BG"/>
        </w:rPr>
        <w:t>Клаудия</w:t>
      </w:r>
      <w:proofErr w:type="spellEnd"/>
      <w:r w:rsidRPr="00620F01">
        <w:rPr>
          <w:lang w:val="bg-BG"/>
        </w:rPr>
        <w:t xml:space="preserve"> </w:t>
      </w:r>
      <w:proofErr w:type="spellStart"/>
      <w:r w:rsidRPr="00620F01">
        <w:rPr>
          <w:lang w:val="bg-BG"/>
        </w:rPr>
        <w:t>Вестердик</w:t>
      </w:r>
      <w:proofErr w:type="spellEnd"/>
      <w:r w:rsidR="008B0874" w:rsidRPr="00620F01">
        <w:rPr>
          <w:lang w:val="bg-BG"/>
        </w:rPr>
        <w:t xml:space="preserve"> </w:t>
      </w:r>
      <w:r w:rsidR="00DE5A52" w:rsidRPr="00620F01">
        <w:rPr>
          <w:lang w:val="bg-BG"/>
        </w:rPr>
        <w:tab/>
      </w:r>
      <w:proofErr w:type="spellStart"/>
      <w:r w:rsidR="00DE5A52" w:rsidRPr="00620F01">
        <w:rPr>
          <w:lang w:val="bg-BG"/>
        </w:rPr>
        <w:t>Ангелика</w:t>
      </w:r>
      <w:proofErr w:type="spellEnd"/>
      <w:r w:rsidR="00DE5A52" w:rsidRPr="00620F01">
        <w:rPr>
          <w:lang w:val="bg-BG"/>
        </w:rPr>
        <w:t xml:space="preserve"> </w:t>
      </w:r>
      <w:proofErr w:type="spellStart"/>
      <w:r w:rsidR="00DE5A52" w:rsidRPr="00620F01">
        <w:rPr>
          <w:lang w:val="bg-BG"/>
        </w:rPr>
        <w:t>Нусбергер</w:t>
      </w:r>
      <w:proofErr w:type="spellEnd"/>
      <w:r w:rsidR="00DE5A52" w:rsidRPr="00620F01">
        <w:rPr>
          <w:szCs w:val="24"/>
          <w:lang w:val="bg-BG"/>
        </w:rPr>
        <w:t xml:space="preserve"> </w:t>
      </w:r>
      <w:r w:rsidRPr="00620F01">
        <w:rPr>
          <w:szCs w:val="24"/>
          <w:lang w:val="bg-BG"/>
        </w:rPr>
        <w:br/>
      </w:r>
      <w:r w:rsidRPr="00620F01">
        <w:rPr>
          <w:lang w:val="bg-BG"/>
        </w:rPr>
        <w:tab/>
      </w:r>
      <w:r w:rsidR="00DE5A52" w:rsidRPr="00620F01">
        <w:rPr>
          <w:iCs/>
          <w:lang w:val="bg-BG"/>
        </w:rPr>
        <w:t>с</w:t>
      </w:r>
      <w:r w:rsidRPr="00620F01">
        <w:rPr>
          <w:iCs/>
          <w:lang w:val="bg-BG"/>
        </w:rPr>
        <w:t>екретар</w:t>
      </w:r>
      <w:r w:rsidR="008B0874" w:rsidRPr="00620F01">
        <w:rPr>
          <w:iCs/>
          <w:lang w:val="bg-BG"/>
        </w:rPr>
        <w:t xml:space="preserve"> на отделението</w:t>
      </w:r>
      <w:r w:rsidR="00DE5A52" w:rsidRPr="00620F01">
        <w:rPr>
          <w:iCs/>
          <w:lang w:val="bg-BG"/>
        </w:rPr>
        <w:tab/>
      </w:r>
      <w:r w:rsidR="00DE5A52" w:rsidRPr="00620F01">
        <w:rPr>
          <w:lang w:val="bg-BG"/>
        </w:rPr>
        <w:t>Председател</w:t>
      </w:r>
    </w:p>
    <w:p w:rsidR="004D15F3" w:rsidRPr="00620F01" w:rsidRDefault="004D15F3" w:rsidP="000F52AA">
      <w:pPr>
        <w:pStyle w:val="JuSigned"/>
        <w:rPr>
          <w:lang w:val="bg-BG"/>
        </w:rPr>
      </w:pPr>
    </w:p>
    <w:sectPr w:rsidR="004D15F3" w:rsidRPr="00620F01" w:rsidSect="00113FE9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92" w:rsidRDefault="00D46192" w:rsidP="00014566">
      <w:r>
        <w:separator/>
      </w:r>
    </w:p>
  </w:endnote>
  <w:endnote w:type="continuationSeparator" w:id="0">
    <w:p w:rsidR="00D46192" w:rsidRDefault="00D46192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Default="003B674C" w:rsidP="00363752">
    <w:pPr>
      <w:pStyle w:val="Footer"/>
      <w:tabs>
        <w:tab w:val="clear" w:pos="4536"/>
        <w:tab w:val="clear" w:pos="96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Default="003B674C" w:rsidP="00363752">
    <w:pPr>
      <w:pStyle w:val="Footer"/>
      <w:tabs>
        <w:tab w:val="clear" w:pos="4536"/>
        <w:tab w:val="clear" w:pos="969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Pr="00150BFA" w:rsidRDefault="00620F01" w:rsidP="003C7E8D">
    <w:pPr>
      <w:jc w:val="center"/>
    </w:pPr>
    <w:r w:rsidRPr="00DF7850">
      <w:rPr>
        <w:noProof/>
      </w:rPr>
      <w:drawing>
        <wp:inline distT="0" distB="0" distL="0" distR="0">
          <wp:extent cx="771525" cy="619125"/>
          <wp:effectExtent l="0" t="0" r="0" b="0"/>
          <wp:docPr id="2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74C" w:rsidRDefault="003B674C" w:rsidP="00363752">
    <w:pPr>
      <w:pStyle w:val="Footer"/>
      <w:tabs>
        <w:tab w:val="clear" w:pos="4536"/>
        <w:tab w:val="clear" w:pos="96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92" w:rsidRDefault="00D46192" w:rsidP="00014566">
      <w:r>
        <w:separator/>
      </w:r>
    </w:p>
  </w:footnote>
  <w:footnote w:type="continuationSeparator" w:id="0">
    <w:p w:rsidR="00D46192" w:rsidRDefault="00D46192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E9" w:rsidRDefault="00DB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Pr="00113FE9" w:rsidRDefault="003B674C" w:rsidP="00113FE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Pr="00A45145" w:rsidRDefault="00620F01" w:rsidP="003C7E8D">
    <w:pPr>
      <w:jc w:val="center"/>
    </w:pPr>
    <w:r w:rsidRPr="00DF7850">
      <w:rPr>
        <w:noProof/>
      </w:rPr>
      <w:drawing>
        <wp:inline distT="0" distB="0" distL="0" distR="0">
          <wp:extent cx="2962275" cy="1219200"/>
          <wp:effectExtent l="0" t="0" r="0" b="0"/>
          <wp:docPr id="1" name="Picture 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74C" w:rsidRDefault="003B674C" w:rsidP="00363752">
    <w:pPr>
      <w:pStyle w:val="Header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Pr="001D7AA2" w:rsidRDefault="003B674C" w:rsidP="00363752">
    <w:pPr>
      <w:pStyle w:val="ECHRHeader"/>
      <w:tabs>
        <w:tab w:val="clear" w:pos="7371"/>
      </w:tabs>
      <w:rPr>
        <w:lang w:val="bg-BG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DB45E9">
      <w:rPr>
        <w:rStyle w:val="PageNumber"/>
        <w:noProof/>
        <w:szCs w:val="18"/>
        <w:lang w:val="en-GB"/>
      </w:rPr>
      <w:t>14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 xml:space="preserve">РЕШЕНИЕ ЗДРАВКО СТАНЕВ </w:t>
    </w:r>
    <w:r w:rsidR="003445AE">
      <w:rPr>
        <w:lang w:val="bg-BG"/>
      </w:rPr>
      <w:t xml:space="preserve">срещу </w:t>
    </w:r>
    <w:r>
      <w:rPr>
        <w:lang w:val="bg-BG"/>
      </w:rPr>
      <w:t>БЪЛГАРИЯ</w:t>
    </w:r>
    <w:r>
      <w:rPr>
        <w:lang w:val="en-GB"/>
      </w:rPr>
      <w:t xml:space="preserve"> (</w:t>
    </w:r>
    <w:r>
      <w:rPr>
        <w:lang w:val="bg-BG"/>
      </w:rPr>
      <w:t>№</w:t>
    </w:r>
    <w:r>
      <w:rPr>
        <w:lang w:val="en-GB"/>
      </w:rPr>
      <w:t xml:space="preserve"> 2)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C" w:rsidRPr="00D60D87" w:rsidRDefault="003B674C" w:rsidP="00D60D87">
    <w:pPr>
      <w:pStyle w:val="ECHRHeader"/>
      <w:rPr>
        <w:lang w:val="en-GB"/>
      </w:rPr>
    </w:pPr>
    <w:r w:rsidRPr="00D60D87">
      <w:rPr>
        <w:lang w:val="en-GB"/>
      </w:rPr>
      <w:tab/>
    </w:r>
    <w:r>
      <w:rPr>
        <w:lang w:val="bg-BG"/>
      </w:rPr>
      <w:t xml:space="preserve">РЕШЕНИЕ ЗДРАВКО СТАНЕВ </w:t>
    </w:r>
    <w:r w:rsidR="00FF08F6">
      <w:rPr>
        <w:lang w:val="bg-BG"/>
      </w:rPr>
      <w:t xml:space="preserve">срещу </w:t>
    </w:r>
    <w:r>
      <w:rPr>
        <w:lang w:val="bg-BG"/>
      </w:rPr>
      <w:t>БЪЛГАРИЯ</w:t>
    </w:r>
    <w:r>
      <w:rPr>
        <w:lang w:val="en-GB"/>
      </w:rPr>
      <w:t xml:space="preserve"> (</w:t>
    </w:r>
    <w:r>
      <w:rPr>
        <w:lang w:val="bg-BG"/>
      </w:rPr>
      <w:t>№</w:t>
    </w:r>
    <w:r>
      <w:rPr>
        <w:lang w:val="en-GB"/>
      </w:rPr>
      <w:t xml:space="preserve"> 2)</w:t>
    </w:r>
    <w:r w:rsidRPr="00D60D87">
      <w:rPr>
        <w:lang w:val="en-GB"/>
      </w:rPr>
      <w:t xml:space="preserve"> </w:t>
    </w:r>
    <w:r w:rsidRPr="00D60D87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DB45E9">
      <w:rPr>
        <w:rStyle w:val="PageNumber"/>
        <w:noProof/>
        <w:szCs w:val="18"/>
        <w:lang w:val="en-GB"/>
      </w:rPr>
      <w:t>13</w:t>
    </w:r>
    <w:r>
      <w:rPr>
        <w:rStyle w:val="PageNumber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="Times New Roman" w:hAnsi="Times New Roman" w:hint="default"/>
        <w:strike w:val="0"/>
        <w:dstrike w:val="0"/>
        <w:color w:val="000000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="Times New Roman" w:hAnsi="Times New Roman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0F5B6F"/>
    <w:rsid w:val="000010ED"/>
    <w:rsid w:val="000041F8"/>
    <w:rsid w:val="000042A8"/>
    <w:rsid w:val="00004308"/>
    <w:rsid w:val="0000580A"/>
    <w:rsid w:val="00005BF0"/>
    <w:rsid w:val="00005C9A"/>
    <w:rsid w:val="00007154"/>
    <w:rsid w:val="00007B73"/>
    <w:rsid w:val="000103AE"/>
    <w:rsid w:val="0001161A"/>
    <w:rsid w:val="00011D69"/>
    <w:rsid w:val="00012AD3"/>
    <w:rsid w:val="00014566"/>
    <w:rsid w:val="000152C4"/>
    <w:rsid w:val="00015C2D"/>
    <w:rsid w:val="00015F00"/>
    <w:rsid w:val="00020305"/>
    <w:rsid w:val="00022C1D"/>
    <w:rsid w:val="00026158"/>
    <w:rsid w:val="00027F13"/>
    <w:rsid w:val="000324B8"/>
    <w:rsid w:val="000347BA"/>
    <w:rsid w:val="00034987"/>
    <w:rsid w:val="00040214"/>
    <w:rsid w:val="00042147"/>
    <w:rsid w:val="000454C8"/>
    <w:rsid w:val="000505BD"/>
    <w:rsid w:val="000548FF"/>
    <w:rsid w:val="000602DF"/>
    <w:rsid w:val="00061B05"/>
    <w:rsid w:val="00062973"/>
    <w:rsid w:val="00062D5D"/>
    <w:rsid w:val="000632D5"/>
    <w:rsid w:val="00063931"/>
    <w:rsid w:val="0006414D"/>
    <w:rsid w:val="000644EE"/>
    <w:rsid w:val="00074AF0"/>
    <w:rsid w:val="0008073D"/>
    <w:rsid w:val="000842E3"/>
    <w:rsid w:val="000853C3"/>
    <w:rsid w:val="000856D7"/>
    <w:rsid w:val="00086C8F"/>
    <w:rsid w:val="000925AD"/>
    <w:rsid w:val="00095D30"/>
    <w:rsid w:val="000A24EB"/>
    <w:rsid w:val="000A658D"/>
    <w:rsid w:val="000A79F6"/>
    <w:rsid w:val="000B6923"/>
    <w:rsid w:val="000C033C"/>
    <w:rsid w:val="000C21EC"/>
    <w:rsid w:val="000C5F3C"/>
    <w:rsid w:val="000C6A33"/>
    <w:rsid w:val="000C6DCC"/>
    <w:rsid w:val="000D0320"/>
    <w:rsid w:val="000D47AA"/>
    <w:rsid w:val="000D5B30"/>
    <w:rsid w:val="000D66A2"/>
    <w:rsid w:val="000D721F"/>
    <w:rsid w:val="000D731D"/>
    <w:rsid w:val="000D76F0"/>
    <w:rsid w:val="000E069B"/>
    <w:rsid w:val="000E0E82"/>
    <w:rsid w:val="000E1DC5"/>
    <w:rsid w:val="000E223F"/>
    <w:rsid w:val="000E32A3"/>
    <w:rsid w:val="000E35AC"/>
    <w:rsid w:val="000E51DB"/>
    <w:rsid w:val="000E7006"/>
    <w:rsid w:val="000E7D45"/>
    <w:rsid w:val="000F52AA"/>
    <w:rsid w:val="000F5B6F"/>
    <w:rsid w:val="000F7851"/>
    <w:rsid w:val="00104E23"/>
    <w:rsid w:val="00111B0C"/>
    <w:rsid w:val="001133F2"/>
    <w:rsid w:val="00113FE9"/>
    <w:rsid w:val="00115317"/>
    <w:rsid w:val="00117B65"/>
    <w:rsid w:val="00120D6C"/>
    <w:rsid w:val="0012557D"/>
    <w:rsid w:val="001257EC"/>
    <w:rsid w:val="00132C6A"/>
    <w:rsid w:val="00133D33"/>
    <w:rsid w:val="00134D64"/>
    <w:rsid w:val="00135A30"/>
    <w:rsid w:val="0013612C"/>
    <w:rsid w:val="0013697E"/>
    <w:rsid w:val="001370B3"/>
    <w:rsid w:val="00137D0E"/>
    <w:rsid w:val="00137FF6"/>
    <w:rsid w:val="00141650"/>
    <w:rsid w:val="00144AA0"/>
    <w:rsid w:val="00157841"/>
    <w:rsid w:val="00160D50"/>
    <w:rsid w:val="001616C1"/>
    <w:rsid w:val="00162A12"/>
    <w:rsid w:val="00166530"/>
    <w:rsid w:val="0017383F"/>
    <w:rsid w:val="00175813"/>
    <w:rsid w:val="00182DDE"/>
    <w:rsid w:val="001832BD"/>
    <w:rsid w:val="00186E44"/>
    <w:rsid w:val="001908E2"/>
    <w:rsid w:val="001943B5"/>
    <w:rsid w:val="00195134"/>
    <w:rsid w:val="00197477"/>
    <w:rsid w:val="001A145B"/>
    <w:rsid w:val="001A284C"/>
    <w:rsid w:val="001A2903"/>
    <w:rsid w:val="001A4776"/>
    <w:rsid w:val="001A5A15"/>
    <w:rsid w:val="001A674C"/>
    <w:rsid w:val="001B3B24"/>
    <w:rsid w:val="001C0F98"/>
    <w:rsid w:val="001C2A42"/>
    <w:rsid w:val="001C2B19"/>
    <w:rsid w:val="001D0DDC"/>
    <w:rsid w:val="001D2470"/>
    <w:rsid w:val="001D63ED"/>
    <w:rsid w:val="001D7348"/>
    <w:rsid w:val="001D7AA2"/>
    <w:rsid w:val="001E035B"/>
    <w:rsid w:val="001E0961"/>
    <w:rsid w:val="001E1212"/>
    <w:rsid w:val="001E34F0"/>
    <w:rsid w:val="001E3EAE"/>
    <w:rsid w:val="001E5348"/>
    <w:rsid w:val="001E662C"/>
    <w:rsid w:val="001E6E8D"/>
    <w:rsid w:val="001E6F32"/>
    <w:rsid w:val="001E7925"/>
    <w:rsid w:val="001F2145"/>
    <w:rsid w:val="001F3668"/>
    <w:rsid w:val="001F5FA5"/>
    <w:rsid w:val="001F623D"/>
    <w:rsid w:val="001F6262"/>
    <w:rsid w:val="001F67B0"/>
    <w:rsid w:val="001F6841"/>
    <w:rsid w:val="001F7B3D"/>
    <w:rsid w:val="00200E24"/>
    <w:rsid w:val="00202EC7"/>
    <w:rsid w:val="00205F9F"/>
    <w:rsid w:val="00210338"/>
    <w:rsid w:val="002115FC"/>
    <w:rsid w:val="00212A6C"/>
    <w:rsid w:val="002133F8"/>
    <w:rsid w:val="0021423C"/>
    <w:rsid w:val="00222082"/>
    <w:rsid w:val="002264F3"/>
    <w:rsid w:val="00227C2E"/>
    <w:rsid w:val="00230087"/>
    <w:rsid w:val="00230D00"/>
    <w:rsid w:val="00231DF7"/>
    <w:rsid w:val="00231FD1"/>
    <w:rsid w:val="00232EEA"/>
    <w:rsid w:val="002339E0"/>
    <w:rsid w:val="00233CF8"/>
    <w:rsid w:val="0023575D"/>
    <w:rsid w:val="00237148"/>
    <w:rsid w:val="00237B0B"/>
    <w:rsid w:val="00241AFD"/>
    <w:rsid w:val="00241BD5"/>
    <w:rsid w:val="0024222D"/>
    <w:rsid w:val="00244B0E"/>
    <w:rsid w:val="00244F6C"/>
    <w:rsid w:val="00245FE1"/>
    <w:rsid w:val="002532C5"/>
    <w:rsid w:val="00260C03"/>
    <w:rsid w:val="0026540E"/>
    <w:rsid w:val="00265622"/>
    <w:rsid w:val="0027225C"/>
    <w:rsid w:val="00275123"/>
    <w:rsid w:val="00276C01"/>
    <w:rsid w:val="00282240"/>
    <w:rsid w:val="0028372B"/>
    <w:rsid w:val="0028572A"/>
    <w:rsid w:val="00290191"/>
    <w:rsid w:val="00291950"/>
    <w:rsid w:val="002948AD"/>
    <w:rsid w:val="00294C05"/>
    <w:rsid w:val="00294C92"/>
    <w:rsid w:val="002A01CC"/>
    <w:rsid w:val="002A02A9"/>
    <w:rsid w:val="002A06FF"/>
    <w:rsid w:val="002A1B65"/>
    <w:rsid w:val="002A61B1"/>
    <w:rsid w:val="002A663C"/>
    <w:rsid w:val="002B1E6C"/>
    <w:rsid w:val="002B2900"/>
    <w:rsid w:val="002B4405"/>
    <w:rsid w:val="002B444B"/>
    <w:rsid w:val="002B5887"/>
    <w:rsid w:val="002B6C4A"/>
    <w:rsid w:val="002C0692"/>
    <w:rsid w:val="002C0E27"/>
    <w:rsid w:val="002C3040"/>
    <w:rsid w:val="002C35B5"/>
    <w:rsid w:val="002C7688"/>
    <w:rsid w:val="002D022D"/>
    <w:rsid w:val="002D24BB"/>
    <w:rsid w:val="002E560A"/>
    <w:rsid w:val="002F2AF7"/>
    <w:rsid w:val="002F7E1C"/>
    <w:rsid w:val="00301A75"/>
    <w:rsid w:val="00302F70"/>
    <w:rsid w:val="00303278"/>
    <w:rsid w:val="0030336F"/>
    <w:rsid w:val="0030375E"/>
    <w:rsid w:val="0030607F"/>
    <w:rsid w:val="00306878"/>
    <w:rsid w:val="00312A30"/>
    <w:rsid w:val="00320F72"/>
    <w:rsid w:val="0032463E"/>
    <w:rsid w:val="00326224"/>
    <w:rsid w:val="00337EE4"/>
    <w:rsid w:val="0034016B"/>
    <w:rsid w:val="00340FFD"/>
    <w:rsid w:val="003445AE"/>
    <w:rsid w:val="00347AD6"/>
    <w:rsid w:val="003506B1"/>
    <w:rsid w:val="00351379"/>
    <w:rsid w:val="00352166"/>
    <w:rsid w:val="00352D10"/>
    <w:rsid w:val="00353243"/>
    <w:rsid w:val="003533A2"/>
    <w:rsid w:val="0035350C"/>
    <w:rsid w:val="00356AC7"/>
    <w:rsid w:val="00360683"/>
    <w:rsid w:val="003609FA"/>
    <w:rsid w:val="00360FD7"/>
    <w:rsid w:val="0036107A"/>
    <w:rsid w:val="00363752"/>
    <w:rsid w:val="00364583"/>
    <w:rsid w:val="00370731"/>
    <w:rsid w:val="003710C8"/>
    <w:rsid w:val="003750BE"/>
    <w:rsid w:val="00376A21"/>
    <w:rsid w:val="00387B9D"/>
    <w:rsid w:val="0039364F"/>
    <w:rsid w:val="00396686"/>
    <w:rsid w:val="0039778E"/>
    <w:rsid w:val="003A2BA4"/>
    <w:rsid w:val="003B4941"/>
    <w:rsid w:val="003B674C"/>
    <w:rsid w:val="003C5714"/>
    <w:rsid w:val="003C6B9F"/>
    <w:rsid w:val="003C6E2A"/>
    <w:rsid w:val="003C7E8D"/>
    <w:rsid w:val="003C7EFC"/>
    <w:rsid w:val="003D0299"/>
    <w:rsid w:val="003D0785"/>
    <w:rsid w:val="003E01BE"/>
    <w:rsid w:val="003E6D80"/>
    <w:rsid w:val="003F05FA"/>
    <w:rsid w:val="003F2163"/>
    <w:rsid w:val="003F244A"/>
    <w:rsid w:val="003F30B8"/>
    <w:rsid w:val="003F4C45"/>
    <w:rsid w:val="003F5F7B"/>
    <w:rsid w:val="003F6CC2"/>
    <w:rsid w:val="003F7D64"/>
    <w:rsid w:val="00401BBF"/>
    <w:rsid w:val="0040284E"/>
    <w:rsid w:val="004039C6"/>
    <w:rsid w:val="004127EF"/>
    <w:rsid w:val="00414300"/>
    <w:rsid w:val="00416635"/>
    <w:rsid w:val="0041715A"/>
    <w:rsid w:val="00423A7D"/>
    <w:rsid w:val="00425C67"/>
    <w:rsid w:val="00426BB6"/>
    <w:rsid w:val="00427E7A"/>
    <w:rsid w:val="0043168D"/>
    <w:rsid w:val="004334FF"/>
    <w:rsid w:val="00436307"/>
    <w:rsid w:val="00436C49"/>
    <w:rsid w:val="00440B75"/>
    <w:rsid w:val="00442DA4"/>
    <w:rsid w:val="00445366"/>
    <w:rsid w:val="00447856"/>
    <w:rsid w:val="00447F5B"/>
    <w:rsid w:val="00450582"/>
    <w:rsid w:val="00457716"/>
    <w:rsid w:val="004602D3"/>
    <w:rsid w:val="00461AB7"/>
    <w:rsid w:val="00461DB0"/>
    <w:rsid w:val="00463926"/>
    <w:rsid w:val="004646E0"/>
    <w:rsid w:val="00464C9A"/>
    <w:rsid w:val="004708BE"/>
    <w:rsid w:val="00473C0F"/>
    <w:rsid w:val="00474F3D"/>
    <w:rsid w:val="00475C11"/>
    <w:rsid w:val="00477E3A"/>
    <w:rsid w:val="00483408"/>
    <w:rsid w:val="00483E5F"/>
    <w:rsid w:val="00485FF9"/>
    <w:rsid w:val="004907F0"/>
    <w:rsid w:val="0049140B"/>
    <w:rsid w:val="004923A5"/>
    <w:rsid w:val="00496BFB"/>
    <w:rsid w:val="004A15C7"/>
    <w:rsid w:val="004A7183"/>
    <w:rsid w:val="004B013B"/>
    <w:rsid w:val="004B0E8D"/>
    <w:rsid w:val="004B112B"/>
    <w:rsid w:val="004B3D7B"/>
    <w:rsid w:val="004B5B74"/>
    <w:rsid w:val="004C01E4"/>
    <w:rsid w:val="004C086C"/>
    <w:rsid w:val="004C0A4B"/>
    <w:rsid w:val="004C1F56"/>
    <w:rsid w:val="004C27BC"/>
    <w:rsid w:val="004D15F3"/>
    <w:rsid w:val="004D5311"/>
    <w:rsid w:val="004D5DCC"/>
    <w:rsid w:val="004E35D5"/>
    <w:rsid w:val="004E4B5C"/>
    <w:rsid w:val="004F10AF"/>
    <w:rsid w:val="004F11A4"/>
    <w:rsid w:val="004F1578"/>
    <w:rsid w:val="004F2389"/>
    <w:rsid w:val="004F304D"/>
    <w:rsid w:val="004F61BE"/>
    <w:rsid w:val="004F66B1"/>
    <w:rsid w:val="004F684C"/>
    <w:rsid w:val="004F7902"/>
    <w:rsid w:val="004F7EAF"/>
    <w:rsid w:val="00503EC7"/>
    <w:rsid w:val="00511C07"/>
    <w:rsid w:val="00515989"/>
    <w:rsid w:val="005173A6"/>
    <w:rsid w:val="00520BAA"/>
    <w:rsid w:val="00525208"/>
    <w:rsid w:val="005257A5"/>
    <w:rsid w:val="005264C0"/>
    <w:rsid w:val="00526A8A"/>
    <w:rsid w:val="005300A8"/>
    <w:rsid w:val="0053100A"/>
    <w:rsid w:val="00531DF2"/>
    <w:rsid w:val="00532140"/>
    <w:rsid w:val="0053425B"/>
    <w:rsid w:val="005343AB"/>
    <w:rsid w:val="00534ACC"/>
    <w:rsid w:val="00541971"/>
    <w:rsid w:val="005442EE"/>
    <w:rsid w:val="00547065"/>
    <w:rsid w:val="00547353"/>
    <w:rsid w:val="005474E7"/>
    <w:rsid w:val="00550136"/>
    <w:rsid w:val="005512A3"/>
    <w:rsid w:val="005538DC"/>
    <w:rsid w:val="00556297"/>
    <w:rsid w:val="00556660"/>
    <w:rsid w:val="00557515"/>
    <w:rsid w:val="005578CE"/>
    <w:rsid w:val="00562781"/>
    <w:rsid w:val="00563E83"/>
    <w:rsid w:val="00567274"/>
    <w:rsid w:val="005673FC"/>
    <w:rsid w:val="00567E05"/>
    <w:rsid w:val="00571222"/>
    <w:rsid w:val="00571949"/>
    <w:rsid w:val="0057271C"/>
    <w:rsid w:val="00572845"/>
    <w:rsid w:val="0058006A"/>
    <w:rsid w:val="005810EF"/>
    <w:rsid w:val="0058287C"/>
    <w:rsid w:val="00584360"/>
    <w:rsid w:val="00590A2B"/>
    <w:rsid w:val="00592772"/>
    <w:rsid w:val="0059574A"/>
    <w:rsid w:val="00595CE7"/>
    <w:rsid w:val="005A0AEE"/>
    <w:rsid w:val="005A1B9B"/>
    <w:rsid w:val="005A2459"/>
    <w:rsid w:val="005A2967"/>
    <w:rsid w:val="005A552D"/>
    <w:rsid w:val="005A6751"/>
    <w:rsid w:val="005A6F87"/>
    <w:rsid w:val="005A7A98"/>
    <w:rsid w:val="005B092E"/>
    <w:rsid w:val="005B152C"/>
    <w:rsid w:val="005B1EE0"/>
    <w:rsid w:val="005B2B24"/>
    <w:rsid w:val="005B4425"/>
    <w:rsid w:val="005B4B94"/>
    <w:rsid w:val="005C2085"/>
    <w:rsid w:val="005C3EE8"/>
    <w:rsid w:val="005D34F9"/>
    <w:rsid w:val="005D4190"/>
    <w:rsid w:val="005D67A3"/>
    <w:rsid w:val="005E24D1"/>
    <w:rsid w:val="005E2988"/>
    <w:rsid w:val="005E2A43"/>
    <w:rsid w:val="005E3085"/>
    <w:rsid w:val="005E438A"/>
    <w:rsid w:val="005E772D"/>
    <w:rsid w:val="005F51E1"/>
    <w:rsid w:val="005F5E1D"/>
    <w:rsid w:val="0060077B"/>
    <w:rsid w:val="00603A81"/>
    <w:rsid w:val="00605D4B"/>
    <w:rsid w:val="00611C80"/>
    <w:rsid w:val="006140FB"/>
    <w:rsid w:val="00614823"/>
    <w:rsid w:val="006176AF"/>
    <w:rsid w:val="00620692"/>
    <w:rsid w:val="00620F01"/>
    <w:rsid w:val="006242CA"/>
    <w:rsid w:val="00627507"/>
    <w:rsid w:val="00627E75"/>
    <w:rsid w:val="006304C3"/>
    <w:rsid w:val="0063143C"/>
    <w:rsid w:val="00633717"/>
    <w:rsid w:val="006344E1"/>
    <w:rsid w:val="0063775F"/>
    <w:rsid w:val="00641017"/>
    <w:rsid w:val="00645FAD"/>
    <w:rsid w:val="0064640F"/>
    <w:rsid w:val="006465B9"/>
    <w:rsid w:val="00653AA8"/>
    <w:rsid w:val="006543D6"/>
    <w:rsid w:val="006545C4"/>
    <w:rsid w:val="00656526"/>
    <w:rsid w:val="006608A3"/>
    <w:rsid w:val="00661971"/>
    <w:rsid w:val="00661CE8"/>
    <w:rsid w:val="006623D9"/>
    <w:rsid w:val="00664EE6"/>
    <w:rsid w:val="00664F1A"/>
    <w:rsid w:val="0066550C"/>
    <w:rsid w:val="006716F2"/>
    <w:rsid w:val="00682807"/>
    <w:rsid w:val="00682BF2"/>
    <w:rsid w:val="006859CE"/>
    <w:rsid w:val="00691270"/>
    <w:rsid w:val="0069213D"/>
    <w:rsid w:val="00694BA8"/>
    <w:rsid w:val="00694F0C"/>
    <w:rsid w:val="006A037C"/>
    <w:rsid w:val="006A1C57"/>
    <w:rsid w:val="006A36F4"/>
    <w:rsid w:val="006A406F"/>
    <w:rsid w:val="006A4964"/>
    <w:rsid w:val="006A5D3A"/>
    <w:rsid w:val="006B570A"/>
    <w:rsid w:val="006C23D4"/>
    <w:rsid w:val="006C2647"/>
    <w:rsid w:val="006C44D0"/>
    <w:rsid w:val="006C7BB0"/>
    <w:rsid w:val="006D0C36"/>
    <w:rsid w:val="006D17C5"/>
    <w:rsid w:val="006D3237"/>
    <w:rsid w:val="006D3E7B"/>
    <w:rsid w:val="006E2E37"/>
    <w:rsid w:val="006E3CF1"/>
    <w:rsid w:val="006E5598"/>
    <w:rsid w:val="006E7E80"/>
    <w:rsid w:val="006F0A07"/>
    <w:rsid w:val="006F1DF9"/>
    <w:rsid w:val="006F24DB"/>
    <w:rsid w:val="006F48CA"/>
    <w:rsid w:val="006F58FF"/>
    <w:rsid w:val="006F64DD"/>
    <w:rsid w:val="00703CF6"/>
    <w:rsid w:val="00706709"/>
    <w:rsid w:val="007069AF"/>
    <w:rsid w:val="00713927"/>
    <w:rsid w:val="00715127"/>
    <w:rsid w:val="00715E8E"/>
    <w:rsid w:val="00720D2D"/>
    <w:rsid w:val="00723580"/>
    <w:rsid w:val="00723755"/>
    <w:rsid w:val="00727143"/>
    <w:rsid w:val="00727933"/>
    <w:rsid w:val="0073136C"/>
    <w:rsid w:val="00731F0F"/>
    <w:rsid w:val="00733250"/>
    <w:rsid w:val="00734A55"/>
    <w:rsid w:val="00737209"/>
    <w:rsid w:val="007403E7"/>
    <w:rsid w:val="00741404"/>
    <w:rsid w:val="00744355"/>
    <w:rsid w:val="007449E5"/>
    <w:rsid w:val="00745782"/>
    <w:rsid w:val="00746C5A"/>
    <w:rsid w:val="00747FF0"/>
    <w:rsid w:val="00757D2A"/>
    <w:rsid w:val="007647BB"/>
    <w:rsid w:val="00764D4E"/>
    <w:rsid w:val="00765A1F"/>
    <w:rsid w:val="00771341"/>
    <w:rsid w:val="00775B6D"/>
    <w:rsid w:val="00776D68"/>
    <w:rsid w:val="007813D0"/>
    <w:rsid w:val="00782138"/>
    <w:rsid w:val="00783F08"/>
    <w:rsid w:val="007850EE"/>
    <w:rsid w:val="00785A96"/>
    <w:rsid w:val="00785B95"/>
    <w:rsid w:val="00790596"/>
    <w:rsid w:val="00790E96"/>
    <w:rsid w:val="00791BEF"/>
    <w:rsid w:val="00793366"/>
    <w:rsid w:val="0079388C"/>
    <w:rsid w:val="0079740E"/>
    <w:rsid w:val="007A0C0E"/>
    <w:rsid w:val="007A641A"/>
    <w:rsid w:val="007A716F"/>
    <w:rsid w:val="007B270A"/>
    <w:rsid w:val="007B33F8"/>
    <w:rsid w:val="007B3DFA"/>
    <w:rsid w:val="007B68C1"/>
    <w:rsid w:val="007C0695"/>
    <w:rsid w:val="007C419A"/>
    <w:rsid w:val="007C4CC8"/>
    <w:rsid w:val="007C5426"/>
    <w:rsid w:val="007C5798"/>
    <w:rsid w:val="007C5A1E"/>
    <w:rsid w:val="007D4832"/>
    <w:rsid w:val="007E21B2"/>
    <w:rsid w:val="007E2C4E"/>
    <w:rsid w:val="007F0A84"/>
    <w:rsid w:val="007F1905"/>
    <w:rsid w:val="00801300"/>
    <w:rsid w:val="00802C64"/>
    <w:rsid w:val="00802DC6"/>
    <w:rsid w:val="00803731"/>
    <w:rsid w:val="00804CAF"/>
    <w:rsid w:val="00805E52"/>
    <w:rsid w:val="008061D0"/>
    <w:rsid w:val="00810B38"/>
    <w:rsid w:val="00812B49"/>
    <w:rsid w:val="00815A7B"/>
    <w:rsid w:val="008204C7"/>
    <w:rsid w:val="00820992"/>
    <w:rsid w:val="00822448"/>
    <w:rsid w:val="00822FE2"/>
    <w:rsid w:val="00823602"/>
    <w:rsid w:val="008255F5"/>
    <w:rsid w:val="008261A1"/>
    <w:rsid w:val="0083014E"/>
    <w:rsid w:val="0083214A"/>
    <w:rsid w:val="008328B9"/>
    <w:rsid w:val="00833C6B"/>
    <w:rsid w:val="00834220"/>
    <w:rsid w:val="008361C6"/>
    <w:rsid w:val="00837320"/>
    <w:rsid w:val="0083774D"/>
    <w:rsid w:val="00840C8A"/>
    <w:rsid w:val="00845723"/>
    <w:rsid w:val="0084688F"/>
    <w:rsid w:val="00851EF9"/>
    <w:rsid w:val="008564E8"/>
    <w:rsid w:val="0085765A"/>
    <w:rsid w:val="008577FD"/>
    <w:rsid w:val="00860B03"/>
    <w:rsid w:val="00861B17"/>
    <w:rsid w:val="0086497A"/>
    <w:rsid w:val="00865A45"/>
    <w:rsid w:val="00867801"/>
    <w:rsid w:val="008713A1"/>
    <w:rsid w:val="00873F8D"/>
    <w:rsid w:val="008751F4"/>
    <w:rsid w:val="008754AB"/>
    <w:rsid w:val="0088060C"/>
    <w:rsid w:val="00887CF4"/>
    <w:rsid w:val="00893576"/>
    <w:rsid w:val="00893E73"/>
    <w:rsid w:val="0089612D"/>
    <w:rsid w:val="008A146D"/>
    <w:rsid w:val="008A2D65"/>
    <w:rsid w:val="008A43C4"/>
    <w:rsid w:val="008A4BF3"/>
    <w:rsid w:val="008B02DC"/>
    <w:rsid w:val="008B0874"/>
    <w:rsid w:val="008B3D27"/>
    <w:rsid w:val="008B4F29"/>
    <w:rsid w:val="008B57CE"/>
    <w:rsid w:val="008B659F"/>
    <w:rsid w:val="008C26DE"/>
    <w:rsid w:val="008C28F8"/>
    <w:rsid w:val="008C39C8"/>
    <w:rsid w:val="008C4AFB"/>
    <w:rsid w:val="008C5259"/>
    <w:rsid w:val="008D17A4"/>
    <w:rsid w:val="008D2225"/>
    <w:rsid w:val="008D4752"/>
    <w:rsid w:val="008D552A"/>
    <w:rsid w:val="008D5675"/>
    <w:rsid w:val="008D7B37"/>
    <w:rsid w:val="008E00DC"/>
    <w:rsid w:val="008E0718"/>
    <w:rsid w:val="008E071C"/>
    <w:rsid w:val="008E271C"/>
    <w:rsid w:val="008E418E"/>
    <w:rsid w:val="008E5BC6"/>
    <w:rsid w:val="008E5E14"/>
    <w:rsid w:val="008E658C"/>
    <w:rsid w:val="008E6A25"/>
    <w:rsid w:val="008F4702"/>
    <w:rsid w:val="008F5193"/>
    <w:rsid w:val="008F72E5"/>
    <w:rsid w:val="008F7A56"/>
    <w:rsid w:val="00900348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20007"/>
    <w:rsid w:val="009259AC"/>
    <w:rsid w:val="00926F38"/>
    <w:rsid w:val="00926FD3"/>
    <w:rsid w:val="00930366"/>
    <w:rsid w:val="009328D5"/>
    <w:rsid w:val="00934301"/>
    <w:rsid w:val="00936CD1"/>
    <w:rsid w:val="00940722"/>
    <w:rsid w:val="00940C59"/>
    <w:rsid w:val="00941747"/>
    <w:rsid w:val="00941EFB"/>
    <w:rsid w:val="00941F24"/>
    <w:rsid w:val="00943E13"/>
    <w:rsid w:val="00947AFB"/>
    <w:rsid w:val="00951D7D"/>
    <w:rsid w:val="00952C12"/>
    <w:rsid w:val="009544B8"/>
    <w:rsid w:val="0095455E"/>
    <w:rsid w:val="0095471A"/>
    <w:rsid w:val="009630C7"/>
    <w:rsid w:val="00963C85"/>
    <w:rsid w:val="009727BA"/>
    <w:rsid w:val="00972B55"/>
    <w:rsid w:val="009743B7"/>
    <w:rsid w:val="00975896"/>
    <w:rsid w:val="00975AF7"/>
    <w:rsid w:val="0098228B"/>
    <w:rsid w:val="009828DA"/>
    <w:rsid w:val="00982972"/>
    <w:rsid w:val="00985BAB"/>
    <w:rsid w:val="00996C7E"/>
    <w:rsid w:val="00997E48"/>
    <w:rsid w:val="00997F03"/>
    <w:rsid w:val="009A29A0"/>
    <w:rsid w:val="009A46DF"/>
    <w:rsid w:val="009A62B6"/>
    <w:rsid w:val="009B08D6"/>
    <w:rsid w:val="009B1B5F"/>
    <w:rsid w:val="009B1F4C"/>
    <w:rsid w:val="009B2CEA"/>
    <w:rsid w:val="009B2EC2"/>
    <w:rsid w:val="009B55A1"/>
    <w:rsid w:val="009B6673"/>
    <w:rsid w:val="009C191B"/>
    <w:rsid w:val="009C2BD6"/>
    <w:rsid w:val="009D2253"/>
    <w:rsid w:val="009D722A"/>
    <w:rsid w:val="009E0103"/>
    <w:rsid w:val="009E1F32"/>
    <w:rsid w:val="009E5829"/>
    <w:rsid w:val="009E776C"/>
    <w:rsid w:val="009F54DB"/>
    <w:rsid w:val="009F5ACE"/>
    <w:rsid w:val="00A051C1"/>
    <w:rsid w:val="00A10678"/>
    <w:rsid w:val="00A1726E"/>
    <w:rsid w:val="00A204CF"/>
    <w:rsid w:val="00A227A6"/>
    <w:rsid w:val="00A23D49"/>
    <w:rsid w:val="00A24D1A"/>
    <w:rsid w:val="00A265BB"/>
    <w:rsid w:val="00A27004"/>
    <w:rsid w:val="00A3045F"/>
    <w:rsid w:val="00A30C29"/>
    <w:rsid w:val="00A32247"/>
    <w:rsid w:val="00A34DD6"/>
    <w:rsid w:val="00A36819"/>
    <w:rsid w:val="00A36989"/>
    <w:rsid w:val="00A4085A"/>
    <w:rsid w:val="00A43628"/>
    <w:rsid w:val="00A43689"/>
    <w:rsid w:val="00A43956"/>
    <w:rsid w:val="00A43E58"/>
    <w:rsid w:val="00A47346"/>
    <w:rsid w:val="00A51507"/>
    <w:rsid w:val="00A54192"/>
    <w:rsid w:val="00A550F0"/>
    <w:rsid w:val="00A57AEF"/>
    <w:rsid w:val="00A6035E"/>
    <w:rsid w:val="00A6108B"/>
    <w:rsid w:val="00A6144C"/>
    <w:rsid w:val="00A624DA"/>
    <w:rsid w:val="00A63CA6"/>
    <w:rsid w:val="00A66617"/>
    <w:rsid w:val="00A671F8"/>
    <w:rsid w:val="00A673A4"/>
    <w:rsid w:val="00A724AE"/>
    <w:rsid w:val="00A73329"/>
    <w:rsid w:val="00A82359"/>
    <w:rsid w:val="00A85CBD"/>
    <w:rsid w:val="00A865D2"/>
    <w:rsid w:val="00A9334F"/>
    <w:rsid w:val="00A94C20"/>
    <w:rsid w:val="00A952A3"/>
    <w:rsid w:val="00A95EF7"/>
    <w:rsid w:val="00A96ED6"/>
    <w:rsid w:val="00AA227F"/>
    <w:rsid w:val="00AA3BC7"/>
    <w:rsid w:val="00AA43F7"/>
    <w:rsid w:val="00AA754A"/>
    <w:rsid w:val="00AA78BE"/>
    <w:rsid w:val="00AB099E"/>
    <w:rsid w:val="00AB4328"/>
    <w:rsid w:val="00AB5FA0"/>
    <w:rsid w:val="00AB65D0"/>
    <w:rsid w:val="00AC1DF8"/>
    <w:rsid w:val="00AC4D80"/>
    <w:rsid w:val="00AC4FD9"/>
    <w:rsid w:val="00AC7605"/>
    <w:rsid w:val="00AD2D40"/>
    <w:rsid w:val="00AD419A"/>
    <w:rsid w:val="00AD52B9"/>
    <w:rsid w:val="00AE0A2E"/>
    <w:rsid w:val="00AE13C6"/>
    <w:rsid w:val="00AE354C"/>
    <w:rsid w:val="00AF1A31"/>
    <w:rsid w:val="00AF3392"/>
    <w:rsid w:val="00AF4B07"/>
    <w:rsid w:val="00AF6186"/>
    <w:rsid w:val="00AF7A3A"/>
    <w:rsid w:val="00B00A52"/>
    <w:rsid w:val="00B04827"/>
    <w:rsid w:val="00B0612E"/>
    <w:rsid w:val="00B07B91"/>
    <w:rsid w:val="00B11007"/>
    <w:rsid w:val="00B1355F"/>
    <w:rsid w:val="00B15AF9"/>
    <w:rsid w:val="00B160DB"/>
    <w:rsid w:val="00B20836"/>
    <w:rsid w:val="00B23026"/>
    <w:rsid w:val="00B235BB"/>
    <w:rsid w:val="00B25416"/>
    <w:rsid w:val="00B2561F"/>
    <w:rsid w:val="00B25B34"/>
    <w:rsid w:val="00B27A44"/>
    <w:rsid w:val="00B303DF"/>
    <w:rsid w:val="00B30BBF"/>
    <w:rsid w:val="00B32753"/>
    <w:rsid w:val="00B3383B"/>
    <w:rsid w:val="00B33C03"/>
    <w:rsid w:val="00B449E1"/>
    <w:rsid w:val="00B44E56"/>
    <w:rsid w:val="00B46543"/>
    <w:rsid w:val="00B47D33"/>
    <w:rsid w:val="00B52BE0"/>
    <w:rsid w:val="00B54133"/>
    <w:rsid w:val="00B54E25"/>
    <w:rsid w:val="00B55A0B"/>
    <w:rsid w:val="00B57784"/>
    <w:rsid w:val="00B637B9"/>
    <w:rsid w:val="00B700D6"/>
    <w:rsid w:val="00B701ED"/>
    <w:rsid w:val="00B71A59"/>
    <w:rsid w:val="00B74CDD"/>
    <w:rsid w:val="00B805A9"/>
    <w:rsid w:val="00B8086C"/>
    <w:rsid w:val="00B80B64"/>
    <w:rsid w:val="00B80B9E"/>
    <w:rsid w:val="00B861B4"/>
    <w:rsid w:val="00B86C53"/>
    <w:rsid w:val="00B86DFE"/>
    <w:rsid w:val="00B90074"/>
    <w:rsid w:val="00B90990"/>
    <w:rsid w:val="00B9140C"/>
    <w:rsid w:val="00B922FF"/>
    <w:rsid w:val="00B9281E"/>
    <w:rsid w:val="00B92C0F"/>
    <w:rsid w:val="00B93925"/>
    <w:rsid w:val="00B95187"/>
    <w:rsid w:val="00B958F3"/>
    <w:rsid w:val="00BA2076"/>
    <w:rsid w:val="00BA2D55"/>
    <w:rsid w:val="00BA3324"/>
    <w:rsid w:val="00BA71B1"/>
    <w:rsid w:val="00BB0637"/>
    <w:rsid w:val="00BB345F"/>
    <w:rsid w:val="00BB5883"/>
    <w:rsid w:val="00BB68EA"/>
    <w:rsid w:val="00BB7602"/>
    <w:rsid w:val="00BC0FA9"/>
    <w:rsid w:val="00BC1C27"/>
    <w:rsid w:val="00BC35B1"/>
    <w:rsid w:val="00BC4221"/>
    <w:rsid w:val="00BC6BBF"/>
    <w:rsid w:val="00BC7E73"/>
    <w:rsid w:val="00BD1572"/>
    <w:rsid w:val="00BE14E3"/>
    <w:rsid w:val="00BE3774"/>
    <w:rsid w:val="00BE41E5"/>
    <w:rsid w:val="00BE5358"/>
    <w:rsid w:val="00BE535E"/>
    <w:rsid w:val="00BE5578"/>
    <w:rsid w:val="00BE5DE7"/>
    <w:rsid w:val="00BE7A23"/>
    <w:rsid w:val="00BF0BBB"/>
    <w:rsid w:val="00BF4109"/>
    <w:rsid w:val="00BF4B04"/>
    <w:rsid w:val="00BF4CC3"/>
    <w:rsid w:val="00C054C7"/>
    <w:rsid w:val="00C057B5"/>
    <w:rsid w:val="00C111C0"/>
    <w:rsid w:val="00C16C17"/>
    <w:rsid w:val="00C17C15"/>
    <w:rsid w:val="00C22687"/>
    <w:rsid w:val="00C22FC2"/>
    <w:rsid w:val="00C31DF7"/>
    <w:rsid w:val="00C32E4D"/>
    <w:rsid w:val="00C333A0"/>
    <w:rsid w:val="00C356C6"/>
    <w:rsid w:val="00C36A81"/>
    <w:rsid w:val="00C41974"/>
    <w:rsid w:val="00C447AD"/>
    <w:rsid w:val="00C4717F"/>
    <w:rsid w:val="00C4727C"/>
    <w:rsid w:val="00C50E8F"/>
    <w:rsid w:val="00C53F4A"/>
    <w:rsid w:val="00C54125"/>
    <w:rsid w:val="00C55B54"/>
    <w:rsid w:val="00C6098E"/>
    <w:rsid w:val="00C6152C"/>
    <w:rsid w:val="00C61F14"/>
    <w:rsid w:val="00C621C2"/>
    <w:rsid w:val="00C70F9F"/>
    <w:rsid w:val="00C742D3"/>
    <w:rsid w:val="00C74810"/>
    <w:rsid w:val="00C83AF6"/>
    <w:rsid w:val="00C90D68"/>
    <w:rsid w:val="00C939FE"/>
    <w:rsid w:val="00CA3641"/>
    <w:rsid w:val="00CA3F8B"/>
    <w:rsid w:val="00CA4BDA"/>
    <w:rsid w:val="00CA5B27"/>
    <w:rsid w:val="00CB1F66"/>
    <w:rsid w:val="00CB2096"/>
    <w:rsid w:val="00CB2951"/>
    <w:rsid w:val="00CC0E46"/>
    <w:rsid w:val="00CC45F8"/>
    <w:rsid w:val="00CC4F3F"/>
    <w:rsid w:val="00CD282B"/>
    <w:rsid w:val="00CD4C35"/>
    <w:rsid w:val="00CD7369"/>
    <w:rsid w:val="00CE0B0E"/>
    <w:rsid w:val="00CE3831"/>
    <w:rsid w:val="00CE5815"/>
    <w:rsid w:val="00CE7094"/>
    <w:rsid w:val="00CF0A79"/>
    <w:rsid w:val="00CF277F"/>
    <w:rsid w:val="00CF7682"/>
    <w:rsid w:val="00D00ABB"/>
    <w:rsid w:val="00D02EEC"/>
    <w:rsid w:val="00D03551"/>
    <w:rsid w:val="00D06A63"/>
    <w:rsid w:val="00D07E0E"/>
    <w:rsid w:val="00D11478"/>
    <w:rsid w:val="00D118B6"/>
    <w:rsid w:val="00D15234"/>
    <w:rsid w:val="00D15ED0"/>
    <w:rsid w:val="00D161C4"/>
    <w:rsid w:val="00D179C1"/>
    <w:rsid w:val="00D21B3E"/>
    <w:rsid w:val="00D21FED"/>
    <w:rsid w:val="00D24038"/>
    <w:rsid w:val="00D24251"/>
    <w:rsid w:val="00D24F95"/>
    <w:rsid w:val="00D27B5F"/>
    <w:rsid w:val="00D343E2"/>
    <w:rsid w:val="00D361A2"/>
    <w:rsid w:val="00D4285F"/>
    <w:rsid w:val="00D44C2E"/>
    <w:rsid w:val="00D45414"/>
    <w:rsid w:val="00D46192"/>
    <w:rsid w:val="00D53B59"/>
    <w:rsid w:val="00D53C0F"/>
    <w:rsid w:val="00D54428"/>
    <w:rsid w:val="00D563BD"/>
    <w:rsid w:val="00D566BD"/>
    <w:rsid w:val="00D57A4D"/>
    <w:rsid w:val="00D60AA7"/>
    <w:rsid w:val="00D60D87"/>
    <w:rsid w:val="00D63DC5"/>
    <w:rsid w:val="00D6435F"/>
    <w:rsid w:val="00D652F4"/>
    <w:rsid w:val="00D71050"/>
    <w:rsid w:val="00D74DE4"/>
    <w:rsid w:val="00D75E28"/>
    <w:rsid w:val="00D772C2"/>
    <w:rsid w:val="00D8008E"/>
    <w:rsid w:val="00D8178E"/>
    <w:rsid w:val="00D82C45"/>
    <w:rsid w:val="00D835EA"/>
    <w:rsid w:val="00D908A8"/>
    <w:rsid w:val="00D977B6"/>
    <w:rsid w:val="00DA03CB"/>
    <w:rsid w:val="00DA4A31"/>
    <w:rsid w:val="00DA61F2"/>
    <w:rsid w:val="00DA65F3"/>
    <w:rsid w:val="00DA7B04"/>
    <w:rsid w:val="00DB0B6B"/>
    <w:rsid w:val="00DB36C2"/>
    <w:rsid w:val="00DB45E9"/>
    <w:rsid w:val="00DB7196"/>
    <w:rsid w:val="00DC169B"/>
    <w:rsid w:val="00DC2AB9"/>
    <w:rsid w:val="00DC46A4"/>
    <w:rsid w:val="00DC63F0"/>
    <w:rsid w:val="00DD200B"/>
    <w:rsid w:val="00DD4076"/>
    <w:rsid w:val="00DD6EE5"/>
    <w:rsid w:val="00DE1B8E"/>
    <w:rsid w:val="00DE2DCC"/>
    <w:rsid w:val="00DE386C"/>
    <w:rsid w:val="00DE4AEC"/>
    <w:rsid w:val="00DE4D35"/>
    <w:rsid w:val="00DE5A52"/>
    <w:rsid w:val="00DF0549"/>
    <w:rsid w:val="00DF098B"/>
    <w:rsid w:val="00DF11C4"/>
    <w:rsid w:val="00DF210C"/>
    <w:rsid w:val="00DF3CB7"/>
    <w:rsid w:val="00DF4B6A"/>
    <w:rsid w:val="00DF7850"/>
    <w:rsid w:val="00E02C09"/>
    <w:rsid w:val="00E04D59"/>
    <w:rsid w:val="00E04F13"/>
    <w:rsid w:val="00E07DA1"/>
    <w:rsid w:val="00E11276"/>
    <w:rsid w:val="00E123CB"/>
    <w:rsid w:val="00E1557C"/>
    <w:rsid w:val="00E16802"/>
    <w:rsid w:val="00E205CC"/>
    <w:rsid w:val="00E2081D"/>
    <w:rsid w:val="00E20E13"/>
    <w:rsid w:val="00E21DBC"/>
    <w:rsid w:val="00E275D7"/>
    <w:rsid w:val="00E27DBE"/>
    <w:rsid w:val="00E327A1"/>
    <w:rsid w:val="00E32AB1"/>
    <w:rsid w:val="00E36874"/>
    <w:rsid w:val="00E36C71"/>
    <w:rsid w:val="00E370A7"/>
    <w:rsid w:val="00E40404"/>
    <w:rsid w:val="00E42441"/>
    <w:rsid w:val="00E42511"/>
    <w:rsid w:val="00E435D7"/>
    <w:rsid w:val="00E459C6"/>
    <w:rsid w:val="00E47589"/>
    <w:rsid w:val="00E5665E"/>
    <w:rsid w:val="00E6031B"/>
    <w:rsid w:val="00E61810"/>
    <w:rsid w:val="00E64915"/>
    <w:rsid w:val="00E661D4"/>
    <w:rsid w:val="00E676C7"/>
    <w:rsid w:val="00E70091"/>
    <w:rsid w:val="00E712A1"/>
    <w:rsid w:val="00E71F4F"/>
    <w:rsid w:val="00E720F5"/>
    <w:rsid w:val="00E72D4E"/>
    <w:rsid w:val="00E73FD0"/>
    <w:rsid w:val="00E76D47"/>
    <w:rsid w:val="00E849F7"/>
    <w:rsid w:val="00E90302"/>
    <w:rsid w:val="00E915DC"/>
    <w:rsid w:val="00E9597F"/>
    <w:rsid w:val="00E97396"/>
    <w:rsid w:val="00EA185E"/>
    <w:rsid w:val="00EA592A"/>
    <w:rsid w:val="00EA6A92"/>
    <w:rsid w:val="00EA6D00"/>
    <w:rsid w:val="00EB14E4"/>
    <w:rsid w:val="00EB32A5"/>
    <w:rsid w:val="00EB34ED"/>
    <w:rsid w:val="00EB7BE0"/>
    <w:rsid w:val="00EC056D"/>
    <w:rsid w:val="00EC315E"/>
    <w:rsid w:val="00EC5F30"/>
    <w:rsid w:val="00EC63EF"/>
    <w:rsid w:val="00ED077C"/>
    <w:rsid w:val="00ED1190"/>
    <w:rsid w:val="00ED1D11"/>
    <w:rsid w:val="00ED3D1C"/>
    <w:rsid w:val="00ED6018"/>
    <w:rsid w:val="00ED6544"/>
    <w:rsid w:val="00EE0277"/>
    <w:rsid w:val="00EE0E1C"/>
    <w:rsid w:val="00EE1DA9"/>
    <w:rsid w:val="00EE3E00"/>
    <w:rsid w:val="00EE5DD2"/>
    <w:rsid w:val="00EF41F1"/>
    <w:rsid w:val="00EF4F08"/>
    <w:rsid w:val="00F00A79"/>
    <w:rsid w:val="00F00E86"/>
    <w:rsid w:val="00F00F8B"/>
    <w:rsid w:val="00F053E4"/>
    <w:rsid w:val="00F0660B"/>
    <w:rsid w:val="00F07C1E"/>
    <w:rsid w:val="00F1030A"/>
    <w:rsid w:val="00F105DB"/>
    <w:rsid w:val="00F132BC"/>
    <w:rsid w:val="00F13D80"/>
    <w:rsid w:val="00F16AAA"/>
    <w:rsid w:val="00F20C6D"/>
    <w:rsid w:val="00F21161"/>
    <w:rsid w:val="00F218EF"/>
    <w:rsid w:val="00F21BC7"/>
    <w:rsid w:val="00F266A2"/>
    <w:rsid w:val="00F32269"/>
    <w:rsid w:val="00F322F7"/>
    <w:rsid w:val="00F4457E"/>
    <w:rsid w:val="00F46176"/>
    <w:rsid w:val="00F51E71"/>
    <w:rsid w:val="00F56A6F"/>
    <w:rsid w:val="00F5709C"/>
    <w:rsid w:val="00F60448"/>
    <w:rsid w:val="00F60DA5"/>
    <w:rsid w:val="00F64EF1"/>
    <w:rsid w:val="00F7349B"/>
    <w:rsid w:val="00F805C0"/>
    <w:rsid w:val="00F8317A"/>
    <w:rsid w:val="00F86EE1"/>
    <w:rsid w:val="00F8765F"/>
    <w:rsid w:val="00F90767"/>
    <w:rsid w:val="00F92E96"/>
    <w:rsid w:val="00F9492B"/>
    <w:rsid w:val="00F9530F"/>
    <w:rsid w:val="00FA685B"/>
    <w:rsid w:val="00FB0C01"/>
    <w:rsid w:val="00FB165C"/>
    <w:rsid w:val="00FB1948"/>
    <w:rsid w:val="00FB257E"/>
    <w:rsid w:val="00FB5688"/>
    <w:rsid w:val="00FB6354"/>
    <w:rsid w:val="00FC18F2"/>
    <w:rsid w:val="00FC1C52"/>
    <w:rsid w:val="00FC39E5"/>
    <w:rsid w:val="00FC3A78"/>
    <w:rsid w:val="00FC5FFE"/>
    <w:rsid w:val="00FC671F"/>
    <w:rsid w:val="00FD1005"/>
    <w:rsid w:val="00FD3180"/>
    <w:rsid w:val="00FD6C75"/>
    <w:rsid w:val="00FE15CC"/>
    <w:rsid w:val="00FE5AB5"/>
    <w:rsid w:val="00FE71B3"/>
    <w:rsid w:val="00FF02CB"/>
    <w:rsid w:val="00FF08F6"/>
    <w:rsid w:val="00FF42C5"/>
    <w:rsid w:val="00FF505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07"/>
    <w:pPr>
      <w:jc w:val="both"/>
    </w:pPr>
    <w:rPr>
      <w:rFonts w:eastAsia="MS Minch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507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507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507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1507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1507"/>
    <w:pPr>
      <w:spacing w:before="200"/>
      <w:outlineLvl w:val="4"/>
    </w:pPr>
    <w:rPr>
      <w:rFonts w:eastAsia="MS Gothic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1507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1507"/>
    <w:pPr>
      <w:outlineLvl w:val="6"/>
    </w:pPr>
    <w:rPr>
      <w:rFonts w:eastAsia="MS Gothic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507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1507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507"/>
    <w:rPr>
      <w:rFonts w:ascii="Tahoma" w:eastAsia="MS Mincho" w:hAnsi="Tahoma" w:cs="Tahoma"/>
      <w:sz w:val="16"/>
      <w:szCs w:val="16"/>
    </w:rPr>
  </w:style>
  <w:style w:type="character" w:customStyle="1" w:styleId="BookTitle1">
    <w:name w:val="Book Title1"/>
    <w:uiPriority w:val="99"/>
    <w:semiHidden/>
    <w:qFormat/>
    <w:rsid w:val="00A5150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A5150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A51507"/>
    <w:pPr>
      <w:jc w:val="left"/>
    </w:pPr>
    <w:rPr>
      <w:sz w:val="8"/>
    </w:rPr>
  </w:style>
  <w:style w:type="character" w:styleId="Strong">
    <w:name w:val="Strong"/>
    <w:uiPriority w:val="99"/>
    <w:qFormat/>
    <w:rsid w:val="00A51507"/>
    <w:rPr>
      <w:b/>
      <w:bCs/>
    </w:rPr>
  </w:style>
  <w:style w:type="paragraph" w:customStyle="1" w:styleId="NoSpacing1">
    <w:name w:val="No Spacing1"/>
    <w:basedOn w:val="Normal"/>
    <w:link w:val="NoSpacingChar"/>
    <w:semiHidden/>
    <w:qFormat/>
    <w:rsid w:val="00A51507"/>
  </w:style>
  <w:style w:type="character" w:customStyle="1" w:styleId="NoSpacingChar">
    <w:name w:val="No Spacing Char"/>
    <w:link w:val="NoSpacing1"/>
    <w:semiHidden/>
    <w:rsid w:val="00A51507"/>
    <w:rPr>
      <w:rFonts w:eastAsia="MS Mincho"/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A5150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A51507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A51507"/>
  </w:style>
  <w:style w:type="paragraph" w:customStyle="1" w:styleId="JuParaSub">
    <w:name w:val="Ju_Para_Sub"/>
    <w:basedOn w:val="ECHRPara"/>
    <w:uiPriority w:val="13"/>
    <w:qFormat/>
    <w:rsid w:val="00A51507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A51507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A51507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A51507"/>
  </w:style>
  <w:style w:type="paragraph" w:customStyle="1" w:styleId="OpiQuot">
    <w:name w:val="Opi_Quot"/>
    <w:basedOn w:val="ECHRParaQuote"/>
    <w:uiPriority w:val="48"/>
    <w:semiHidden/>
    <w:qFormat/>
    <w:rsid w:val="00A51507"/>
  </w:style>
  <w:style w:type="paragraph" w:customStyle="1" w:styleId="OpiQuotSub">
    <w:name w:val="Opi_Quot_Sub"/>
    <w:basedOn w:val="JuQuotSub"/>
    <w:uiPriority w:val="49"/>
    <w:semiHidden/>
    <w:qFormat/>
    <w:rsid w:val="00A51507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A51507"/>
    <w:pPr>
      <w:spacing w:after="240"/>
      <w:jc w:val="center"/>
      <w:outlineLvl w:val="0"/>
    </w:pPr>
  </w:style>
  <w:style w:type="paragraph" w:customStyle="1" w:styleId="JuTitle">
    <w:name w:val="Ju_Title"/>
    <w:basedOn w:val="Normal"/>
    <w:next w:val="ECHRPara"/>
    <w:uiPriority w:val="3"/>
    <w:qFormat/>
    <w:rsid w:val="00A51507"/>
    <w:pPr>
      <w:spacing w:before="720" w:after="240"/>
      <w:jc w:val="center"/>
      <w:outlineLvl w:val="0"/>
    </w:pPr>
    <w:rPr>
      <w:b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A51507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A51507"/>
    <w:rPr>
      <w:rFonts w:ascii="Times New Roman" w:eastAsia="MS Gothic" w:hAnsi="Times New Roman" w:cs="Times New Roman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99"/>
    <w:qFormat/>
    <w:rsid w:val="00A5150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A5150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A5150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A5150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A51507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A51507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A51507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A51507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A515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A51507"/>
    <w:rPr>
      <w:sz w:val="24"/>
    </w:rPr>
  </w:style>
  <w:style w:type="character" w:customStyle="1" w:styleId="Heading1Char">
    <w:name w:val="Heading 1 Char"/>
    <w:link w:val="Heading1"/>
    <w:uiPriority w:val="99"/>
    <w:semiHidden/>
    <w:rsid w:val="00A51507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99"/>
    <w:qFormat/>
    <w:rsid w:val="00A5150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99"/>
    <w:qFormat/>
    <w:rsid w:val="00A5150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link w:val="Heading2"/>
    <w:uiPriority w:val="99"/>
    <w:semiHidden/>
    <w:rsid w:val="00A51507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A51507"/>
    <w:rPr>
      <w:caps w:val="0"/>
      <w:smallCaps/>
    </w:rPr>
  </w:style>
  <w:style w:type="paragraph" w:customStyle="1" w:styleId="JuCase">
    <w:name w:val="Ju_Case"/>
    <w:basedOn w:val="Normal"/>
    <w:next w:val="ECHRPara"/>
    <w:uiPriority w:val="99"/>
    <w:rsid w:val="00A51507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A51507"/>
    <w:rPr>
      <w:rFonts w:ascii="Times New Roman" w:eastAsia="MS Gothic" w:hAnsi="Times New Roman" w:cs="Times New Roman"/>
      <w:b/>
      <w:bCs/>
      <w:color w:val="5F5F5F"/>
      <w:sz w:val="24"/>
    </w:rPr>
  </w:style>
  <w:style w:type="character" w:customStyle="1" w:styleId="Heading4Char">
    <w:name w:val="Heading 4 Char"/>
    <w:link w:val="Heading4"/>
    <w:uiPriority w:val="99"/>
    <w:semiHidden/>
    <w:rsid w:val="00A51507"/>
    <w:rPr>
      <w:rFonts w:ascii="Times New Roman" w:eastAsia="MS Gothic" w:hAnsi="Times New Roman" w:cs="Times New Roman"/>
      <w:b/>
      <w:bCs/>
      <w:i/>
      <w:iCs/>
      <w:color w:val="777777"/>
      <w:sz w:val="24"/>
    </w:rPr>
  </w:style>
  <w:style w:type="character" w:customStyle="1" w:styleId="Heading5Char">
    <w:name w:val="Heading 5 Char"/>
    <w:link w:val="Heading5"/>
    <w:uiPriority w:val="99"/>
    <w:semiHidden/>
    <w:rsid w:val="00A51507"/>
    <w:rPr>
      <w:rFonts w:ascii="Times New Roman" w:eastAsia="MS Gothic" w:hAnsi="Times New Roman" w:cs="Times New Roman"/>
      <w:b/>
      <w:bCs/>
      <w:color w:val="808080"/>
      <w:sz w:val="24"/>
    </w:rPr>
  </w:style>
  <w:style w:type="character" w:customStyle="1" w:styleId="SubtleEmphasis1">
    <w:name w:val="Subtle Emphasis1"/>
    <w:uiPriority w:val="99"/>
    <w:semiHidden/>
    <w:qFormat/>
    <w:rsid w:val="00A51507"/>
    <w:rPr>
      <w:i/>
      <w:iCs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99"/>
    <w:qFormat/>
    <w:rsid w:val="00A51507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qFormat/>
    <w:rsid w:val="00A515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A51507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A51507"/>
    <w:rPr>
      <w:sz w:val="24"/>
    </w:rPr>
  </w:style>
  <w:style w:type="character" w:styleId="FootnoteReference">
    <w:name w:val="footnote reference"/>
    <w:uiPriority w:val="99"/>
    <w:semiHidden/>
    <w:rsid w:val="00A515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515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51507"/>
    <w:rPr>
      <w:rFonts w:eastAsia="MS Mincho"/>
      <w:sz w:val="20"/>
      <w:szCs w:val="20"/>
    </w:rPr>
  </w:style>
  <w:style w:type="character" w:customStyle="1" w:styleId="Heading6Char">
    <w:name w:val="Heading 6 Char"/>
    <w:link w:val="Heading6"/>
    <w:uiPriority w:val="99"/>
    <w:semiHidden/>
    <w:rsid w:val="00A51507"/>
    <w:rPr>
      <w:rFonts w:ascii="Times New Roman" w:eastAsia="MS Gothic" w:hAnsi="Times New Roman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link w:val="Heading7"/>
    <w:uiPriority w:val="99"/>
    <w:semiHidden/>
    <w:rsid w:val="00A51507"/>
    <w:rPr>
      <w:rFonts w:ascii="Times New Roman" w:eastAsia="MS Gothic" w:hAnsi="Times New Roman" w:cs="Times New Roman"/>
      <w:i/>
      <w:iCs/>
      <w:sz w:val="24"/>
      <w:lang w:bidi="en-US"/>
    </w:rPr>
  </w:style>
  <w:style w:type="character" w:customStyle="1" w:styleId="Heading8Char">
    <w:name w:val="Heading 8 Char"/>
    <w:link w:val="Heading8"/>
    <w:uiPriority w:val="99"/>
    <w:semiHidden/>
    <w:rsid w:val="00A51507"/>
    <w:rPr>
      <w:rFonts w:ascii="Times New Roman" w:eastAsia="MS Gothic" w:hAnsi="Times New Roman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9"/>
    <w:semiHidden/>
    <w:rsid w:val="00A51507"/>
    <w:rPr>
      <w:rFonts w:ascii="Times New Roman" w:eastAsia="MS Gothic" w:hAnsi="Times New Roman" w:cs="Times New Roman"/>
      <w:i/>
      <w:iCs/>
      <w:spacing w:val="5"/>
      <w:sz w:val="20"/>
      <w:szCs w:val="20"/>
      <w:lang w:bidi="en-US"/>
    </w:rPr>
  </w:style>
  <w:style w:type="character" w:styleId="Hyperlink">
    <w:name w:val="Hyperlink"/>
    <w:uiPriority w:val="99"/>
    <w:semiHidden/>
    <w:rsid w:val="00A51507"/>
    <w:rPr>
      <w:color w:val="0072BC"/>
      <w:u w:val="single"/>
    </w:rPr>
  </w:style>
  <w:style w:type="character" w:customStyle="1" w:styleId="IntenseEmphasis1">
    <w:name w:val="Intense Emphasis1"/>
    <w:uiPriority w:val="99"/>
    <w:semiHidden/>
    <w:qFormat/>
    <w:rsid w:val="00A51507"/>
    <w:rPr>
      <w:b/>
      <w:bCs/>
    </w:rPr>
  </w:style>
  <w:style w:type="paragraph" w:customStyle="1" w:styleId="IntenseQuote1">
    <w:name w:val="Intense Quote1"/>
    <w:basedOn w:val="Normal"/>
    <w:next w:val="Normal"/>
    <w:link w:val="IntenseQuoteChar"/>
    <w:uiPriority w:val="99"/>
    <w:semiHidden/>
    <w:qFormat/>
    <w:rsid w:val="00A5150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link w:val="IntenseQuote1"/>
    <w:uiPriority w:val="99"/>
    <w:semiHidden/>
    <w:rsid w:val="00A51507"/>
    <w:rPr>
      <w:rFonts w:eastAsia="MS Mincho"/>
      <w:b/>
      <w:bCs/>
      <w:i/>
      <w:iCs/>
      <w:sz w:val="24"/>
      <w:lang w:bidi="en-US"/>
    </w:rPr>
  </w:style>
  <w:style w:type="character" w:customStyle="1" w:styleId="IntenseReference1">
    <w:name w:val="Intense Reference1"/>
    <w:uiPriority w:val="99"/>
    <w:semiHidden/>
    <w:qFormat/>
    <w:rsid w:val="00A51507"/>
    <w:rPr>
      <w:smallCaps/>
      <w:spacing w:val="5"/>
      <w:u w:val="single"/>
    </w:rPr>
  </w:style>
  <w:style w:type="paragraph" w:customStyle="1" w:styleId="ListParagraph1">
    <w:name w:val="List Paragraph1"/>
    <w:basedOn w:val="Normal"/>
    <w:uiPriority w:val="99"/>
    <w:semiHidden/>
    <w:qFormat/>
    <w:rsid w:val="00A5150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customStyle="1" w:styleId="Quote1">
    <w:name w:val="Quote1"/>
    <w:basedOn w:val="Normal"/>
    <w:next w:val="Normal"/>
    <w:link w:val="QuoteChar"/>
    <w:uiPriority w:val="99"/>
    <w:semiHidden/>
    <w:qFormat/>
    <w:rsid w:val="00A51507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link w:val="Quote1"/>
    <w:uiPriority w:val="99"/>
    <w:semiHidden/>
    <w:rsid w:val="00A51507"/>
    <w:rPr>
      <w:rFonts w:eastAsia="MS Mincho"/>
      <w:i/>
      <w:iCs/>
      <w:sz w:val="24"/>
      <w:lang w:bidi="en-US"/>
    </w:rPr>
  </w:style>
  <w:style w:type="character" w:customStyle="1" w:styleId="SubtleReference1">
    <w:name w:val="Subtle Reference1"/>
    <w:uiPriority w:val="99"/>
    <w:semiHidden/>
    <w:qFormat/>
    <w:rsid w:val="00A51507"/>
    <w:rPr>
      <w:smallCaps/>
    </w:rPr>
  </w:style>
  <w:style w:type="table" w:styleId="TableGrid">
    <w:name w:val="Table Grid"/>
    <w:basedOn w:val="TableNormal"/>
    <w:uiPriority w:val="59"/>
    <w:rsid w:val="00A5150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A51507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A51507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A51507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A51507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A51507"/>
    <w:pPr>
      <w:spacing w:after="60"/>
      <w:ind w:left="1701" w:right="340" w:hanging="340"/>
    </w:pPr>
  </w:style>
  <w:style w:type="paragraph" w:customStyle="1" w:styleId="TOCHeading1">
    <w:name w:val="TOC Heading1"/>
    <w:basedOn w:val="Heading1"/>
    <w:next w:val="Normal"/>
    <w:uiPriority w:val="99"/>
    <w:semiHidden/>
    <w:qFormat/>
    <w:rsid w:val="00A51507"/>
    <w:pPr>
      <w:outlineLvl w:val="9"/>
    </w:pPr>
    <w:rPr>
      <w:color w:val="474747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A51507"/>
    <w:pPr>
      <w:spacing w:before="120"/>
    </w:pPr>
    <w:rPr>
      <w:rFonts w:eastAsia="MS Gothic"/>
      <w:b/>
      <w:bCs/>
      <w:color w:val="474747"/>
      <w:szCs w:val="24"/>
    </w:rPr>
  </w:style>
  <w:style w:type="paragraph" w:customStyle="1" w:styleId="ECHRParaQuote">
    <w:name w:val="ECHR_Para_Quote"/>
    <w:aliases w:val="Ju_Quot"/>
    <w:basedOn w:val="Normal"/>
    <w:uiPriority w:val="99"/>
    <w:qFormat/>
    <w:rsid w:val="00A51507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"/>
    <w:basedOn w:val="Normal"/>
    <w:link w:val="ECHRParaChar"/>
    <w:uiPriority w:val="99"/>
    <w:qFormat/>
    <w:rsid w:val="00A51507"/>
    <w:pPr>
      <w:ind w:firstLine="284"/>
    </w:pPr>
    <w:rPr>
      <w:szCs w:val="20"/>
      <w:lang w:val="x-none" w:eastAsia="x-none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A51507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99"/>
    <w:qFormat/>
    <w:rsid w:val="00A51507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A51507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A5150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A51507"/>
    <w:pPr>
      <w:keepNext/>
      <w:keepLines/>
      <w:spacing w:before="240"/>
      <w:ind w:firstLine="284"/>
    </w:pPr>
  </w:style>
  <w:style w:type="character" w:customStyle="1" w:styleId="JuITMark">
    <w:name w:val="Ju_ITMark"/>
    <w:uiPriority w:val="38"/>
    <w:qFormat/>
    <w:rsid w:val="00A51507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A51507"/>
    <w:pPr>
      <w:ind w:left="346" w:firstLine="0"/>
    </w:p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A51507"/>
    <w:pPr>
      <w:jc w:val="center"/>
      <w:outlineLvl w:val="0"/>
    </w:pPr>
    <w:rPr>
      <w:i/>
    </w:r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link w:val="CommentText"/>
    <w:semiHidden/>
    <w:rsid w:val="00014566"/>
    <w:rPr>
      <w:rFonts w:eastAsia="MS Minch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014566"/>
    <w:rPr>
      <w:rFonts w:eastAsia="MS Mincho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shd w:val="clear" w:color="auto" w:fill="000080"/>
    </w:rPr>
  </w:style>
  <w:style w:type="paragraph" w:customStyle="1" w:styleId="DecHTitle">
    <w:name w:val="Dec_H_Title"/>
    <w:basedOn w:val="ECHRTitleCentre1"/>
    <w:uiPriority w:val="7"/>
    <w:qFormat/>
    <w:rsid w:val="00A51507"/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JuCourt">
    <w:name w:val="Ju_Court"/>
    <w:basedOn w:val="Normal"/>
    <w:next w:val="Normal"/>
    <w:uiPriority w:val="16"/>
    <w:qFormat/>
    <w:rsid w:val="00A5150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1507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A51507"/>
    <w:rPr>
      <w:rFonts w:ascii="Times New Roman" w:eastAsia="MS Gothic" w:hAnsi="Times New Roman" w:cs="Times New Roman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customStyle="1" w:styleId="Bibliography1">
    <w:name w:val="Bibliography1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</w:rPr>
  </w:style>
  <w:style w:type="table" w:customStyle="1" w:styleId="ColorfulGrid1">
    <w:name w:val="Colorful Grid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</w:rPr>
  </w:style>
  <w:style w:type="character" w:styleId="HTMLCite">
    <w:name w:val="HTML Cite"/>
    <w:uiPriority w:val="99"/>
    <w:semiHidden/>
    <w:rsid w:val="00014566"/>
    <w:rPr>
      <w:i/>
      <w:iCs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014566"/>
    <w:rPr>
      <w:i/>
      <w:iCs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customStyle="1" w:styleId="LightGrid1">
    <w:name w:val="Light Grid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en-GB" w:eastAsia="fr-FR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lang w:val="en-GB" w:eastAsia="fr-FR" w:bidi="ar-SA"/>
    </w:rPr>
  </w:style>
  <w:style w:type="table" w:customStyle="1" w:styleId="MediumGrid11">
    <w:name w:val="Medium Grid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</w:rPr>
  </w:style>
  <w:style w:type="character" w:customStyle="1" w:styleId="PlaceholderText1">
    <w:name w:val="Placeholder Text1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DecList">
    <w:name w:val="Dec_List"/>
    <w:basedOn w:val="Normal"/>
    <w:uiPriority w:val="9"/>
    <w:qFormat/>
    <w:rsid w:val="00A51507"/>
    <w:pPr>
      <w:spacing w:before="240"/>
      <w:ind w:left="284"/>
    </w:pPr>
  </w:style>
  <w:style w:type="paragraph" w:customStyle="1" w:styleId="JuListi">
    <w:name w:val="Ju_List_i"/>
    <w:basedOn w:val="Normal"/>
    <w:next w:val="JuLista"/>
    <w:uiPriority w:val="28"/>
    <w:qFormat/>
    <w:rsid w:val="00A51507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A51507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A5150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A51507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A51507"/>
    <w:rPr>
      <w:color w:val="00B050"/>
      <w:lang w:bidi="en-US"/>
    </w:rPr>
  </w:style>
  <w:style w:type="character" w:customStyle="1" w:styleId="ECHRParaChar">
    <w:name w:val="ECHR_Para Char"/>
    <w:aliases w:val="Ju_Para Char"/>
    <w:link w:val="ECHRPara"/>
    <w:uiPriority w:val="99"/>
    <w:rsid w:val="000F5B6F"/>
    <w:rPr>
      <w:rFonts w:eastAsia="MS Mincho"/>
      <w:sz w:val="24"/>
    </w:rPr>
  </w:style>
  <w:style w:type="character" w:customStyle="1" w:styleId="JuHHeadChar">
    <w:name w:val="Ju_H_Head Char"/>
    <w:link w:val="ECHRTitle1"/>
    <w:locked/>
    <w:rsid w:val="00B958F3"/>
    <w:rPr>
      <w:rFonts w:eastAsia="MS Mincho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5034</Words>
  <Characters>28700</Characters>
  <Application>Microsoft Office Word</Application>
  <DocSecurity>0</DocSecurity>
  <Lines>239</Lines>
  <Paragraphs>67</Paragraphs>
  <ScaleCrop>false</ScaleCrop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2016-08-08T05:33:00Z</dcterms:created>
  <dcterms:modified xsi:type="dcterms:W3CDTF">2016-08-08T05:33:00Z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