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CF3" w:rsidRDefault="00C63CF3">
      <w:pPr>
        <w:spacing w:line="216" w:lineRule="auto"/>
        <w:jc w:val="center"/>
      </w:pPr>
      <w:bookmarkStart w:id="0" w:name="_GoBack"/>
      <w:bookmarkEnd w:id="0"/>
    </w:p>
    <w:p w:rsidR="00C63CF3" w:rsidRDefault="00C63CF3">
      <w:pPr>
        <w:spacing w:line="216" w:lineRule="auto"/>
        <w:jc w:val="center"/>
      </w:pPr>
    </w:p>
    <w:p w:rsidR="00C63CF3" w:rsidRDefault="00C63CF3">
      <w:pPr>
        <w:spacing w:line="216" w:lineRule="auto"/>
        <w:jc w:val="center"/>
      </w:pPr>
    </w:p>
    <w:p w:rsidR="00C63CF3" w:rsidRDefault="00C63CF3">
      <w:pPr>
        <w:spacing w:line="216" w:lineRule="auto"/>
        <w:jc w:val="center"/>
      </w:pPr>
    </w:p>
    <w:p w:rsidR="00C63CF3" w:rsidRDefault="006C2238">
      <w:pPr>
        <w:spacing w:line="216" w:lineRule="auto"/>
        <w:jc w:val="center"/>
      </w:pPr>
      <w:r>
        <w:t>ГОЛЯМА КАМАРА</w:t>
      </w:r>
    </w:p>
    <w:p w:rsidR="00C63CF3" w:rsidRDefault="00C63CF3">
      <w:pPr>
        <w:spacing w:line="216" w:lineRule="auto"/>
        <w:jc w:val="center"/>
      </w:pPr>
    </w:p>
    <w:p w:rsidR="00C63CF3" w:rsidRDefault="00C63CF3">
      <w:pPr>
        <w:spacing w:line="216" w:lineRule="auto"/>
        <w:jc w:val="center"/>
      </w:pPr>
    </w:p>
    <w:p w:rsidR="00C63CF3" w:rsidRDefault="00C63CF3">
      <w:pPr>
        <w:spacing w:line="216" w:lineRule="auto"/>
        <w:jc w:val="center"/>
      </w:pPr>
    </w:p>
    <w:p w:rsidR="00C63CF3" w:rsidRDefault="00C63CF3">
      <w:pPr>
        <w:spacing w:line="216" w:lineRule="auto"/>
        <w:jc w:val="center"/>
      </w:pPr>
    </w:p>
    <w:p w:rsidR="00C63CF3" w:rsidRDefault="006C2238">
      <w:pPr>
        <w:spacing w:line="216" w:lineRule="auto"/>
        <w:jc w:val="center"/>
        <w:rPr>
          <w:b/>
        </w:rPr>
      </w:pPr>
      <w:r>
        <w:rPr>
          <w:b/>
        </w:rPr>
        <w:t xml:space="preserve">ДЕЛО REFAH PARTİSİ (ПАРТИЯ НА БЛАГОДЕНСТВИЕТО) AND OTHERS </w:t>
      </w:r>
      <w:r w:rsidR="007560EC">
        <w:rPr>
          <w:b/>
        </w:rPr>
        <w:t>срещу</w:t>
      </w:r>
      <w:r>
        <w:rPr>
          <w:b/>
        </w:rPr>
        <w:t xml:space="preserve"> ТУРЦИЯ</w:t>
      </w:r>
      <w:r>
        <w:tab/>
      </w:r>
    </w:p>
    <w:p w:rsidR="00C63CF3" w:rsidRDefault="00C63CF3">
      <w:pPr>
        <w:spacing w:line="216" w:lineRule="auto"/>
        <w:jc w:val="center"/>
      </w:pPr>
    </w:p>
    <w:p w:rsidR="00C63CF3" w:rsidRDefault="006C2238">
      <w:pPr>
        <w:spacing w:line="216" w:lineRule="auto"/>
        <w:jc w:val="center"/>
        <w:rPr>
          <w:i/>
          <w:noProof/>
        </w:rPr>
      </w:pPr>
      <w:r>
        <w:rPr>
          <w:i/>
        </w:rPr>
        <w:t>(Жалби с номера 41340/98, 41342/98, 41343/98 и 41344/98)</w:t>
      </w: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C63CF3">
      <w:pPr>
        <w:spacing w:line="216" w:lineRule="auto"/>
        <w:jc w:val="center"/>
        <w:rPr>
          <w:i/>
          <w:noProof/>
        </w:rPr>
      </w:pPr>
    </w:p>
    <w:p w:rsidR="00C63CF3" w:rsidRDefault="006C2238">
      <w:pPr>
        <w:spacing w:line="216" w:lineRule="auto"/>
        <w:jc w:val="center"/>
        <w:rPr>
          <w:noProof/>
        </w:rPr>
      </w:pPr>
      <w:r>
        <w:t>РЕШЕНИЕ</w:t>
      </w:r>
    </w:p>
    <w:p w:rsidR="00C63CF3" w:rsidRDefault="00C63CF3">
      <w:pPr>
        <w:spacing w:line="216" w:lineRule="auto"/>
        <w:jc w:val="center"/>
        <w:rPr>
          <w:noProof/>
        </w:rPr>
      </w:pPr>
    </w:p>
    <w:p w:rsidR="00C63CF3" w:rsidRDefault="00C63CF3">
      <w:pPr>
        <w:spacing w:line="216" w:lineRule="auto"/>
        <w:jc w:val="center"/>
        <w:rPr>
          <w:noProof/>
        </w:rPr>
      </w:pPr>
    </w:p>
    <w:p w:rsidR="00C63CF3" w:rsidRDefault="00C63CF3">
      <w:pPr>
        <w:spacing w:line="216" w:lineRule="auto"/>
        <w:jc w:val="center"/>
        <w:rPr>
          <w:noProof/>
        </w:rPr>
      </w:pPr>
    </w:p>
    <w:p w:rsidR="00C63CF3" w:rsidRDefault="006C2238">
      <w:pPr>
        <w:spacing w:line="216" w:lineRule="auto"/>
        <w:jc w:val="center"/>
        <w:rPr>
          <w:noProof/>
        </w:rPr>
      </w:pPr>
      <w:r>
        <w:t>СТРАСБУРГ</w:t>
      </w:r>
    </w:p>
    <w:p w:rsidR="00C63CF3" w:rsidRDefault="00C63CF3">
      <w:pPr>
        <w:spacing w:line="216" w:lineRule="auto"/>
        <w:jc w:val="center"/>
        <w:rPr>
          <w:noProof/>
        </w:rPr>
      </w:pPr>
    </w:p>
    <w:p w:rsidR="00C63CF3" w:rsidRDefault="006C2238">
      <w:pPr>
        <w:spacing w:line="216" w:lineRule="auto"/>
        <w:jc w:val="center"/>
      </w:pPr>
      <w:r>
        <w:t>13 февруари 2003 г.</w:t>
      </w:r>
    </w:p>
    <w:p w:rsidR="00C63CF3" w:rsidRDefault="00C63CF3">
      <w:pPr>
        <w:spacing w:line="216" w:lineRule="auto"/>
        <w:jc w:val="center"/>
      </w:pPr>
    </w:p>
    <w:p w:rsidR="00C63CF3" w:rsidRDefault="00C63CF3">
      <w:pPr>
        <w:spacing w:line="216" w:lineRule="auto"/>
        <w:jc w:val="center"/>
      </w:pPr>
    </w:p>
    <w:p w:rsidR="00C63CF3" w:rsidRDefault="00C63CF3">
      <w:pPr>
        <w:spacing w:line="216" w:lineRule="auto"/>
      </w:pPr>
    </w:p>
    <w:p w:rsidR="00C63CF3" w:rsidRDefault="00C63CF3">
      <w:pPr>
        <w:pStyle w:val="JuCase"/>
        <w:sectPr w:rsidR="00C63CF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sectPr>
      </w:pPr>
    </w:p>
    <w:p w:rsidR="00C63CF3" w:rsidRDefault="006C2238">
      <w:pPr>
        <w:pStyle w:val="JuCase"/>
      </w:pPr>
      <w:r>
        <w:lastRenderedPageBreak/>
        <w:t>По дело</w:t>
      </w:r>
      <w:r w:rsidR="007560EC">
        <w:t>то</w:t>
      </w:r>
      <w:r>
        <w:t xml:space="preserve"> Refah Partisi (Партия на благоденствието) and others срещу Турция,</w:t>
      </w:r>
    </w:p>
    <w:p w:rsidR="00C63CF3" w:rsidRDefault="006C2238">
      <w:pPr>
        <w:pStyle w:val="JuPara"/>
      </w:pPr>
      <w:r>
        <w:t>Европейският съд по правата на човека</w:t>
      </w:r>
      <w:r w:rsidR="004659EB">
        <w:t xml:space="preserve">, заседаващ като </w:t>
      </w:r>
      <w:r>
        <w:t xml:space="preserve">Голяма камара в </w:t>
      </w:r>
      <w:r w:rsidR="004659EB">
        <w:t xml:space="preserve">следния </w:t>
      </w:r>
      <w:r>
        <w:t>състав:</w:t>
      </w:r>
    </w:p>
    <w:p w:rsidR="00C63CF3" w:rsidRDefault="006C2238">
      <w:pPr>
        <w:pStyle w:val="JuJudges"/>
      </w:pPr>
      <w:r>
        <w:tab/>
      </w:r>
      <w:r w:rsidR="004659EB">
        <w:t>г</w:t>
      </w:r>
      <w:r>
        <w:t>-н</w:t>
      </w:r>
      <w:r>
        <w:tab/>
        <w:t xml:space="preserve">Л. </w:t>
      </w:r>
      <w:r>
        <w:rPr>
          <w:rStyle w:val="JuNames"/>
        </w:rPr>
        <w:t>Вилдхабер (L. Wildhaber)</w:t>
      </w:r>
      <w:r>
        <w:t xml:space="preserve">, </w:t>
      </w:r>
      <w:r>
        <w:rPr>
          <w:i/>
        </w:rPr>
        <w:t>председател</w:t>
      </w:r>
      <w:r>
        <w:t>,</w:t>
      </w:r>
      <w:r>
        <w:br/>
      </w:r>
      <w:r>
        <w:tab/>
      </w:r>
      <w:r w:rsidR="004659EB">
        <w:t>г</w:t>
      </w:r>
      <w:r>
        <w:t>-н</w:t>
      </w:r>
      <w:r>
        <w:tab/>
        <w:t xml:space="preserve">К.Л. </w:t>
      </w:r>
      <w:r>
        <w:rPr>
          <w:rStyle w:val="JuNames"/>
        </w:rPr>
        <w:t>Розакис (C.L.Rozakis)</w:t>
      </w:r>
      <w:r>
        <w:t>,</w:t>
      </w:r>
      <w:r>
        <w:br/>
      </w:r>
      <w:r>
        <w:tab/>
      </w:r>
      <w:r w:rsidR="004659EB">
        <w:t>г</w:t>
      </w:r>
      <w:r>
        <w:t>-н</w:t>
      </w:r>
      <w:r>
        <w:tab/>
        <w:t xml:space="preserve">Ж.-П. </w:t>
      </w:r>
      <w:r>
        <w:rPr>
          <w:rStyle w:val="JuNames"/>
        </w:rPr>
        <w:t>Коста (J.-P. Costa</w:t>
      </w:r>
      <w:r w:rsidR="004659EB">
        <w:rPr>
          <w:rStyle w:val="JuNames"/>
        </w:rPr>
        <w:t>)</w:t>
      </w:r>
      <w:r>
        <w:t>,</w:t>
      </w:r>
      <w:r>
        <w:br/>
      </w:r>
      <w:r>
        <w:tab/>
      </w:r>
      <w:r w:rsidR="004659EB">
        <w:t>г</w:t>
      </w:r>
      <w:r>
        <w:t>-н</w:t>
      </w:r>
      <w:r>
        <w:tab/>
        <w:t xml:space="preserve">Г. </w:t>
      </w:r>
      <w:r>
        <w:rPr>
          <w:rStyle w:val="JuNames"/>
        </w:rPr>
        <w:t xml:space="preserve"> Рес (G. Ress)</w:t>
      </w:r>
      <w:r>
        <w:t>,</w:t>
      </w:r>
      <w:r>
        <w:br/>
      </w:r>
      <w:r>
        <w:tab/>
      </w:r>
      <w:r w:rsidR="004659EB">
        <w:t>г</w:t>
      </w:r>
      <w:r>
        <w:t>-н</w:t>
      </w:r>
      <w:r>
        <w:tab/>
      </w:r>
      <w:r>
        <w:rPr>
          <w:rStyle w:val="JuNames"/>
        </w:rPr>
        <w:t>Гаукур Йорундсон (Gaukur Jörundsson)</w:t>
      </w:r>
      <w:r>
        <w:t>,</w:t>
      </w:r>
      <w:r>
        <w:br/>
      </w:r>
      <w:r>
        <w:tab/>
      </w:r>
      <w:r w:rsidR="004659EB">
        <w:t>г</w:t>
      </w:r>
      <w:r>
        <w:t>-н</w:t>
      </w:r>
      <w:r>
        <w:tab/>
        <w:t xml:space="preserve">Л. </w:t>
      </w:r>
      <w:r>
        <w:rPr>
          <w:rStyle w:val="JuNames"/>
        </w:rPr>
        <w:t>Кафлиш (L. Caflisch)</w:t>
      </w:r>
      <w:r>
        <w:t>,</w:t>
      </w:r>
      <w:r>
        <w:br/>
      </w:r>
      <w:r>
        <w:tab/>
      </w:r>
      <w:r w:rsidR="004659EB">
        <w:t>г</w:t>
      </w:r>
      <w:r>
        <w:t>-н</w:t>
      </w:r>
      <w:r>
        <w:tab/>
        <w:t xml:space="preserve">Р. </w:t>
      </w:r>
      <w:r>
        <w:rPr>
          <w:rStyle w:val="JuNames"/>
        </w:rPr>
        <w:t>Тюрмен (R. Türmen)</w:t>
      </w:r>
      <w:r>
        <w:t>,</w:t>
      </w:r>
      <w:r>
        <w:br/>
      </w:r>
      <w:r>
        <w:tab/>
      </w:r>
      <w:r w:rsidR="004659EB">
        <w:t>г</w:t>
      </w:r>
      <w:r>
        <w:t>-н</w:t>
      </w:r>
      <w:r>
        <w:tab/>
      </w:r>
      <w:r w:rsidR="00D7431C">
        <w:t>К</w:t>
      </w:r>
      <w:r>
        <w:t xml:space="preserve">. </w:t>
      </w:r>
      <w:r>
        <w:rPr>
          <w:rStyle w:val="JuNames"/>
        </w:rPr>
        <w:t>Бирсан (C. Bîrsan)</w:t>
      </w:r>
      <w:r>
        <w:t>,</w:t>
      </w:r>
      <w:r>
        <w:br/>
      </w:r>
      <w:r>
        <w:tab/>
      </w:r>
      <w:r w:rsidR="00D7431C">
        <w:t>г</w:t>
      </w:r>
      <w:r>
        <w:t>-н</w:t>
      </w:r>
      <w:r>
        <w:tab/>
        <w:t xml:space="preserve">П. </w:t>
      </w:r>
      <w:r>
        <w:rPr>
          <w:rStyle w:val="JuNames"/>
        </w:rPr>
        <w:t>лоренцен (P. Lorenzen)</w:t>
      </w:r>
      <w:r>
        <w:t>,</w:t>
      </w:r>
      <w:r>
        <w:br/>
      </w:r>
      <w:r>
        <w:tab/>
      </w:r>
      <w:r w:rsidR="00D7431C">
        <w:t>г</w:t>
      </w:r>
      <w:r>
        <w:t>-н</w:t>
      </w:r>
      <w:r>
        <w:tab/>
        <w:t xml:space="preserve">В. </w:t>
      </w:r>
      <w:r>
        <w:rPr>
          <w:rStyle w:val="JuNames"/>
        </w:rPr>
        <w:t>Буткевич (V. Butkevych)</w:t>
      </w:r>
      <w:r>
        <w:t>,</w:t>
      </w:r>
      <w:r>
        <w:br/>
      </w:r>
      <w:r>
        <w:tab/>
      </w:r>
      <w:r w:rsidR="00D7431C">
        <w:t>г</w:t>
      </w:r>
      <w:r>
        <w:t>-жа</w:t>
      </w:r>
      <w:r>
        <w:tab/>
        <w:t xml:space="preserve">Н. </w:t>
      </w:r>
      <w:r>
        <w:rPr>
          <w:rStyle w:val="JuNames"/>
        </w:rPr>
        <w:t>Ва</w:t>
      </w:r>
      <w:r w:rsidR="00D7431C">
        <w:rPr>
          <w:rStyle w:val="JuNames"/>
        </w:rPr>
        <w:t>й</w:t>
      </w:r>
      <w:r>
        <w:rPr>
          <w:rStyle w:val="JuNames"/>
        </w:rPr>
        <w:t>ич (N. Vajić)</w:t>
      </w:r>
      <w:r>
        <w:t>,</w:t>
      </w:r>
      <w:r>
        <w:br/>
      </w:r>
      <w:r>
        <w:tab/>
      </w:r>
      <w:r w:rsidR="00D7431C">
        <w:t>г</w:t>
      </w:r>
      <w:r>
        <w:t>-н</w:t>
      </w:r>
      <w:r>
        <w:tab/>
        <w:t xml:space="preserve">М. </w:t>
      </w:r>
      <w:r>
        <w:rPr>
          <w:rStyle w:val="JuNames"/>
        </w:rPr>
        <w:t>Пелонпаа (M. Pellonpää)</w:t>
      </w:r>
      <w:r>
        <w:t>,</w:t>
      </w:r>
      <w:r>
        <w:br/>
      </w:r>
      <w:r>
        <w:tab/>
      </w:r>
      <w:r w:rsidR="00D7431C">
        <w:t>г</w:t>
      </w:r>
      <w:r>
        <w:t>-жа</w:t>
      </w:r>
      <w:r>
        <w:tab/>
        <w:t xml:space="preserve">М. </w:t>
      </w:r>
      <w:r>
        <w:rPr>
          <w:rStyle w:val="JuNames"/>
        </w:rPr>
        <w:t>Цаца–Николовска (M. Tsatsa-Nikolovska)</w:t>
      </w:r>
      <w:r>
        <w:t>,</w:t>
      </w:r>
      <w:r>
        <w:br/>
      </w:r>
      <w:r>
        <w:tab/>
      </w:r>
      <w:r w:rsidR="00D7431C">
        <w:t>г</w:t>
      </w:r>
      <w:r>
        <w:t>-н</w:t>
      </w:r>
      <w:r>
        <w:tab/>
        <w:t xml:space="preserve">А.Б. </w:t>
      </w:r>
      <w:r>
        <w:rPr>
          <w:rStyle w:val="JuNames"/>
        </w:rPr>
        <w:t>Бака (A.B. Baka)</w:t>
      </w:r>
      <w:r>
        <w:t>,</w:t>
      </w:r>
      <w:r>
        <w:br/>
      </w:r>
      <w:r>
        <w:tab/>
      </w:r>
      <w:r w:rsidR="00D7431C">
        <w:t>г</w:t>
      </w:r>
      <w:r>
        <w:t>-н</w:t>
      </w:r>
      <w:r>
        <w:tab/>
        <w:t xml:space="preserve">Р. </w:t>
      </w:r>
      <w:r>
        <w:rPr>
          <w:rStyle w:val="JuNames"/>
        </w:rPr>
        <w:t>Марусте (R. Maruste)</w:t>
      </w:r>
      <w:r>
        <w:t>,</w:t>
      </w:r>
      <w:r>
        <w:br/>
      </w:r>
      <w:r>
        <w:tab/>
      </w:r>
      <w:r w:rsidR="00D7431C">
        <w:t>г</w:t>
      </w:r>
      <w:r>
        <w:t>-н</w:t>
      </w:r>
      <w:r>
        <w:tab/>
        <w:t xml:space="preserve">А. </w:t>
      </w:r>
      <w:r>
        <w:rPr>
          <w:rStyle w:val="JuNames"/>
        </w:rPr>
        <w:t>Ковлер (A. Kovler)</w:t>
      </w:r>
      <w:r>
        <w:t>,</w:t>
      </w:r>
      <w:r>
        <w:br/>
      </w:r>
      <w:r>
        <w:tab/>
      </w:r>
      <w:r w:rsidR="00D7431C">
        <w:t>г</w:t>
      </w:r>
      <w:r>
        <w:t>-жа</w:t>
      </w:r>
      <w:r>
        <w:tab/>
        <w:t xml:space="preserve">А. </w:t>
      </w:r>
      <w:r>
        <w:rPr>
          <w:rStyle w:val="JuNames"/>
        </w:rPr>
        <w:t>Муларони (A. Mularoni)</w:t>
      </w:r>
      <w:r>
        <w:t>,</w:t>
      </w:r>
      <w:r>
        <w:br/>
        <w:t xml:space="preserve">както и г-н </w:t>
      </w:r>
      <w:r>
        <w:rPr>
          <w:rStyle w:val="JuNames"/>
        </w:rPr>
        <w:t>П.</w:t>
      </w:r>
      <w:r w:rsidR="00D7431C">
        <w:rPr>
          <w:rStyle w:val="JuNames"/>
        </w:rPr>
        <w:t>Дж</w:t>
      </w:r>
      <w:r>
        <w:rPr>
          <w:rStyle w:val="JuNames"/>
        </w:rPr>
        <w:t>.</w:t>
      </w:r>
      <w:r>
        <w:t xml:space="preserve"> </w:t>
      </w:r>
      <w:r>
        <w:rPr>
          <w:rStyle w:val="JuNames"/>
        </w:rPr>
        <w:t>Махони (P.J. Mahoney)</w:t>
      </w:r>
      <w:r>
        <w:t xml:space="preserve">, </w:t>
      </w:r>
      <w:r>
        <w:rPr>
          <w:i/>
        </w:rPr>
        <w:t>секретар</w:t>
      </w:r>
      <w:r>
        <w:t>,</w:t>
      </w:r>
    </w:p>
    <w:p w:rsidR="00C63CF3" w:rsidRDefault="006C2238">
      <w:pPr>
        <w:pStyle w:val="JuPara"/>
      </w:pPr>
      <w:r>
        <w:t>След закрити заседания, проведени на 19 юни 2002 г. и на 22 януари 2003 г.,</w:t>
      </w:r>
    </w:p>
    <w:p w:rsidR="00C63CF3" w:rsidRDefault="006C2238">
      <w:pPr>
        <w:pStyle w:val="JuPara"/>
      </w:pPr>
      <w:r>
        <w:t>Постанови следното решение, прието на последно посочената дата:</w:t>
      </w:r>
    </w:p>
    <w:p w:rsidR="00C63CF3" w:rsidRDefault="006C2238">
      <w:pPr>
        <w:pStyle w:val="JuHHead"/>
      </w:pPr>
      <w:r>
        <w:t>ПРОЦЕДУРА</w:t>
      </w:r>
    </w:p>
    <w:p w:rsidR="00C63CF3" w:rsidRDefault="00914B44">
      <w:pPr>
        <w:pStyle w:val="JuPara"/>
      </w:pPr>
      <w:r>
        <w:fldChar w:fldCharType="begin"/>
      </w:r>
      <w:r>
        <w:instrText xml:space="preserve"> SEQ level0 \*arabic </w:instrText>
      </w:r>
      <w:r>
        <w:fldChar w:fldCharType="separate"/>
      </w:r>
      <w:r w:rsidR="006C2238">
        <w:rPr>
          <w:noProof/>
        </w:rPr>
        <w:t>1</w:t>
      </w:r>
      <w:r>
        <w:rPr>
          <w:noProof/>
        </w:rPr>
        <w:fldChar w:fldCharType="end"/>
      </w:r>
      <w:r w:rsidR="006C2238">
        <w:t xml:space="preserve">.  Делото е образувано по четири жалби (номера 41340/98, 41342/98, 41343/98 и 41344/98) срещу Република Турция, подадени в Европейската </w:t>
      </w:r>
      <w:r w:rsidR="004F45D9">
        <w:t>к</w:t>
      </w:r>
      <w:r w:rsidR="006C2238">
        <w:t>омисия по правата на човека („Комисията“) по предишен член 25 от Конвенцията за защита на правата на човека и основните свободи (</w:t>
      </w:r>
      <w:r w:rsidR="004F45D9">
        <w:t>„</w:t>
      </w:r>
      <w:r w:rsidR="006C2238">
        <w:t>Конвенцията</w:t>
      </w:r>
      <w:r w:rsidR="004F45D9">
        <w:t>“</w:t>
      </w:r>
      <w:r w:rsidR="006C2238">
        <w:t>) от турска политическа партия, Refah Partisi (Партия на благоденствието – „Refah“) и трима турски граждани, г-н Necmettin Erbakan, г-н Şevket Kazan и г-н Ahmet Tekdal („жалбоподателите“) на 22 май 1998 г.</w:t>
      </w:r>
    </w:p>
    <w:p w:rsidR="00C63CF3" w:rsidRDefault="00914B44">
      <w:pPr>
        <w:pStyle w:val="JuPara"/>
      </w:pPr>
      <w:r>
        <w:fldChar w:fldCharType="begin"/>
      </w:r>
      <w:r>
        <w:instrText xml:space="preserve"> SEQ level0 \*arabic </w:instrText>
      </w:r>
      <w:r>
        <w:fldChar w:fldCharType="separate"/>
      </w:r>
      <w:r w:rsidR="006C2238">
        <w:rPr>
          <w:noProof/>
        </w:rPr>
        <w:t>2</w:t>
      </w:r>
      <w:r>
        <w:rPr>
          <w:noProof/>
        </w:rPr>
        <w:fldChar w:fldCharType="end"/>
      </w:r>
      <w:r w:rsidR="006C2238">
        <w:t xml:space="preserve">.  Жалбоподателите конкретно твърдят, че разпускането на Refah от Конституционния съд на Турция и суспендирането на определени политически права на другите жалбоподатели, ръководители на партията по това време, е </w:t>
      </w:r>
      <w:r w:rsidR="00871568">
        <w:t xml:space="preserve">било в </w:t>
      </w:r>
      <w:r w:rsidR="006C2238">
        <w:t xml:space="preserve">нарушение на членове 9, 10, 11, 14, 17 и 18 от Конвенцията и </w:t>
      </w:r>
      <w:r w:rsidR="00871568">
        <w:t xml:space="preserve">на </w:t>
      </w:r>
      <w:r w:rsidR="006C2238">
        <w:t xml:space="preserve">членове 1 и 3 от Протокол № 1.  </w:t>
      </w:r>
    </w:p>
    <w:p w:rsidR="00C63CF3" w:rsidRDefault="006C2238">
      <w:pPr>
        <w:pStyle w:val="JuPara"/>
      </w:pPr>
      <w:r>
        <w:rPr>
          <w:noProof/>
        </w:rPr>
        <w:lastRenderedPageBreak/>
        <w:fldChar w:fldCharType="begin"/>
      </w:r>
      <w:r>
        <w:rPr>
          <w:noProof/>
        </w:rPr>
        <w:instrText xml:space="preserve"> SEQ level0 \*arabic </w:instrText>
      </w:r>
      <w:r>
        <w:rPr>
          <w:noProof/>
        </w:rPr>
        <w:fldChar w:fldCharType="separate"/>
      </w:r>
      <w:r>
        <w:rPr>
          <w:noProof/>
        </w:rPr>
        <w:t>3</w:t>
      </w:r>
      <w:r>
        <w:rPr>
          <w:noProof/>
        </w:rPr>
        <w:fldChar w:fldCharType="end"/>
      </w:r>
      <w:r>
        <w:t>.  Жалбите са предадени на Съда на 1 ноември 1998 г., когато влиза в сила Протокол № 11 от Конвенцията (член 5 § 2 от Протокол № 11).</w:t>
      </w:r>
    </w:p>
    <w:p w:rsidR="00C63CF3" w:rsidRDefault="00914B44">
      <w:pPr>
        <w:pStyle w:val="JuPara"/>
        <w:rPr>
          <w:noProof/>
        </w:rPr>
      </w:pPr>
      <w:r>
        <w:fldChar w:fldCharType="begin"/>
      </w:r>
      <w:r>
        <w:instrText xml:space="preserve"> SEQ level0 \*arabic </w:instrText>
      </w:r>
      <w:r>
        <w:fldChar w:fldCharType="separate"/>
      </w:r>
      <w:r w:rsidR="006C2238">
        <w:rPr>
          <w:noProof/>
        </w:rPr>
        <w:t>4</w:t>
      </w:r>
      <w:r>
        <w:rPr>
          <w:noProof/>
        </w:rPr>
        <w:fldChar w:fldCharType="end"/>
      </w:r>
      <w:r w:rsidR="006C2238">
        <w:t>.  Жалбите бяха разпределени към Трето отделение на Съда (</w:t>
      </w:r>
      <w:r w:rsidR="00945705">
        <w:t>правило</w:t>
      </w:r>
      <w:r w:rsidR="006C2238">
        <w:t xml:space="preserve"> 52 § 1 от Правилника на Съда). Те са обединени (</w:t>
      </w:r>
      <w:r w:rsidR="00301295">
        <w:t>правило</w:t>
      </w:r>
      <w:r w:rsidR="006C2238">
        <w:t xml:space="preserve"> 43 § 1) и на 3 октомври 2000 г. са обявени за частично допустими от </w:t>
      </w:r>
      <w:r w:rsidR="00871568">
        <w:t xml:space="preserve">състав </w:t>
      </w:r>
      <w:r w:rsidR="006C2238">
        <w:t xml:space="preserve">на </w:t>
      </w:r>
      <w:r w:rsidR="00871568">
        <w:t>това отделение</w:t>
      </w:r>
      <w:r w:rsidR="006C2238">
        <w:t xml:space="preserve"> </w:t>
      </w:r>
      <w:r w:rsidR="00871568">
        <w:t>с членове</w:t>
      </w:r>
      <w:r w:rsidR="006C2238">
        <w:t xml:space="preserve"> г-н J.-P. Costa, председател, г-н W. Fuhrmann, г-н L. Loucaides, г-н R. Türmen, </w:t>
      </w:r>
      <w:r w:rsidR="00871568">
        <w:t>с</w:t>
      </w:r>
      <w:r w:rsidR="006C2238">
        <w:t xml:space="preserve">ър Nicolas Bratza, г-жа H.S. Greve, </w:t>
      </w:r>
      <w:r w:rsidR="00DF3FA8">
        <w:t xml:space="preserve">г-н </w:t>
      </w:r>
      <w:r w:rsidR="00DF3FA8" w:rsidRPr="00DF3FA8">
        <w:rPr>
          <w:lang w:val="en-GB"/>
        </w:rPr>
        <w:t>K. Traja</w:t>
      </w:r>
      <w:r w:rsidR="00DF3FA8">
        <w:t>,</w:t>
      </w:r>
      <w:r w:rsidR="00DF3FA8" w:rsidRPr="00DF3FA8">
        <w:t xml:space="preserve"> </w:t>
      </w:r>
      <w:r w:rsidR="006C2238">
        <w:t>съдии</w:t>
      </w:r>
      <w:r w:rsidR="00DF3FA8">
        <w:t>,</w:t>
      </w:r>
      <w:r w:rsidR="006C2238">
        <w:t xml:space="preserve"> и г-жа S. Dollé, секретар на </w:t>
      </w:r>
      <w:r w:rsidR="00DF3FA8">
        <w:t>отделението</w:t>
      </w:r>
      <w:r w:rsidR="006C2238">
        <w:t xml:space="preserve">. </w:t>
      </w:r>
    </w:p>
    <w:p w:rsidR="00C63CF3" w:rsidRDefault="006C2238">
      <w:pPr>
        <w:pStyle w:val="JuPara"/>
      </w:pPr>
      <w:r>
        <w:rPr>
          <w:noProof/>
        </w:rPr>
        <w:fldChar w:fldCharType="begin"/>
      </w:r>
      <w:r>
        <w:rPr>
          <w:noProof/>
        </w:rPr>
        <w:instrText xml:space="preserve"> SEQ level0 \*arabic </w:instrText>
      </w:r>
      <w:r>
        <w:rPr>
          <w:noProof/>
        </w:rPr>
        <w:fldChar w:fldCharType="separate"/>
      </w:r>
      <w:r>
        <w:rPr>
          <w:noProof/>
        </w:rPr>
        <w:t>5</w:t>
      </w:r>
      <w:r>
        <w:rPr>
          <w:noProof/>
        </w:rPr>
        <w:fldChar w:fldCharType="end"/>
      </w:r>
      <w:r>
        <w:t xml:space="preserve">.  На 31 юли 2001 г. </w:t>
      </w:r>
      <w:r w:rsidR="00DF3FA8">
        <w:t xml:space="preserve">съставът </w:t>
      </w:r>
      <w:r>
        <w:t>се произн</w:t>
      </w:r>
      <w:r w:rsidR="00DF3FA8">
        <w:t>а</w:t>
      </w:r>
      <w:r>
        <w:t>с</w:t>
      </w:r>
      <w:r w:rsidR="00DF3FA8">
        <w:t>я</w:t>
      </w:r>
      <w:r>
        <w:t xml:space="preserve"> с решение, взето с четири </w:t>
      </w:r>
      <w:r w:rsidR="00DF3FA8">
        <w:t>на</w:t>
      </w:r>
      <w:r>
        <w:t xml:space="preserve"> три гласа, че няма нарушение на член 11 от Конвенцията и единодушно, че няма нужда от разглеждане на жалбите поотделно по членове 9, 10, 14, 17 и 18 от Конвенцията и членове 1 и 3 от Протокол № 1. Съвместното особено мнение на съдиите </w:t>
      </w:r>
      <w:r w:rsidR="00945705" w:rsidRPr="00945705">
        <w:rPr>
          <w:lang w:val="en-GB"/>
        </w:rPr>
        <w:t xml:space="preserve">Fuhrmann, Loucaides </w:t>
      </w:r>
      <w:r w:rsidR="00945705">
        <w:t>и</w:t>
      </w:r>
      <w:r w:rsidR="00945705" w:rsidRPr="00945705">
        <w:rPr>
          <w:lang w:val="en-GB"/>
        </w:rPr>
        <w:t xml:space="preserve"> </w:t>
      </w:r>
      <w:r w:rsidR="00945705">
        <w:t>сър</w:t>
      </w:r>
      <w:r w:rsidR="00945705" w:rsidRPr="00945705">
        <w:rPr>
          <w:lang w:val="en-GB"/>
        </w:rPr>
        <w:t xml:space="preserve"> Nicolas Bratza</w:t>
      </w:r>
      <w:r>
        <w:t xml:space="preserve"> е приложено към решението.</w:t>
      </w:r>
    </w:p>
    <w:p w:rsidR="00C63CF3" w:rsidRDefault="00914B44">
      <w:pPr>
        <w:ind w:firstLine="284"/>
      </w:pPr>
      <w:r>
        <w:fldChar w:fldCharType="begin"/>
      </w:r>
      <w:r>
        <w:instrText xml:space="preserve"> SEQ level0 \*arabic </w:instrText>
      </w:r>
      <w:r>
        <w:fldChar w:fldCharType="separate"/>
      </w:r>
      <w:r w:rsidR="006C2238">
        <w:rPr>
          <w:noProof/>
        </w:rPr>
        <w:t>6</w:t>
      </w:r>
      <w:r>
        <w:rPr>
          <w:noProof/>
        </w:rPr>
        <w:fldChar w:fldCharType="end"/>
      </w:r>
      <w:r w:rsidR="006C2238">
        <w:t>.  На 30 октомври 2001 г. жалбоподателите отправ</w:t>
      </w:r>
      <w:r w:rsidR="00945705">
        <w:t>ят</w:t>
      </w:r>
      <w:r w:rsidR="006C2238">
        <w:t xml:space="preserve"> </w:t>
      </w:r>
      <w:r w:rsidR="00945705">
        <w:t>искане</w:t>
      </w:r>
      <w:r w:rsidR="006C2238">
        <w:t xml:space="preserve"> съгласно член 43 от Конвенцията и </w:t>
      </w:r>
      <w:r w:rsidR="00945705">
        <w:t>п</w:t>
      </w:r>
      <w:r w:rsidR="006C2238">
        <w:t>равило 73 делото да бъде отнесено до Голямата камара.</w:t>
      </w:r>
    </w:p>
    <w:p w:rsidR="00C63CF3" w:rsidRDefault="006C2238">
      <w:pPr>
        <w:pStyle w:val="JuPara"/>
      </w:pPr>
      <w:r>
        <w:t>На 12 декември 2001 г. състав на Голямата камара реш</w:t>
      </w:r>
      <w:r w:rsidR="00301295">
        <w:t>ава</w:t>
      </w:r>
      <w:r>
        <w:t xml:space="preserve"> да отнесе случая до Голямата камара.</w:t>
      </w:r>
    </w:p>
    <w:p w:rsidR="00C63CF3" w:rsidRDefault="00914B44">
      <w:pPr>
        <w:pStyle w:val="JuPara"/>
        <w:rPr>
          <w:noProof/>
        </w:rPr>
      </w:pPr>
      <w:r>
        <w:fldChar w:fldCharType="begin"/>
      </w:r>
      <w:r>
        <w:instrText xml:space="preserve"> SEQ level0 \*arabic </w:instrText>
      </w:r>
      <w:r>
        <w:fldChar w:fldCharType="separate"/>
      </w:r>
      <w:r w:rsidR="006C2238">
        <w:rPr>
          <w:noProof/>
        </w:rPr>
        <w:t>7</w:t>
      </w:r>
      <w:r>
        <w:rPr>
          <w:noProof/>
        </w:rPr>
        <w:fldChar w:fldCharType="end"/>
      </w:r>
      <w:r w:rsidR="006C2238">
        <w:t xml:space="preserve">.  Съставът на Голямата камара е определен съгласно разпоредбите на член 27 §§ 2 и 3 </w:t>
      </w:r>
      <w:r w:rsidR="00301295">
        <w:t>от</w:t>
      </w:r>
      <w:r w:rsidR="006C2238">
        <w:t xml:space="preserve"> Конвенцията и </w:t>
      </w:r>
      <w:r w:rsidR="00301295">
        <w:t>п</w:t>
      </w:r>
      <w:r w:rsidR="006C2238">
        <w:t>равило 24.</w:t>
      </w:r>
    </w:p>
    <w:p w:rsidR="00C63CF3" w:rsidRDefault="006C2238">
      <w:pPr>
        <w:pStyle w:val="JuPara"/>
      </w:pPr>
      <w:r>
        <w:rPr>
          <w:noProof/>
        </w:rPr>
        <w:fldChar w:fldCharType="begin"/>
      </w:r>
      <w:r>
        <w:rPr>
          <w:noProof/>
        </w:rPr>
        <w:instrText xml:space="preserve"> SEQ level0 \*arabic </w:instrText>
      </w:r>
      <w:r>
        <w:rPr>
          <w:noProof/>
        </w:rPr>
        <w:fldChar w:fldCharType="separate"/>
      </w:r>
      <w:r>
        <w:rPr>
          <w:noProof/>
        </w:rPr>
        <w:t>8</w:t>
      </w:r>
      <w:r>
        <w:rPr>
          <w:noProof/>
        </w:rPr>
        <w:fldChar w:fldCharType="end"/>
      </w:r>
      <w:r>
        <w:t>.  Жалбоподателите и Правителството пода</w:t>
      </w:r>
      <w:r w:rsidR="00301295">
        <w:t>ват</w:t>
      </w:r>
      <w:r>
        <w:t xml:space="preserve"> изложенията си.</w:t>
      </w:r>
    </w:p>
    <w:p w:rsidR="00C63CF3" w:rsidRDefault="00914B44">
      <w:pPr>
        <w:pStyle w:val="JuPara"/>
      </w:pPr>
      <w:r>
        <w:fldChar w:fldCharType="begin"/>
      </w:r>
      <w:r>
        <w:instrText xml:space="preserve"> SEQ level0 \*arabic </w:instrText>
      </w:r>
      <w:r>
        <w:fldChar w:fldCharType="separate"/>
      </w:r>
      <w:r w:rsidR="006C2238">
        <w:rPr>
          <w:noProof/>
        </w:rPr>
        <w:t>9</w:t>
      </w:r>
      <w:r>
        <w:rPr>
          <w:noProof/>
        </w:rPr>
        <w:fldChar w:fldCharType="end"/>
      </w:r>
      <w:r w:rsidR="006C2238">
        <w:t>.  Заседанието е публично и се състо</w:t>
      </w:r>
      <w:r w:rsidR="00076C0F">
        <w:t>и</w:t>
      </w:r>
      <w:r w:rsidR="006C2238">
        <w:t xml:space="preserve"> в сградата на Съда по правата на човека в Страсбург на 19 юни 2002 г. (</w:t>
      </w:r>
      <w:r w:rsidR="00076C0F">
        <w:t>п</w:t>
      </w:r>
      <w:r w:rsidR="006C2238">
        <w:t>равило 59 § 2).</w:t>
      </w:r>
    </w:p>
    <w:p w:rsidR="00C63CF3" w:rsidRDefault="00C63CF3">
      <w:pPr>
        <w:pStyle w:val="JuPara"/>
      </w:pPr>
    </w:p>
    <w:p w:rsidR="00C63CF3" w:rsidRDefault="006C2238">
      <w:pPr>
        <w:pStyle w:val="JuPara"/>
      </w:pPr>
      <w:r>
        <w:t xml:space="preserve">Пред Съда се </w:t>
      </w:r>
      <w:r w:rsidR="00076C0F">
        <w:t>явяват</w:t>
      </w:r>
      <w:r>
        <w:t>:</w:t>
      </w:r>
    </w:p>
    <w:p w:rsidR="00C63CF3" w:rsidRDefault="006C2238">
      <w:pPr>
        <w:pStyle w:val="JuCourt"/>
      </w:pPr>
      <w:r>
        <w:t>(а)  </w:t>
      </w:r>
      <w:r>
        <w:rPr>
          <w:i/>
        </w:rPr>
        <w:t>за Правителството</w:t>
      </w:r>
      <w:r>
        <w:br/>
      </w:r>
      <w:r w:rsidR="00076C0F">
        <w:t>г</w:t>
      </w:r>
      <w:r>
        <w:t>-н</w:t>
      </w:r>
      <w:r>
        <w:tab/>
      </w:r>
      <w:r>
        <w:rPr>
          <w:rStyle w:val="JuNames"/>
        </w:rPr>
        <w:t>Ş. Alpaslan</w:t>
      </w:r>
      <w:r>
        <w:t>,</w:t>
      </w:r>
      <w:r>
        <w:tab/>
      </w:r>
      <w:r w:rsidR="00076C0F">
        <w:rPr>
          <w:i/>
        </w:rPr>
        <w:t>агент</w:t>
      </w:r>
      <w:r>
        <w:t>,</w:t>
      </w:r>
      <w:r>
        <w:br/>
      </w:r>
      <w:r w:rsidR="00076C0F">
        <w:t>г</w:t>
      </w:r>
      <w:r>
        <w:t>-жа</w:t>
      </w:r>
      <w:r>
        <w:tab/>
        <w:t xml:space="preserve">D. </w:t>
      </w:r>
      <w:r>
        <w:rPr>
          <w:rStyle w:val="JuNames"/>
        </w:rPr>
        <w:t>Akçay</w:t>
      </w:r>
      <w:r>
        <w:t>,</w:t>
      </w:r>
      <w:r>
        <w:tab/>
      </w:r>
      <w:r>
        <w:br/>
      </w:r>
      <w:r w:rsidR="00076C0F">
        <w:t>г</w:t>
      </w:r>
      <w:r>
        <w:t>-н</w:t>
      </w:r>
      <w:r>
        <w:tab/>
        <w:t xml:space="preserve">M. </w:t>
      </w:r>
      <w:r>
        <w:rPr>
          <w:rStyle w:val="JuNames"/>
        </w:rPr>
        <w:t>Özmen</w:t>
      </w:r>
      <w:r>
        <w:t>,</w:t>
      </w:r>
      <w:r>
        <w:tab/>
      </w:r>
      <w:r w:rsidR="002614F4">
        <w:rPr>
          <w:i/>
        </w:rPr>
        <w:t>помощник-агенти</w:t>
      </w:r>
      <w:r>
        <w:t>,</w:t>
      </w:r>
      <w:r>
        <w:rPr>
          <w:i/>
        </w:rPr>
        <w:br/>
      </w:r>
      <w:r w:rsidR="00076C0F">
        <w:t>г</w:t>
      </w:r>
      <w:r>
        <w:t>-н</w:t>
      </w:r>
      <w:r>
        <w:tab/>
        <w:t xml:space="preserve">Y. </w:t>
      </w:r>
      <w:r>
        <w:rPr>
          <w:rStyle w:val="JuNames"/>
        </w:rPr>
        <w:t>Belet</w:t>
      </w:r>
      <w:r>
        <w:rPr>
          <w:i/>
        </w:rPr>
        <w:t>,</w:t>
      </w:r>
      <w:r>
        <w:tab/>
      </w:r>
      <w:r>
        <w:rPr>
          <w:i/>
        </w:rPr>
        <w:t>адвокат</w:t>
      </w:r>
      <w:r>
        <w:t>,</w:t>
      </w:r>
      <w:r>
        <w:br/>
      </w:r>
      <w:r w:rsidR="00076C0F">
        <w:t>г</w:t>
      </w:r>
      <w:r>
        <w:t>-жа</w:t>
      </w:r>
      <w:r>
        <w:tab/>
      </w:r>
      <w:r>
        <w:rPr>
          <w:rStyle w:val="JuNames"/>
        </w:rPr>
        <w:t>A. Günyakti</w:t>
      </w:r>
      <w:r>
        <w:t>,</w:t>
      </w:r>
      <w:r>
        <w:br/>
      </w:r>
      <w:r w:rsidR="00076C0F">
        <w:t>г</w:t>
      </w:r>
      <w:r>
        <w:t>-жа</w:t>
      </w:r>
      <w:r>
        <w:tab/>
        <w:t xml:space="preserve">G. </w:t>
      </w:r>
      <w:r>
        <w:rPr>
          <w:rStyle w:val="JuNames"/>
        </w:rPr>
        <w:t>Acar</w:t>
      </w:r>
      <w:r>
        <w:t>,</w:t>
      </w:r>
      <w:r>
        <w:br/>
      </w:r>
      <w:r w:rsidR="00076C0F">
        <w:t>г</w:t>
      </w:r>
      <w:r>
        <w:t>-жа</w:t>
      </w:r>
      <w:r>
        <w:tab/>
        <w:t xml:space="preserve">V. </w:t>
      </w:r>
      <w:r>
        <w:rPr>
          <w:rStyle w:val="JuNames"/>
        </w:rPr>
        <w:t>Sirmen</w:t>
      </w:r>
      <w:r>
        <w:t>,</w:t>
      </w:r>
      <w:r>
        <w:tab/>
      </w:r>
      <w:r>
        <w:rPr>
          <w:i/>
        </w:rPr>
        <w:t>съветници</w:t>
      </w:r>
      <w:r>
        <w:t>;</w:t>
      </w:r>
    </w:p>
    <w:p w:rsidR="00C63CF3" w:rsidRDefault="006C2238">
      <w:pPr>
        <w:pStyle w:val="JuCourt"/>
      </w:pPr>
      <w:r>
        <w:t>(б)  </w:t>
      </w:r>
      <w:r>
        <w:rPr>
          <w:i/>
        </w:rPr>
        <w:t>за жалбоподателите</w:t>
      </w:r>
      <w:r>
        <w:br/>
      </w:r>
      <w:r w:rsidR="002614F4">
        <w:t>г</w:t>
      </w:r>
      <w:r>
        <w:t>-н</w:t>
      </w:r>
      <w:r>
        <w:tab/>
      </w:r>
      <w:r>
        <w:rPr>
          <w:rStyle w:val="JuNames"/>
        </w:rPr>
        <w:t>L. Hincker</w:t>
      </w:r>
      <w:r>
        <w:t>,</w:t>
      </w:r>
      <w:r>
        <w:br/>
      </w:r>
      <w:r w:rsidR="002614F4">
        <w:t>г</w:t>
      </w:r>
      <w:r>
        <w:t>-жа</w:t>
      </w:r>
      <w:r>
        <w:tab/>
        <w:t xml:space="preserve">M. </w:t>
      </w:r>
      <w:r>
        <w:rPr>
          <w:rStyle w:val="JuNames"/>
        </w:rPr>
        <w:t>Lemaître</w:t>
      </w:r>
      <w:r>
        <w:t>,</w:t>
      </w:r>
      <w:r>
        <w:br/>
      </w:r>
      <w:r w:rsidR="00113267">
        <w:t>г</w:t>
      </w:r>
      <w:r>
        <w:t>-н</w:t>
      </w:r>
      <w:r>
        <w:tab/>
        <w:t xml:space="preserve">G. </w:t>
      </w:r>
      <w:r>
        <w:rPr>
          <w:rStyle w:val="JuNames"/>
        </w:rPr>
        <w:t>Nuss</w:t>
      </w:r>
      <w:r>
        <w:t>,</w:t>
      </w:r>
      <w:r>
        <w:tab/>
      </w:r>
      <w:r>
        <w:rPr>
          <w:i/>
        </w:rPr>
        <w:t>адвокати</w:t>
      </w:r>
      <w:r>
        <w:t>,</w:t>
      </w:r>
      <w:r>
        <w:br/>
      </w:r>
      <w:r w:rsidR="00113267">
        <w:t>г</w:t>
      </w:r>
      <w:r>
        <w:t>-жа</w:t>
      </w:r>
      <w:r>
        <w:tab/>
        <w:t xml:space="preserve">V. </w:t>
      </w:r>
      <w:r>
        <w:rPr>
          <w:rStyle w:val="JuNames"/>
        </w:rPr>
        <w:t>Billamboz</w:t>
      </w:r>
      <w:r>
        <w:t>,</w:t>
      </w:r>
      <w:r>
        <w:br/>
      </w:r>
      <w:r w:rsidR="00113267">
        <w:t>г</w:t>
      </w:r>
      <w:r>
        <w:t>-н</w:t>
      </w:r>
      <w:r>
        <w:tab/>
      </w:r>
      <w:r>
        <w:rPr>
          <w:rStyle w:val="JuNames"/>
        </w:rPr>
        <w:t>M. Kamalak</w:t>
      </w:r>
      <w:r>
        <w:t>,</w:t>
      </w:r>
      <w:r>
        <w:br/>
      </w:r>
      <w:r w:rsidR="00113267">
        <w:t>г</w:t>
      </w:r>
      <w:r>
        <w:t>-н</w:t>
      </w:r>
      <w:r>
        <w:tab/>
        <w:t>Ş</w:t>
      </w:r>
      <w:r>
        <w:rPr>
          <w:rStyle w:val="JuNames"/>
        </w:rPr>
        <w:t>. Malkoç</w:t>
      </w:r>
      <w:r>
        <w:t>,</w:t>
      </w:r>
      <w:r>
        <w:tab/>
      </w:r>
      <w:r>
        <w:rPr>
          <w:i/>
        </w:rPr>
        <w:t>съветници.</w:t>
      </w:r>
    </w:p>
    <w:p w:rsidR="00C63CF3" w:rsidRDefault="00C63CF3">
      <w:pPr>
        <w:pStyle w:val="JuPara"/>
      </w:pPr>
    </w:p>
    <w:p w:rsidR="00C63CF3" w:rsidRDefault="00113267">
      <w:pPr>
        <w:pStyle w:val="JuPara"/>
      </w:pPr>
      <w:r>
        <w:lastRenderedPageBreak/>
        <w:t xml:space="preserve">Явява </w:t>
      </w:r>
      <w:r w:rsidR="006C2238">
        <w:t>се също и един от жалбоподателите, г-н Kazan.</w:t>
      </w:r>
    </w:p>
    <w:p w:rsidR="00C63CF3" w:rsidRDefault="006C2238">
      <w:pPr>
        <w:pStyle w:val="JuPara"/>
      </w:pPr>
      <w:r>
        <w:t>Съдът изслуш</w:t>
      </w:r>
      <w:r w:rsidR="00113267">
        <w:t>в</w:t>
      </w:r>
      <w:r>
        <w:t>а обръщенията на г-н Kazan, г-н Hincker и г-н Alpaslan.</w:t>
      </w:r>
    </w:p>
    <w:p w:rsidR="00C63CF3" w:rsidRDefault="006C2238">
      <w:pPr>
        <w:pStyle w:val="JuHHead"/>
      </w:pPr>
      <w:r>
        <w:t>ФАКТИТЕ</w:t>
      </w:r>
    </w:p>
    <w:p w:rsidR="00C63CF3" w:rsidRDefault="006C2238">
      <w:pPr>
        <w:pStyle w:val="JuHIRoman"/>
      </w:pPr>
      <w:r>
        <w:t>I.</w:t>
      </w:r>
      <w:r>
        <w:tab/>
        <w:t>ОБСТОЯТЕЛСТВАТА ПО ДЕЛОТО</w:t>
      </w:r>
    </w:p>
    <w:p w:rsidR="00C63CF3" w:rsidRDefault="006C2238">
      <w:pPr>
        <w:pStyle w:val="JuHA"/>
      </w:pPr>
      <w:r>
        <w:t>А.</w:t>
      </w:r>
      <w:r>
        <w:tab/>
        <w:t>Жалбоподателите</w:t>
      </w:r>
    </w:p>
    <w:p w:rsidR="00C63CF3" w:rsidRDefault="00914B44">
      <w:pPr>
        <w:pStyle w:val="JuPara"/>
        <w:rPr>
          <w:noProof/>
        </w:rPr>
      </w:pPr>
      <w:r>
        <w:fldChar w:fldCharType="begin"/>
      </w:r>
      <w:r>
        <w:instrText xml:space="preserve"> SEQ level0 \*arabic </w:instrText>
      </w:r>
      <w:r>
        <w:fldChar w:fldCharType="separate"/>
      </w:r>
      <w:r w:rsidR="006C2238">
        <w:rPr>
          <w:noProof/>
        </w:rPr>
        <w:t>10</w:t>
      </w:r>
      <w:r>
        <w:rPr>
          <w:noProof/>
        </w:rPr>
        <w:fldChar w:fldCharType="end"/>
      </w:r>
      <w:r w:rsidR="006C2238">
        <w:t xml:space="preserve">.  Първият жалбоподател, Refah Partisi (Партия на благоденствието – „Refah“), е политическа партия, основана на 19 юли 1983 г. Тя е представена от председателя </w:t>
      </w:r>
      <w:r w:rsidR="00113267">
        <w:t>си</w:t>
      </w:r>
      <w:r w:rsidR="006C2238">
        <w:t xml:space="preserve">, г-н Necmettin Erbakan, който е вторият жалбоподател. Той е роден през 1926 г. </w:t>
      </w:r>
      <w:r w:rsidR="00113267">
        <w:t xml:space="preserve">и живее </w:t>
      </w:r>
      <w:r w:rsidR="006C2238">
        <w:t xml:space="preserve">в Анкара. Инженер по образование, той се занимава с политика. </w:t>
      </w:r>
      <w:r w:rsidR="00C178AA">
        <w:t>Към момента на настъпване на събитията</w:t>
      </w:r>
      <w:r w:rsidR="006C2238">
        <w:t xml:space="preserve"> е член на парламента и председател на Refah. </w:t>
      </w:r>
    </w:p>
    <w:p w:rsidR="00C63CF3" w:rsidRDefault="006C2238">
      <w:pPr>
        <w:pStyle w:val="JuPara"/>
      </w:pPr>
      <w:r>
        <w:t xml:space="preserve">Третият жалбоподател, г-н Şevket Kazan, е роден през 1933 г. и живее в Анкара. Той е политик и адвокат. По време е член на парламента и заместник-председател на Refah. Четвъртият жалбоподател, г-н Ahmet Tekdal е роден през 1931 г. и живее в Анкара. Той е политик и адвокат. </w:t>
      </w:r>
      <w:r w:rsidR="00C178AA">
        <w:t>Към момента на настъпване на фактите</w:t>
      </w:r>
      <w:r>
        <w:t xml:space="preserve"> е член на парламента и заместник-председател на Refah.</w:t>
      </w:r>
    </w:p>
    <w:p w:rsidR="00C63CF3" w:rsidRDefault="00914B44">
      <w:pPr>
        <w:pStyle w:val="JuPara"/>
      </w:pPr>
      <w:r>
        <w:fldChar w:fldCharType="begin"/>
      </w:r>
      <w:r>
        <w:instrText xml:space="preserve"> SEQ level0 \*arabic </w:instrText>
      </w:r>
      <w:r>
        <w:fldChar w:fldCharType="separate"/>
      </w:r>
      <w:r w:rsidR="006C2238">
        <w:rPr>
          <w:noProof/>
        </w:rPr>
        <w:t>11</w:t>
      </w:r>
      <w:r>
        <w:rPr>
          <w:noProof/>
        </w:rPr>
        <w:fldChar w:fldCharType="end"/>
      </w:r>
      <w:r w:rsidR="006C2238">
        <w:t xml:space="preserve">.  Refah участва в редица общи и местни избори. На местните избори през март 1989 г. партията получава около 10% от гласовете и нейни кандидати са избрани за кметове на редица градове, включително </w:t>
      </w:r>
      <w:r w:rsidR="00C178AA">
        <w:t xml:space="preserve">на </w:t>
      </w:r>
      <w:r w:rsidR="006C2238">
        <w:t>няколко големи града. По време на общите избори през 1991 г. партията получава 16</w:t>
      </w:r>
      <w:r w:rsidR="00263034">
        <w:t>,</w:t>
      </w:r>
      <w:r w:rsidR="006C2238">
        <w:t xml:space="preserve">88% от гласовете. Избраните шестдесет и двама депутати участват в периода 1991 — 1995 г. в работата на </w:t>
      </w:r>
      <w:r w:rsidR="00263034">
        <w:t>п</w:t>
      </w:r>
      <w:r w:rsidR="006C2238">
        <w:t xml:space="preserve">арламента и различните парламентарни комисии, включително </w:t>
      </w:r>
      <w:r w:rsidR="00263034">
        <w:t xml:space="preserve">на </w:t>
      </w:r>
      <w:r w:rsidR="006C2238">
        <w:t>Комисията по конституционни въпроси, която предл</w:t>
      </w:r>
      <w:r w:rsidR="00263034">
        <w:t>ага</w:t>
      </w:r>
      <w:r w:rsidR="006C2238">
        <w:t xml:space="preserve"> изменения на член 69 от Конституцията, ко</w:t>
      </w:r>
      <w:r w:rsidR="00263034">
        <w:t>и</w:t>
      </w:r>
      <w:r w:rsidR="006C2238">
        <w:t>то се прев</w:t>
      </w:r>
      <w:r w:rsidR="00263034">
        <w:t>ръщат</w:t>
      </w:r>
      <w:r w:rsidR="006C2238">
        <w:t xml:space="preserve"> в закон на 23 юли 1995 г. По време на обсъжданията в </w:t>
      </w:r>
      <w:r w:rsidR="00263034">
        <w:t>п</w:t>
      </w:r>
      <w:r w:rsidR="006C2238">
        <w:t>арламента във връзка с нов</w:t>
      </w:r>
      <w:r w:rsidR="00263034">
        <w:t>ата</w:t>
      </w:r>
      <w:r w:rsidR="006C2238">
        <w:t xml:space="preserve"> шест</w:t>
      </w:r>
      <w:r w:rsidR="00263034">
        <w:t>а</w:t>
      </w:r>
      <w:r w:rsidR="006C2238">
        <w:t xml:space="preserve"> </w:t>
      </w:r>
      <w:r w:rsidR="00263034">
        <w:t>алинея</w:t>
      </w:r>
      <w:r w:rsidR="006C2238">
        <w:t xml:space="preserve"> на член 69 от Конституцията (вж. параграф 45 по-долу), председателят на Комисията по конституционни въпроси обясн</w:t>
      </w:r>
      <w:r w:rsidR="00F018AA">
        <w:t>ява</w:t>
      </w:r>
      <w:r w:rsidR="006C2238">
        <w:t xml:space="preserve"> при представянето на законопроекта, изготвен от него, че Конституционният съд няма да се ограничи </w:t>
      </w:r>
      <w:r w:rsidR="00F018AA">
        <w:t>до</w:t>
      </w:r>
      <w:r w:rsidR="006C2238">
        <w:t xml:space="preserve"> отбелязване на противоконституционното естество на индивидуалните действия на членовете на партия, а ще е длъжен да обяви, че въпросната партия се е превърнала в център на противоконституционни дейности във връзка с тези действия. Един от </w:t>
      </w:r>
      <w:r w:rsidR="00F018AA">
        <w:t>депутатите</w:t>
      </w:r>
      <w:r w:rsidR="006C2238">
        <w:t>, представляващ парламентарната група на Партията на отечеството, подчерта</w:t>
      </w:r>
      <w:r w:rsidR="00F018AA">
        <w:t>ва</w:t>
      </w:r>
      <w:r w:rsidR="006C2238">
        <w:t xml:space="preserve"> необходимостта от промени в съответните разпоредби от Закон № 2820 относно регламентирането на </w:t>
      </w:r>
      <w:r w:rsidR="006C2238">
        <w:lastRenderedPageBreak/>
        <w:t xml:space="preserve">политическите партии във връзка с новите шест </w:t>
      </w:r>
      <w:r w:rsidR="00F32039">
        <w:t xml:space="preserve">алинеи </w:t>
      </w:r>
      <w:r w:rsidR="006C2238">
        <w:t>на член 69 от Конституцията.</w:t>
      </w:r>
    </w:p>
    <w:p w:rsidR="00C63CF3" w:rsidRDefault="006C2238">
      <w:pPr>
        <w:pStyle w:val="JuPara"/>
      </w:pPr>
      <w:r>
        <w:t>В крайна сметка Refah получ</w:t>
      </w:r>
      <w:r w:rsidR="00F32039">
        <w:t>ава</w:t>
      </w:r>
      <w:r>
        <w:t xml:space="preserve"> близо 22% от гласовете на общите избори, проведени на 24 декември 1995 г.</w:t>
      </w:r>
      <w:r w:rsidR="00F32039">
        <w:t>,</w:t>
      </w:r>
      <w:r>
        <w:t xml:space="preserve"> и около 35% от гласовете на местните избори, проведени на 3 ноември 1996 г.</w:t>
      </w:r>
    </w:p>
    <w:p w:rsidR="00C63CF3" w:rsidRDefault="006C2238">
      <w:pPr>
        <w:pStyle w:val="JuPara"/>
      </w:pPr>
      <w:r>
        <w:t>Резултатите от общите избори през 1995 г. превр</w:t>
      </w:r>
      <w:r w:rsidR="00F32039">
        <w:t>ъщат</w:t>
      </w:r>
      <w:r>
        <w:t xml:space="preserve"> Refah в най-голямата политическа партия в Турция с общо 158 места във Великото народно събрание (което по това време се състои от 450 депутат</w:t>
      </w:r>
      <w:r w:rsidR="00F32039">
        <w:t>и</w:t>
      </w:r>
      <w:r>
        <w:t xml:space="preserve">). На 28 юни 1996 г. Refah идва на власт в парламентарна коалиция с </w:t>
      </w:r>
      <w:r w:rsidR="00F32039">
        <w:t>десноцентристката</w:t>
      </w:r>
      <w:r>
        <w:t xml:space="preserve"> Партия на верния път (Doğru Yol Partisi), ръководена от г-жа Тансу Чилер. Според проучване</w:t>
      </w:r>
      <w:r w:rsidR="00F32039">
        <w:t xml:space="preserve"> на общественото мнение</w:t>
      </w:r>
      <w:r>
        <w:t xml:space="preserve">, проведено през януари 1997 г., ако общите избори са проведени в </w:t>
      </w:r>
      <w:r w:rsidR="00E02EE3">
        <w:t xml:space="preserve">онзи </w:t>
      </w:r>
      <w:r>
        <w:t>момент, Refah би получила 38% от гласовете. Същото проучване  прогнозира, че Refah може да получи 67% от гласовете на общите избори след около четири години.</w:t>
      </w:r>
    </w:p>
    <w:p w:rsidR="00C63CF3" w:rsidRDefault="006C2238">
      <w:pPr>
        <w:pStyle w:val="JuHA"/>
      </w:pPr>
      <w:r>
        <w:t>Б.</w:t>
      </w:r>
      <w:r>
        <w:tab/>
        <w:t>Производство пред Конституционния съд</w:t>
      </w:r>
    </w:p>
    <w:p w:rsidR="00C63CF3" w:rsidRDefault="006C2238">
      <w:pPr>
        <w:pStyle w:val="JuH1"/>
      </w:pPr>
      <w:r>
        <w:t>1.  Изявления на главния прокурор на държавата</w:t>
      </w:r>
    </w:p>
    <w:p w:rsidR="00C63CF3" w:rsidRDefault="00914B44">
      <w:pPr>
        <w:pStyle w:val="JuPara"/>
      </w:pPr>
      <w:r>
        <w:fldChar w:fldCharType="begin"/>
      </w:r>
      <w:r>
        <w:instrText xml:space="preserve"> SEQ level0 \*arabic </w:instrText>
      </w:r>
      <w:r>
        <w:fldChar w:fldCharType="separate"/>
      </w:r>
      <w:r w:rsidR="006C2238">
        <w:rPr>
          <w:noProof/>
        </w:rPr>
        <w:t>12</w:t>
      </w:r>
      <w:r>
        <w:rPr>
          <w:noProof/>
        </w:rPr>
        <w:fldChar w:fldCharType="end"/>
      </w:r>
      <w:r w:rsidR="006C2238">
        <w:t>.  На 21 май 1997 г. главният прокурор на държавата към Касационния съд отправ</w:t>
      </w:r>
      <w:r w:rsidR="00AC6A1D">
        <w:t>я</w:t>
      </w:r>
      <w:r w:rsidR="006C2238">
        <w:t xml:space="preserve"> призив към Конституционния съд на Турция да разпусне Refah въз основа на обстоятелството, че партията е „</w:t>
      </w:r>
      <w:r w:rsidR="00AC6A1D">
        <w:t>средище</w:t>
      </w:r>
      <w:r w:rsidR="006C2238">
        <w:t>“ (</w:t>
      </w:r>
      <w:r w:rsidR="006C2238">
        <w:rPr>
          <w:i/>
        </w:rPr>
        <w:t>mihrak</w:t>
      </w:r>
      <w:r w:rsidR="006C2238">
        <w:t xml:space="preserve">) на дейности, които противоречат на принципа на светската държава.  В подкрепа на молбата си той се позова на следните действия и </w:t>
      </w:r>
      <w:r w:rsidR="00AC6A1D">
        <w:t>коментари</w:t>
      </w:r>
      <w:r w:rsidR="006C2238">
        <w:t xml:space="preserve"> </w:t>
      </w:r>
      <w:r w:rsidR="00AC6A1D">
        <w:t>на</w:t>
      </w:r>
      <w:r w:rsidR="006C2238">
        <w:t xml:space="preserve"> определени ръководители и членове на Refah.</w:t>
      </w:r>
    </w:p>
    <w:p w:rsidR="00C63CF3" w:rsidRDefault="006C2238">
      <w:pPr>
        <w:pStyle w:val="JuPara"/>
      </w:pPr>
      <w:r>
        <w:t>—</w:t>
      </w:r>
      <w:r>
        <w:tab/>
        <w:t xml:space="preserve">Винаги в </w:t>
      </w:r>
      <w:r w:rsidR="00007E8F">
        <w:t xml:space="preserve">публичните си </w:t>
      </w:r>
      <w:r>
        <w:t xml:space="preserve">изказвания председателят и </w:t>
      </w:r>
      <w:r w:rsidR="00007E8F">
        <w:t xml:space="preserve">други </w:t>
      </w:r>
      <w:r>
        <w:t xml:space="preserve">ръководители на Refah се обявяват в защита на носенето на ислямски забрадки в държавните училища и сградите на обществените административни органи, като Конституционният съд </w:t>
      </w:r>
      <w:r w:rsidR="00007E8F">
        <w:t xml:space="preserve">вече </w:t>
      </w:r>
      <w:r>
        <w:t>е постановил, че това е нарушение на принципа на светската държава, залегнали в Конституцията.</w:t>
      </w:r>
    </w:p>
    <w:p w:rsidR="00C63CF3" w:rsidRDefault="006C2238">
      <w:pPr>
        <w:pStyle w:val="JuPara"/>
      </w:pPr>
      <w:r>
        <w:t>—</w:t>
      </w:r>
      <w:r>
        <w:tab/>
        <w:t xml:space="preserve">По време на заседание във връзка с конституционната реформа, председателят на Refah г-н Necmettin Erbakan прави предложения </w:t>
      </w:r>
      <w:r w:rsidR="00BA39B6">
        <w:t>във връзка с</w:t>
      </w:r>
      <w:r>
        <w:t xml:space="preserve"> премахване на принципа на светската държава в Турция. Той предл</w:t>
      </w:r>
      <w:r w:rsidR="00BA39B6">
        <w:t>ага</w:t>
      </w:r>
      <w:r>
        <w:t xml:space="preserve"> изповядващите различни религии да се подчиняват на своите собствени правила, а не на тези, наложени от законодателството в Турция.</w:t>
      </w:r>
    </w:p>
    <w:p w:rsidR="00C63CF3" w:rsidRDefault="006C2238">
      <w:pPr>
        <w:pStyle w:val="JuPara"/>
      </w:pPr>
      <w:r>
        <w:t>—</w:t>
      </w:r>
      <w:r>
        <w:tab/>
        <w:t>На 13 април 1994 г. г-н Necmettin Erbakan отправ</w:t>
      </w:r>
      <w:r w:rsidR="00BA39B6">
        <w:t>я</w:t>
      </w:r>
      <w:r>
        <w:t xml:space="preserve"> </w:t>
      </w:r>
      <w:r w:rsidR="00BA39B6">
        <w:t xml:space="preserve">искане </w:t>
      </w:r>
      <w:r>
        <w:t>към представителите на Refah във Великото народно събрание да направят преценка дали промяната в обществения ред, към която се стреми партията, би била „мирна или насилствена“ и би била постигната чрез „хармония или кръвопролития“.</w:t>
      </w:r>
    </w:p>
    <w:p w:rsidR="00C63CF3" w:rsidRDefault="006C2238">
      <w:pPr>
        <w:pStyle w:val="JuPara"/>
      </w:pPr>
      <w:r>
        <w:lastRenderedPageBreak/>
        <w:t xml:space="preserve">— По време на семинар, проведен през януари 1991 г. в Сивас, г-н Necmettin Erbakan призова мюсюлманите да се присъединят към Refah, </w:t>
      </w:r>
      <w:r w:rsidR="007C64BC">
        <w:t xml:space="preserve">като </w:t>
      </w:r>
      <w:r>
        <w:t xml:space="preserve">заявява, че само неговата партия може да наложи превъзходството на Корана чрез свещена война (джихад) и че мюсюлманите следователно трябва да правят дарения на партията, а не да дават </w:t>
      </w:r>
      <w:r w:rsidR="007C64BC">
        <w:t xml:space="preserve">подаяния </w:t>
      </w:r>
      <w:r>
        <w:t>на трети страни.</w:t>
      </w:r>
    </w:p>
    <w:p w:rsidR="00C63CF3" w:rsidRDefault="006C2238">
      <w:pPr>
        <w:pStyle w:val="JuPara"/>
      </w:pPr>
      <w:r>
        <w:t>—</w:t>
      </w:r>
      <w:r>
        <w:tab/>
        <w:t>По време на Рамадана г-н Necmettin Erbakan прие</w:t>
      </w:r>
      <w:r w:rsidR="007C64BC">
        <w:t>ма</w:t>
      </w:r>
      <w:r>
        <w:t xml:space="preserve"> ръководителите на ислямистките движения в резиденцията, която е запазена за министър-председателя, като по този начин ги увер</w:t>
      </w:r>
      <w:r w:rsidR="00F8263E">
        <w:t>ява</w:t>
      </w:r>
      <w:r>
        <w:t xml:space="preserve"> в подкрепата си.</w:t>
      </w:r>
    </w:p>
    <w:p w:rsidR="00C63CF3" w:rsidRDefault="006C2238">
      <w:pPr>
        <w:pStyle w:val="JuPara"/>
      </w:pPr>
      <w:r>
        <w:t>—</w:t>
      </w:r>
      <w:r>
        <w:tab/>
        <w:t xml:space="preserve">Няколко от членовете на Refah, включително </w:t>
      </w:r>
      <w:r w:rsidR="00F8263E">
        <w:t>такива</w:t>
      </w:r>
      <w:r>
        <w:t xml:space="preserve"> </w:t>
      </w:r>
      <w:r w:rsidR="00F8263E">
        <w:t>на</w:t>
      </w:r>
      <w:r>
        <w:t xml:space="preserve"> високи позиции, прав</w:t>
      </w:r>
      <w:r w:rsidR="00F8263E">
        <w:t>ят</w:t>
      </w:r>
      <w:r>
        <w:t xml:space="preserve"> изказвания, в които призова</w:t>
      </w:r>
      <w:r w:rsidR="00F8263E">
        <w:t>ват</w:t>
      </w:r>
      <w:r>
        <w:t xml:space="preserve"> светската политическа система да се замени с теократична. Тези лица се обяв</w:t>
      </w:r>
      <w:r w:rsidR="00F8263E">
        <w:t>яват</w:t>
      </w:r>
      <w:r>
        <w:t xml:space="preserve"> в защита и на премахването на противниците на тази политика, ако е необходимо и чрез употребата на сила. Като отказ</w:t>
      </w:r>
      <w:r w:rsidR="00F8263E">
        <w:t>в</w:t>
      </w:r>
      <w:r>
        <w:t xml:space="preserve">а да образува дисциплинарни производства срещу въпросните членове и </w:t>
      </w:r>
      <w:r w:rsidR="00F8263E">
        <w:t>даже</w:t>
      </w:r>
      <w:r>
        <w:t xml:space="preserve"> улесн</w:t>
      </w:r>
      <w:r w:rsidR="00F8263E">
        <w:t>ява</w:t>
      </w:r>
      <w:r>
        <w:t xml:space="preserve"> разпространението на речите им, Refah мълчаливо одобр</w:t>
      </w:r>
      <w:r w:rsidR="00A601E5">
        <w:t>ява</w:t>
      </w:r>
      <w:r>
        <w:t xml:space="preserve"> изразените становища.</w:t>
      </w:r>
    </w:p>
    <w:p w:rsidR="00C63CF3" w:rsidRDefault="006C2238">
      <w:pPr>
        <w:pStyle w:val="JuPara"/>
      </w:pPr>
      <w:r>
        <w:t>—</w:t>
      </w:r>
      <w:r>
        <w:tab/>
        <w:t>На 8 май 1997 г. народният представител от Refah г-н İbrahim Halil Çelik заяв</w:t>
      </w:r>
      <w:r w:rsidR="00A601E5">
        <w:t>ява</w:t>
      </w:r>
      <w:r>
        <w:t xml:space="preserve"> пред журналисти в кулоарите на парламента, че ако бъде направен опит да бъдат закрити религиозните колежи „</w:t>
      </w:r>
      <w:r>
        <w:rPr>
          <w:i/>
        </w:rPr>
        <w:t>İmam-Hatip</w:t>
      </w:r>
      <w:r>
        <w:t xml:space="preserve">“, ще потекат реки от кръв, че ситуацията може да </w:t>
      </w:r>
      <w:r w:rsidR="00A601E5">
        <w:t xml:space="preserve">стане по-лоша от тази </w:t>
      </w:r>
      <w:r>
        <w:t>в Алжир, че лично той иска демокрацията да бъде установена с кръв в страната, че ще отвърне на всеки, който го нападне</w:t>
      </w:r>
      <w:r w:rsidR="00A601E5">
        <w:t>,</w:t>
      </w:r>
      <w:r>
        <w:t xml:space="preserve"> и че ще се бори докрай за въвеждане на ислямския закон (шериат).</w:t>
      </w:r>
    </w:p>
    <w:p w:rsidR="00C63CF3" w:rsidRDefault="006C2238">
      <w:pPr>
        <w:pStyle w:val="JuPara"/>
      </w:pPr>
      <w:r>
        <w:t>—</w:t>
      </w:r>
      <w:r>
        <w:tab/>
        <w:t xml:space="preserve">Министърът на правосъдието г-н Şevket Kazan (народен представител от Refah и заместник-председател на партията) </w:t>
      </w:r>
      <w:r w:rsidR="00686459">
        <w:t xml:space="preserve">е </w:t>
      </w:r>
      <w:r>
        <w:t>израз</w:t>
      </w:r>
      <w:r w:rsidR="00686459">
        <w:t>ил</w:t>
      </w:r>
      <w:r>
        <w:t xml:space="preserve"> подкрепата си за кмета на Синджан, като го </w:t>
      </w:r>
      <w:r w:rsidR="00686459">
        <w:t xml:space="preserve">е </w:t>
      </w:r>
      <w:r>
        <w:t>посети</w:t>
      </w:r>
      <w:r w:rsidR="00686459">
        <w:t>л</w:t>
      </w:r>
      <w:r>
        <w:t xml:space="preserve"> в затвора, където </w:t>
      </w:r>
      <w:r w:rsidR="00686459">
        <w:t xml:space="preserve">е </w:t>
      </w:r>
      <w:r>
        <w:t>б</w:t>
      </w:r>
      <w:r w:rsidR="00686459">
        <w:t>ил</w:t>
      </w:r>
      <w:r>
        <w:t xml:space="preserve"> задържан в очакване на съдебен процес, след като </w:t>
      </w:r>
      <w:r w:rsidR="00686459">
        <w:t xml:space="preserve">са </w:t>
      </w:r>
      <w:r>
        <w:t>му повдигнати обвинения за публичн</w:t>
      </w:r>
      <w:r w:rsidR="00686459">
        <w:t>а</w:t>
      </w:r>
      <w:r>
        <w:t xml:space="preserve"> </w:t>
      </w:r>
      <w:r w:rsidR="00686459">
        <w:t>подкрепа за</w:t>
      </w:r>
      <w:r>
        <w:t xml:space="preserve"> действията на международни ислямистки терористични групи.</w:t>
      </w:r>
    </w:p>
    <w:p w:rsidR="00C63CF3" w:rsidRDefault="006C2238">
      <w:pPr>
        <w:pStyle w:val="JuPara"/>
      </w:pPr>
      <w:r>
        <w:t>Главният прокурор на държавата по-нататък отбеляз</w:t>
      </w:r>
      <w:r w:rsidR="00227CAC">
        <w:t>в</w:t>
      </w:r>
      <w:r>
        <w:t>а, че Refah не е образувала дисциплинарн</w:t>
      </w:r>
      <w:r w:rsidR="00227CAC">
        <w:t>о</w:t>
      </w:r>
      <w:r>
        <w:t xml:space="preserve"> производств</w:t>
      </w:r>
      <w:r w:rsidR="00227CAC">
        <w:t>о</w:t>
      </w:r>
      <w:r>
        <w:t xml:space="preserve"> срещу отговорните за посочените по-горе действия и коментари.</w:t>
      </w:r>
    </w:p>
    <w:p w:rsidR="00C63CF3" w:rsidRDefault="00914B44">
      <w:pPr>
        <w:pStyle w:val="JuPara"/>
      </w:pPr>
      <w:r>
        <w:fldChar w:fldCharType="begin"/>
      </w:r>
      <w:r>
        <w:instrText xml:space="preserve"> SEQ level0 \*arabic </w:instrText>
      </w:r>
      <w:r>
        <w:fldChar w:fldCharType="separate"/>
      </w:r>
      <w:r w:rsidR="006C2238">
        <w:rPr>
          <w:noProof/>
        </w:rPr>
        <w:t>13</w:t>
      </w:r>
      <w:r>
        <w:rPr>
          <w:noProof/>
        </w:rPr>
        <w:fldChar w:fldCharType="end"/>
      </w:r>
      <w:r w:rsidR="006C2238">
        <w:t>.  На 7 юли 1997 г. главният прокурор представ</w:t>
      </w:r>
      <w:r w:rsidR="00227CAC">
        <w:t>я</w:t>
      </w:r>
      <w:r w:rsidR="006C2238">
        <w:t xml:space="preserve"> пред Конституционния съд нови доказателства срещу Refah.</w:t>
      </w:r>
    </w:p>
    <w:p w:rsidR="00C63CF3" w:rsidRDefault="006C2238">
      <w:pPr>
        <w:pStyle w:val="JuH1"/>
      </w:pPr>
      <w:r>
        <w:t>2.  Защитата на обвиняемите</w:t>
      </w:r>
    </w:p>
    <w:p w:rsidR="00C63CF3" w:rsidRDefault="00914B44">
      <w:pPr>
        <w:pStyle w:val="JuPara"/>
      </w:pPr>
      <w:r>
        <w:fldChar w:fldCharType="begin"/>
      </w:r>
      <w:r>
        <w:instrText xml:space="preserve"> SEQ level0 \*arabic </w:instrText>
      </w:r>
      <w:r>
        <w:fldChar w:fldCharType="separate"/>
      </w:r>
      <w:r w:rsidR="006C2238">
        <w:rPr>
          <w:noProof/>
        </w:rPr>
        <w:t>14</w:t>
      </w:r>
      <w:r>
        <w:rPr>
          <w:noProof/>
        </w:rPr>
        <w:fldChar w:fldCharType="end"/>
      </w:r>
      <w:r w:rsidR="006C2238">
        <w:t>.  На 4 август 1997 г. представители на Refah пода</w:t>
      </w:r>
      <w:r w:rsidR="0046794E">
        <w:rPr>
          <w:lang w:val="en-US"/>
        </w:rPr>
        <w:t>ват</w:t>
      </w:r>
      <w:r w:rsidR="006C2238">
        <w:t xml:space="preserve"> своите защит</w:t>
      </w:r>
      <w:r w:rsidR="008C0E99">
        <w:rPr>
          <w:lang w:val="en-US"/>
        </w:rPr>
        <w:t>ни доводи</w:t>
      </w:r>
      <w:r w:rsidR="006C2238">
        <w:t>, в които се позова</w:t>
      </w:r>
      <w:r w:rsidR="008C0E99">
        <w:t>ват</w:t>
      </w:r>
      <w:r w:rsidR="006C2238">
        <w:t xml:space="preserve"> на инструментите за международна закрила на правата на човека, включително на Конвенцията, </w:t>
      </w:r>
      <w:r w:rsidR="008C0E99">
        <w:t xml:space="preserve">като </w:t>
      </w:r>
      <w:r w:rsidR="006C2238">
        <w:t>изтъква</w:t>
      </w:r>
      <w:r w:rsidR="008C0E99">
        <w:t>т</w:t>
      </w:r>
      <w:r w:rsidR="006C2238">
        <w:t xml:space="preserve">, че тези инструменти формират част от писменото законодателство на Турция. </w:t>
      </w:r>
      <w:r w:rsidR="008C0E99">
        <w:t>Т</w:t>
      </w:r>
      <w:r w:rsidR="006C2238">
        <w:t>е се позова</w:t>
      </w:r>
      <w:r w:rsidR="008C0E99">
        <w:t>ват и</w:t>
      </w:r>
      <w:r w:rsidR="006C2238">
        <w:t xml:space="preserve"> на съдебн</w:t>
      </w:r>
      <w:r w:rsidR="008C0E99">
        <w:t>а</w:t>
      </w:r>
      <w:r w:rsidR="006C2238">
        <w:t>т</w:t>
      </w:r>
      <w:r w:rsidR="008C0E99">
        <w:t>а</w:t>
      </w:r>
      <w:r w:rsidR="006C2238">
        <w:t xml:space="preserve"> практик</w:t>
      </w:r>
      <w:r w:rsidR="008C0E99">
        <w:t>а</w:t>
      </w:r>
      <w:r w:rsidR="006C2238">
        <w:t xml:space="preserve"> на Комисията, която</w:t>
      </w:r>
      <w:r w:rsidR="008C0E99">
        <w:t xml:space="preserve"> </w:t>
      </w:r>
      <w:r w:rsidR="006C2238">
        <w:t xml:space="preserve">е изразила становище, че има нарушение </w:t>
      </w:r>
      <w:r w:rsidR="006C2238">
        <w:lastRenderedPageBreak/>
        <w:t>на член 11 от Конвенцията в случаите във връзка с Обединената комунистическа партия на Турция и Социалистическата партия, както и на съдебн</w:t>
      </w:r>
      <w:r w:rsidR="008C0E99">
        <w:t>а</w:t>
      </w:r>
      <w:r w:rsidR="006C2238">
        <w:t>т</w:t>
      </w:r>
      <w:r w:rsidR="008C0E99">
        <w:t>а</w:t>
      </w:r>
      <w:r w:rsidR="006C2238">
        <w:t xml:space="preserve"> практик</w:t>
      </w:r>
      <w:r w:rsidR="008C0E99">
        <w:t>а</w:t>
      </w:r>
      <w:r w:rsidR="006C2238">
        <w:t xml:space="preserve"> на Съда и Комисията относно ограниченията на свободата на изразяване и свободата на сдружаване, гарантирани от вторите </w:t>
      </w:r>
      <w:r w:rsidR="008464D1">
        <w:t xml:space="preserve">алинеи </w:t>
      </w:r>
      <w:r w:rsidR="006C2238">
        <w:t>на членове 10 и 11 от Конвенцията. Те поддържа</w:t>
      </w:r>
      <w:r w:rsidR="008464D1">
        <w:t>т</w:t>
      </w:r>
      <w:r w:rsidR="006C2238">
        <w:t xml:space="preserve"> твърдението, че разпускането на Refah не е наложено </w:t>
      </w:r>
      <w:r w:rsidR="002644C4">
        <w:t>от</w:t>
      </w:r>
      <w:r w:rsidR="006C2238">
        <w:t xml:space="preserve"> </w:t>
      </w:r>
      <w:r w:rsidR="002644C4">
        <w:t>спешна</w:t>
      </w:r>
      <w:r w:rsidR="006C2238">
        <w:t xml:space="preserve"> социалн</w:t>
      </w:r>
      <w:r w:rsidR="002644C4">
        <w:t>а</w:t>
      </w:r>
      <w:r w:rsidR="006C2238">
        <w:t xml:space="preserve"> </w:t>
      </w:r>
      <w:r w:rsidR="002644C4">
        <w:t>нужда</w:t>
      </w:r>
      <w:r w:rsidR="006C2238">
        <w:t xml:space="preserve"> и не е необходимо в едно демократично общество. </w:t>
      </w:r>
      <w:r w:rsidR="002644C4">
        <w:t>С</w:t>
      </w:r>
      <w:r w:rsidR="006C2238">
        <w:t xml:space="preserve">поред представителите на Refah разпускането на партията им </w:t>
      </w:r>
      <w:r w:rsidR="002644C4">
        <w:t xml:space="preserve">също не </w:t>
      </w:r>
      <w:r w:rsidR="006C2238">
        <w:t xml:space="preserve">е оправдано чрез прилагането на </w:t>
      </w:r>
      <w:r w:rsidR="00B52887">
        <w:t>проверката</w:t>
      </w:r>
      <w:r w:rsidR="006C2238">
        <w:t xml:space="preserve"> за „явна и непосредствена опасност“, заложен</w:t>
      </w:r>
      <w:r w:rsidR="00B52887">
        <w:t>а</w:t>
      </w:r>
      <w:r w:rsidR="006C2238">
        <w:t xml:space="preserve"> от Върховния съд на Съединените американски щати.</w:t>
      </w:r>
    </w:p>
    <w:p w:rsidR="00C63CF3" w:rsidRDefault="00914B44">
      <w:pPr>
        <w:pStyle w:val="JuPara"/>
      </w:pPr>
      <w:r>
        <w:fldChar w:fldCharType="begin"/>
      </w:r>
      <w:r>
        <w:instrText xml:space="preserve"> SEQ level0 \*arabic </w:instrText>
      </w:r>
      <w:r>
        <w:fldChar w:fldCharType="separate"/>
      </w:r>
      <w:r w:rsidR="006C2238">
        <w:rPr>
          <w:noProof/>
        </w:rPr>
        <w:t>15</w:t>
      </w:r>
      <w:r>
        <w:rPr>
          <w:noProof/>
        </w:rPr>
        <w:fldChar w:fldCharType="end"/>
      </w:r>
      <w:r w:rsidR="006C2238">
        <w:t>.  По-нататък представители</w:t>
      </w:r>
      <w:r w:rsidR="00A27626">
        <w:t>те</w:t>
      </w:r>
      <w:r w:rsidR="006C2238">
        <w:t xml:space="preserve"> на Refah отхвърл</w:t>
      </w:r>
      <w:r w:rsidR="00A27626">
        <w:t>ят</w:t>
      </w:r>
      <w:r w:rsidR="006C2238">
        <w:t xml:space="preserve"> аргумента на главния прокурор, че партията е била „</w:t>
      </w:r>
      <w:r w:rsidR="00A27626">
        <w:t>средище</w:t>
      </w:r>
      <w:r w:rsidR="006C2238">
        <w:t>“ на дейности, които застрашават светското естество на Републиката. Те заявиха, че Refah не попада под критериите, заложени в Закона за политическите партии за определяне дали дадена политическа партия представлява „</w:t>
      </w:r>
      <w:r w:rsidR="00A27626">
        <w:t xml:space="preserve">средище </w:t>
      </w:r>
      <w:r w:rsidR="006C2238">
        <w:t>на противоконституционни дейности</w:t>
      </w:r>
      <w:r w:rsidR="00A27626">
        <w:t>“</w:t>
      </w:r>
      <w:r w:rsidR="006C2238">
        <w:t>. Те отбеляз</w:t>
      </w:r>
      <w:r w:rsidR="00A27626">
        <w:t>в</w:t>
      </w:r>
      <w:r w:rsidR="006C2238">
        <w:t>а</w:t>
      </w:r>
      <w:r w:rsidR="00A27626">
        <w:t>т</w:t>
      </w:r>
      <w:r w:rsidR="006C2238">
        <w:t xml:space="preserve">, </w:t>
      </w:r>
      <w:r w:rsidR="006C2238" w:rsidRPr="005C2DB2">
        <w:t>наред с другото</w:t>
      </w:r>
      <w:r w:rsidR="006C2238" w:rsidRPr="00745DF2">
        <w:t>,</w:t>
      </w:r>
      <w:r w:rsidR="006C2238">
        <w:t xml:space="preserve"> че прокуратурата не е отправила предупреждения към Refah (която има четири милиона членове), с които да позволи на партията да изключи някои от членовете си, чиито действия противоречат на разпоредбите на Наказателния кодекс.</w:t>
      </w:r>
    </w:p>
    <w:p w:rsidR="00C63CF3" w:rsidRDefault="00914B44">
      <w:pPr>
        <w:pStyle w:val="JuPara"/>
        <w:spacing w:line="216" w:lineRule="auto"/>
      </w:pPr>
      <w:r>
        <w:fldChar w:fldCharType="begin"/>
      </w:r>
      <w:r>
        <w:instrText xml:space="preserve"> SEQ level0 \*arabic </w:instrText>
      </w:r>
      <w:r>
        <w:fldChar w:fldCharType="separate"/>
      </w:r>
      <w:r w:rsidR="006C2238">
        <w:rPr>
          <w:noProof/>
        </w:rPr>
        <w:t>16</w:t>
      </w:r>
      <w:r>
        <w:rPr>
          <w:noProof/>
        </w:rPr>
        <w:fldChar w:fldCharType="end"/>
      </w:r>
      <w:r w:rsidR="006C2238">
        <w:t>.  Представителите на Refah израз</w:t>
      </w:r>
      <w:r w:rsidR="00745DF2">
        <w:t>яват</w:t>
      </w:r>
      <w:r w:rsidR="006C2238">
        <w:t xml:space="preserve"> също така своите гледни точки относно </w:t>
      </w:r>
      <w:r w:rsidR="00745DF2">
        <w:t>понятието</w:t>
      </w:r>
      <w:r w:rsidR="006C2238">
        <w:t xml:space="preserve"> светска държава. Те изтък</w:t>
      </w:r>
      <w:r w:rsidR="00745DF2">
        <w:t>ват</w:t>
      </w:r>
      <w:r w:rsidR="006C2238">
        <w:t xml:space="preserve">, че принципът на светската държава </w:t>
      </w:r>
      <w:r w:rsidR="005C35CD">
        <w:t xml:space="preserve">означава </w:t>
      </w:r>
      <w:r w:rsidR="006C2238">
        <w:t>уважение към всички убеждения и че Refah е показала подобно уважение в своята политическа дейност.</w:t>
      </w:r>
    </w:p>
    <w:p w:rsidR="00C63CF3" w:rsidRDefault="00914B44">
      <w:pPr>
        <w:pStyle w:val="JuPara"/>
      </w:pPr>
      <w:r>
        <w:fldChar w:fldCharType="begin"/>
      </w:r>
      <w:r>
        <w:instrText xml:space="preserve"> SEQ level0 \*arabic </w:instrText>
      </w:r>
      <w:r>
        <w:fldChar w:fldCharType="separate"/>
      </w:r>
      <w:r w:rsidR="006C2238">
        <w:rPr>
          <w:noProof/>
        </w:rPr>
        <w:t>17</w:t>
      </w:r>
      <w:r>
        <w:rPr>
          <w:noProof/>
        </w:rPr>
        <w:fldChar w:fldCharType="end"/>
      </w:r>
      <w:r w:rsidR="006C2238">
        <w:t xml:space="preserve">.  Представителите на жалбоподателите твърдят, че в обвинението на г-н Necmettin Erbakan </w:t>
      </w:r>
      <w:r w:rsidR="005C35CD">
        <w:t>за</w:t>
      </w:r>
      <w:r w:rsidR="006C2238">
        <w:t xml:space="preserve"> подкрепа на използването на сила за постигане на политически цели и </w:t>
      </w:r>
      <w:r w:rsidR="005C35CD">
        <w:t>за</w:t>
      </w:r>
      <w:r w:rsidR="006C2238">
        <w:t xml:space="preserve"> нарушение на принципа на светската държава, прокуратурата просто е цитирала извадки от негови речи, които са изкривени и извадени от контекст. Освен това при тези коментари г-н Necmettin Erbakan </w:t>
      </w:r>
      <w:r w:rsidR="005C35CD">
        <w:t>се ползва от</w:t>
      </w:r>
      <w:r w:rsidR="006C2238">
        <w:t xml:space="preserve"> имунитета си като народен представител. </w:t>
      </w:r>
      <w:r w:rsidR="0023078A">
        <w:t>Т</w:t>
      </w:r>
      <w:r w:rsidR="006C2238">
        <w:t>е отбеляз</w:t>
      </w:r>
      <w:r w:rsidR="0023078A">
        <w:t>ват също</w:t>
      </w:r>
      <w:r w:rsidR="006C2238">
        <w:t>, че вечерята, която г-н Necmettin Erbakan е дал на висши служители на Департамента по религиозни въпроси и бивши членове на богословския факултет</w:t>
      </w:r>
      <w:r w:rsidR="0023078A">
        <w:t>,</w:t>
      </w:r>
      <w:r w:rsidR="006C2238">
        <w:t xml:space="preserve"> е представена от главния прокурор като прием, организиран за ръководителите на ислямистки фундаменталистки движения, които при всички случаи са забранени </w:t>
      </w:r>
      <w:r w:rsidR="0023078A">
        <w:t xml:space="preserve">със закон </w:t>
      </w:r>
      <w:r w:rsidR="006C2238">
        <w:t>от 1925 г.</w:t>
      </w:r>
      <w:r w:rsidR="0023078A">
        <w:t xml:space="preserve"> насам.</w:t>
      </w:r>
    </w:p>
    <w:p w:rsidR="00C63CF3" w:rsidRDefault="00914B44">
      <w:pPr>
        <w:pStyle w:val="JuPara"/>
      </w:pPr>
      <w:r>
        <w:fldChar w:fldCharType="begin"/>
      </w:r>
      <w:r>
        <w:instrText xml:space="preserve"> SEQ </w:instrText>
      </w:r>
      <w:r>
        <w:instrText xml:space="preserve">level0 \*arabic </w:instrText>
      </w:r>
      <w:r>
        <w:fldChar w:fldCharType="separate"/>
      </w:r>
      <w:r w:rsidR="006C2238">
        <w:rPr>
          <w:noProof/>
        </w:rPr>
        <w:t>18</w:t>
      </w:r>
      <w:r>
        <w:rPr>
          <w:noProof/>
        </w:rPr>
        <w:fldChar w:fldCharType="end"/>
      </w:r>
      <w:r w:rsidR="006C2238">
        <w:t>.  Във връзка с коментарите на другите ръководители на Refah и членове, подложени на критика от службата на главния прокурор, представителите на партията отбеляз</w:t>
      </w:r>
      <w:r w:rsidR="0023078A">
        <w:t>ват</w:t>
      </w:r>
      <w:r w:rsidR="006C2238">
        <w:t>, че те не представляват престъпление.</w:t>
      </w:r>
    </w:p>
    <w:p w:rsidR="00C63CF3" w:rsidRDefault="006C2238">
      <w:pPr>
        <w:pStyle w:val="JuPara"/>
      </w:pPr>
      <w:r>
        <w:t>Те подчерта</w:t>
      </w:r>
      <w:r w:rsidR="0044275E">
        <w:t>в</w:t>
      </w:r>
      <w:r>
        <w:t>а</w:t>
      </w:r>
      <w:r w:rsidR="0044275E">
        <w:t>т</w:t>
      </w:r>
      <w:r>
        <w:t xml:space="preserve">, че нито един народен представител, чиито речи са посочени от главния прокурор, не е упълномощен да представлява Refah и не е заемал длъжност в партията </w:t>
      </w:r>
      <w:r w:rsidR="0044275E">
        <w:t>и</w:t>
      </w:r>
      <w:r>
        <w:t xml:space="preserve"> заяв</w:t>
      </w:r>
      <w:r w:rsidR="0044275E">
        <w:t>яват</w:t>
      </w:r>
      <w:r>
        <w:t xml:space="preserve">, че прокуратурата не е дала </w:t>
      </w:r>
      <w:r>
        <w:lastRenderedPageBreak/>
        <w:t>ход на процедурата, заложена в Закона за политическите партии, така че да се даде на Refah възможност, при необходимост, да вземе решение дали въпросните лица да продължат да бъдат членове на партията; за първи път ръководството на Refah е информирано за коментарите, които са критикувани по делото, при четенето на из</w:t>
      </w:r>
      <w:r w:rsidR="00D37460">
        <w:t>ложен</w:t>
      </w:r>
      <w:r>
        <w:t>и</w:t>
      </w:r>
      <w:r w:rsidR="00D37460">
        <w:t>е</w:t>
      </w:r>
      <w:r>
        <w:t>т</w:t>
      </w:r>
      <w:r w:rsidR="00D37460">
        <w:t>о</w:t>
      </w:r>
      <w:r>
        <w:t xml:space="preserve"> на главния прокурор. Тримата народни представители, обект на нападки, </w:t>
      </w:r>
      <w:r w:rsidR="00D37460">
        <w:t xml:space="preserve">са </w:t>
      </w:r>
      <w:r>
        <w:t xml:space="preserve">изключени от партията, която по този начин </w:t>
      </w:r>
      <w:r w:rsidR="00D37460">
        <w:t xml:space="preserve">е </w:t>
      </w:r>
      <w:r>
        <w:t>направи</w:t>
      </w:r>
      <w:r w:rsidR="00D37460">
        <w:t>ла</w:t>
      </w:r>
      <w:r>
        <w:t xml:space="preserve"> необходимото, за да избегне превръщането си в „</w:t>
      </w:r>
      <w:r w:rsidR="00D37460">
        <w:t>средище</w:t>
      </w:r>
      <w:r>
        <w:t>“ на незаконни дейности по смисъла на Закона за политическите партии.</w:t>
      </w:r>
    </w:p>
    <w:p w:rsidR="00C63CF3" w:rsidRDefault="006C2238">
      <w:pPr>
        <w:pStyle w:val="JuH1"/>
      </w:pPr>
      <w:r>
        <w:t xml:space="preserve">3.  Окончателни </w:t>
      </w:r>
      <w:r w:rsidR="00D37460">
        <w:t xml:space="preserve">изявления </w:t>
      </w:r>
      <w:r>
        <w:t>на страните</w:t>
      </w:r>
    </w:p>
    <w:p w:rsidR="00C63CF3" w:rsidRDefault="00914B44">
      <w:pPr>
        <w:pStyle w:val="JuPara"/>
      </w:pPr>
      <w:r>
        <w:fldChar w:fldCharType="begin"/>
      </w:r>
      <w:r>
        <w:instrText xml:space="preserve"> SEQ level0 \*arabic </w:instrText>
      </w:r>
      <w:r>
        <w:fldChar w:fldCharType="separate"/>
      </w:r>
      <w:r w:rsidR="006C2238">
        <w:rPr>
          <w:noProof/>
        </w:rPr>
        <w:t>19</w:t>
      </w:r>
      <w:r>
        <w:rPr>
          <w:noProof/>
        </w:rPr>
        <w:fldChar w:fldCharType="end"/>
      </w:r>
      <w:r w:rsidR="006C2238">
        <w:t>.  На 5 август 1997 г. главният прокурор пода</w:t>
      </w:r>
      <w:r w:rsidR="00D37460">
        <w:t>ва</w:t>
      </w:r>
      <w:r w:rsidR="006C2238">
        <w:t xml:space="preserve"> становищ</w:t>
      </w:r>
      <w:r w:rsidR="00D37460">
        <w:t>е</w:t>
      </w:r>
      <w:r w:rsidR="0025509F">
        <w:t>то</w:t>
      </w:r>
      <w:r w:rsidR="006C2238">
        <w:t xml:space="preserve"> си по </w:t>
      </w:r>
      <w:r w:rsidR="0025509F">
        <w:t>основателността на</w:t>
      </w:r>
      <w:r w:rsidR="006C2238">
        <w:t xml:space="preserve"> делото пред Конституционния съд. Той заяв</w:t>
      </w:r>
      <w:r w:rsidR="0025509F">
        <w:t>ява</w:t>
      </w:r>
      <w:r w:rsidR="006C2238">
        <w:t>, че съгласно Конвенцията и съдебн</w:t>
      </w:r>
      <w:r w:rsidR="0025509F">
        <w:t>а</w:t>
      </w:r>
      <w:r w:rsidR="006C2238">
        <w:t>т</w:t>
      </w:r>
      <w:r w:rsidR="0025509F">
        <w:t>а</w:t>
      </w:r>
      <w:r w:rsidR="006C2238">
        <w:t xml:space="preserve"> практик</w:t>
      </w:r>
      <w:r w:rsidR="0025509F">
        <w:t>а</w:t>
      </w:r>
      <w:r w:rsidR="006C2238">
        <w:t xml:space="preserve"> на турските съдилища по конституционни въпроси, нищо не задължава държав</w:t>
      </w:r>
      <w:r w:rsidR="0025509F">
        <w:t>ите</w:t>
      </w:r>
      <w:r w:rsidR="006C2238">
        <w:t xml:space="preserve"> да толерира</w:t>
      </w:r>
      <w:r w:rsidR="0025509F">
        <w:t>т</w:t>
      </w:r>
      <w:r w:rsidR="006C2238">
        <w:t xml:space="preserve"> съществуването на политически партии, които желаят да разрушат демокрацията и върховенството на закона. Той подчерта</w:t>
      </w:r>
      <w:r w:rsidR="0025509F">
        <w:t>ва</w:t>
      </w:r>
      <w:r w:rsidR="006C2238">
        <w:t>, че Refah, която описва себе си като армия, водеща джихад</w:t>
      </w:r>
      <w:r w:rsidR="0025509F">
        <w:t>,</w:t>
      </w:r>
      <w:r w:rsidR="006C2238">
        <w:t xml:space="preserve"> и открито декларираща намерението си да замени законодателството на Републиката с това на шериата, </w:t>
      </w:r>
      <w:r w:rsidR="00EA0A27">
        <w:t xml:space="preserve">е </w:t>
      </w:r>
      <w:r w:rsidR="006C2238">
        <w:t>демонстрира</w:t>
      </w:r>
      <w:r w:rsidR="00EA0A27">
        <w:t>ла</w:t>
      </w:r>
      <w:r w:rsidR="006C2238">
        <w:t xml:space="preserve">, че целите </w:t>
      </w:r>
      <w:r w:rsidR="00EA0A27">
        <w:t>ѝ</w:t>
      </w:r>
      <w:r w:rsidR="006C2238">
        <w:t xml:space="preserve"> са несъвместими с изискванията на демократичното общество. Целта на Refah да установи </w:t>
      </w:r>
      <w:r w:rsidR="00A064B9">
        <w:t xml:space="preserve">множественост </w:t>
      </w:r>
      <w:r w:rsidR="006C2238">
        <w:t xml:space="preserve">от правни системи (в които всяка група </w:t>
      </w:r>
      <w:r w:rsidR="00EA0A27">
        <w:t xml:space="preserve">да </w:t>
      </w:r>
      <w:r w:rsidR="006C2238">
        <w:t xml:space="preserve">се води от </w:t>
      </w:r>
      <w:r w:rsidR="00EA0A27">
        <w:t xml:space="preserve">правна система </w:t>
      </w:r>
      <w:r w:rsidR="006C2238">
        <w:t>в съответствие с изповядваната религия от членовете) представлява първия</w:t>
      </w:r>
      <w:r w:rsidR="00EA0A27">
        <w:t>т</w:t>
      </w:r>
      <w:r w:rsidR="006C2238">
        <w:t xml:space="preserve"> етап в процеса на заместване на режима на Републиката с теократичен.</w:t>
      </w:r>
    </w:p>
    <w:p w:rsidR="00C63CF3" w:rsidRDefault="00914B44">
      <w:pPr>
        <w:pStyle w:val="JuPara"/>
      </w:pPr>
      <w:r>
        <w:fldChar w:fldCharType="begin"/>
      </w:r>
      <w:r>
        <w:instrText xml:space="preserve"> SEQ level0 \*arabic </w:instrText>
      </w:r>
      <w:r>
        <w:fldChar w:fldCharType="separate"/>
      </w:r>
      <w:r w:rsidR="006C2238">
        <w:rPr>
          <w:noProof/>
        </w:rPr>
        <w:t>20</w:t>
      </w:r>
      <w:r>
        <w:rPr>
          <w:noProof/>
        </w:rPr>
        <w:fldChar w:fldCharType="end"/>
      </w:r>
      <w:r w:rsidR="006C2238">
        <w:t xml:space="preserve">.  В </w:t>
      </w:r>
      <w:r w:rsidR="00EA0A27">
        <w:t>становището си</w:t>
      </w:r>
      <w:r w:rsidR="006C2238">
        <w:t xml:space="preserve"> по </w:t>
      </w:r>
      <w:r w:rsidR="0089582A">
        <w:t>основателността на</w:t>
      </w:r>
      <w:r w:rsidR="006C2238">
        <w:t xml:space="preserve"> делото представителите на Refah отново изтък</w:t>
      </w:r>
      <w:r w:rsidR="0089582A">
        <w:t>ват</w:t>
      </w:r>
      <w:r w:rsidR="006C2238">
        <w:t xml:space="preserve"> аргумента, че разпускането на тяхната партия не може да бъде обосновано с някое от ограниченията, позволени от втор</w:t>
      </w:r>
      <w:r w:rsidR="0089582A">
        <w:t>ата алинея</w:t>
      </w:r>
      <w:r w:rsidR="006C2238">
        <w:t xml:space="preserve"> на член 11 от Конвенцията. </w:t>
      </w:r>
      <w:r w:rsidR="0089582A">
        <w:t>Т</w:t>
      </w:r>
      <w:r w:rsidR="006C2238">
        <w:t>е заяв</w:t>
      </w:r>
      <w:r w:rsidR="0089582A">
        <w:t>яват още</w:t>
      </w:r>
      <w:r w:rsidR="006C2238">
        <w:t xml:space="preserve">, че член 17 не е приложим в случая, тъй като Refah няма нищо общо с политически партии, които </w:t>
      </w:r>
      <w:r w:rsidR="0089582A">
        <w:t xml:space="preserve">имат за цел </w:t>
      </w:r>
      <w:r w:rsidR="006C2238">
        <w:t xml:space="preserve">установяването на тоталитарен режим. Освен това многообразието от правни системи, което тяхната партия предлага, всъщност </w:t>
      </w:r>
      <w:r w:rsidR="00BE0E2C">
        <w:t>има за цел</w:t>
      </w:r>
      <w:r w:rsidR="006C2238">
        <w:t xml:space="preserve"> да насърчава свободата на сключване на договори и свободата на избор на юрисдикция.</w:t>
      </w:r>
    </w:p>
    <w:p w:rsidR="00C63CF3" w:rsidRDefault="00914B44">
      <w:pPr>
        <w:pStyle w:val="JuPara"/>
      </w:pPr>
      <w:r>
        <w:fldChar w:fldCharType="begin"/>
      </w:r>
      <w:r>
        <w:instrText xml:space="preserve"> SEQ level0 \*arabic </w:instrText>
      </w:r>
      <w:r>
        <w:fldChar w:fldCharType="separate"/>
      </w:r>
      <w:r w:rsidR="006C2238">
        <w:rPr>
          <w:noProof/>
        </w:rPr>
        <w:t>21</w:t>
      </w:r>
      <w:r>
        <w:rPr>
          <w:noProof/>
        </w:rPr>
        <w:fldChar w:fldCharType="end"/>
      </w:r>
      <w:r w:rsidR="006C2238">
        <w:t>.  На 11 ноември 1997 г. главният прокурор изл</w:t>
      </w:r>
      <w:r w:rsidR="00BE0E2C">
        <w:t>ага</w:t>
      </w:r>
      <w:r w:rsidR="006C2238">
        <w:t xml:space="preserve"> становището си устно. На 18 и 20 ноември 1997 г. г-н Necmettin Erbakan подн</w:t>
      </w:r>
      <w:r w:rsidR="00BE0E2C">
        <w:t>а</w:t>
      </w:r>
      <w:r w:rsidR="006C2238">
        <w:t>с</w:t>
      </w:r>
      <w:r w:rsidR="00BE0E2C">
        <w:t>я</w:t>
      </w:r>
      <w:r w:rsidR="006C2238">
        <w:t xml:space="preserve"> устно </w:t>
      </w:r>
      <w:r w:rsidR="00BE0E2C">
        <w:t>становище</w:t>
      </w:r>
      <w:r w:rsidR="006C2238">
        <w:t xml:space="preserve"> от името на Refah.</w:t>
      </w:r>
    </w:p>
    <w:p w:rsidR="00C63CF3" w:rsidRDefault="006C2238">
      <w:pPr>
        <w:pStyle w:val="JuH1"/>
      </w:pPr>
      <w:r>
        <w:t>4.  Решения</w:t>
      </w:r>
      <w:r w:rsidR="004C1B6B">
        <w:t>та</w:t>
      </w:r>
      <w:r>
        <w:t xml:space="preserve"> на Конституционния съд</w:t>
      </w:r>
    </w:p>
    <w:p w:rsidR="00C63CF3" w:rsidRDefault="00914B44">
      <w:pPr>
        <w:pStyle w:val="JuPara"/>
      </w:pPr>
      <w:r>
        <w:fldChar w:fldCharType="begin"/>
      </w:r>
      <w:r>
        <w:instrText xml:space="preserve"> SEQ level0 \*arabic </w:instrText>
      </w:r>
      <w:r>
        <w:fldChar w:fldCharType="separate"/>
      </w:r>
      <w:r w:rsidR="006C2238">
        <w:rPr>
          <w:noProof/>
        </w:rPr>
        <w:t>22</w:t>
      </w:r>
      <w:r>
        <w:rPr>
          <w:noProof/>
        </w:rPr>
        <w:fldChar w:fldCharType="end"/>
      </w:r>
      <w:r w:rsidR="006C2238">
        <w:t>.  </w:t>
      </w:r>
      <w:r w:rsidR="004C1B6B">
        <w:t>С</w:t>
      </w:r>
      <w:r w:rsidR="006C2238">
        <w:t xml:space="preserve"> решение от 9 януари 1998 г., произнесено след предварително производство, образувано служебно </w:t>
      </w:r>
      <w:r w:rsidR="004C1B6B">
        <w:t xml:space="preserve">в качеството му на </w:t>
      </w:r>
      <w:r w:rsidR="006C2238">
        <w:t>съд по същество, Конституционният съд постанов</w:t>
      </w:r>
      <w:r w:rsidR="004C1B6B">
        <w:t>ява</w:t>
      </w:r>
      <w:r w:rsidR="006C2238">
        <w:t xml:space="preserve">, че във връзка с член 69 § 6 от Конституцията, </w:t>
      </w:r>
      <w:r w:rsidR="004C1B6B">
        <w:t>ал. 2</w:t>
      </w:r>
      <w:r w:rsidR="006C2238">
        <w:t xml:space="preserve"> на чл</w:t>
      </w:r>
      <w:r w:rsidR="004C1B6B">
        <w:t>.</w:t>
      </w:r>
      <w:r w:rsidR="006C2238">
        <w:t xml:space="preserve"> 103 от Закона за политическите партии </w:t>
      </w:r>
      <w:r w:rsidR="006C2238">
        <w:lastRenderedPageBreak/>
        <w:t>е противоконституционн</w:t>
      </w:r>
      <w:r w:rsidR="007B016E">
        <w:t>а</w:t>
      </w:r>
      <w:r w:rsidR="006C2238">
        <w:t xml:space="preserve"> и </w:t>
      </w:r>
      <w:r w:rsidR="007B016E">
        <w:t>с</w:t>
      </w:r>
      <w:r w:rsidR="006C2238">
        <w:t>е обяв</w:t>
      </w:r>
      <w:r w:rsidR="007B016E">
        <w:t>ява</w:t>
      </w:r>
      <w:r w:rsidR="006C2238">
        <w:t xml:space="preserve"> за нищожн</w:t>
      </w:r>
      <w:r w:rsidR="007B016E">
        <w:t>а</w:t>
      </w:r>
      <w:r w:rsidR="006C2238">
        <w:t xml:space="preserve">. Член 69 § 6, </w:t>
      </w:r>
      <w:r w:rsidR="007B016E">
        <w:t xml:space="preserve">взет </w:t>
      </w:r>
      <w:r w:rsidR="006C2238">
        <w:t xml:space="preserve">заедно с член 101(г) от същия </w:t>
      </w:r>
      <w:r w:rsidR="007B016E">
        <w:t>з</w:t>
      </w:r>
      <w:r w:rsidR="006C2238">
        <w:t>акон, гласи, че за да се разглежда политическа партия като „</w:t>
      </w:r>
      <w:r w:rsidR="007B016E">
        <w:t>средище</w:t>
      </w:r>
      <w:r w:rsidR="006C2238">
        <w:t xml:space="preserve">“ на дейности, които противоречат на основните принципи на Републиката, членовете </w:t>
      </w:r>
      <w:r w:rsidR="007B016E">
        <w:t>ѝ</w:t>
      </w:r>
      <w:r w:rsidR="006C2238">
        <w:t xml:space="preserve"> трябва да са били осъждани за криминални престъпления. Според Конституционния съд </w:t>
      </w:r>
      <w:r w:rsidR="00561A02">
        <w:t xml:space="preserve">това </w:t>
      </w:r>
      <w:r w:rsidR="006C2238">
        <w:t>законово ограничение не обхваща всички случаи, в които принципите на Републиката са пренебрегн</w:t>
      </w:r>
      <w:r w:rsidR="00561A02">
        <w:t>ат</w:t>
      </w:r>
      <w:r w:rsidR="006C2238">
        <w:t>и. Съдът изтък</w:t>
      </w:r>
      <w:r w:rsidR="00561A02">
        <w:t>в</w:t>
      </w:r>
      <w:r w:rsidR="006C2238">
        <w:t xml:space="preserve">а, наред с другите </w:t>
      </w:r>
      <w:r w:rsidR="00561A02">
        <w:t>становища</w:t>
      </w:r>
      <w:r w:rsidR="006C2238">
        <w:t>, че след отменянето на чл</w:t>
      </w:r>
      <w:r w:rsidR="00561A02">
        <w:t>.</w:t>
      </w:r>
      <w:r w:rsidR="006C2238">
        <w:t xml:space="preserve"> 163 от Наказателния кодекс дейности, които са в противоречие </w:t>
      </w:r>
      <w:r w:rsidR="00561A02">
        <w:t>със</w:t>
      </w:r>
      <w:r w:rsidR="006C2238">
        <w:t xml:space="preserve"> светските принципи, вече не предполагат криминални наказания.</w:t>
      </w:r>
    </w:p>
    <w:p w:rsidR="00C63CF3" w:rsidRDefault="00914B44">
      <w:pPr>
        <w:pStyle w:val="JuPara"/>
      </w:pPr>
      <w:r>
        <w:fldChar w:fldCharType="begin"/>
      </w:r>
      <w:r>
        <w:instrText xml:space="preserve"> SEQ level0 \*arabic </w:instrText>
      </w:r>
      <w:r>
        <w:fldChar w:fldCharType="separate"/>
      </w:r>
      <w:r w:rsidR="006C2238">
        <w:rPr>
          <w:noProof/>
        </w:rPr>
        <w:t>23</w:t>
      </w:r>
      <w:r>
        <w:rPr>
          <w:noProof/>
        </w:rPr>
        <w:fldChar w:fldCharType="end"/>
      </w:r>
      <w:r w:rsidR="006C2238">
        <w:t>.  На 16 януари 1998 г. Конституционният съд разпус</w:t>
      </w:r>
      <w:r w:rsidR="00561A02">
        <w:t>к</w:t>
      </w:r>
      <w:r w:rsidR="006C2238">
        <w:t xml:space="preserve">а Refah </w:t>
      </w:r>
      <w:r w:rsidR="00561A02">
        <w:t>с довода</w:t>
      </w:r>
      <w:r w:rsidR="006C2238">
        <w:t>, че партията се е превърнала в „</w:t>
      </w:r>
      <w:r w:rsidR="00C61CC6">
        <w:t>средище</w:t>
      </w:r>
      <w:r w:rsidR="006C2238">
        <w:t xml:space="preserve"> на дейности, които противоречат на принципа на светската държава“. Съдът основава решението си на членове 101(б) и 103(1) от Закон № 2820 за политическите партии</w:t>
      </w:r>
      <w:r w:rsidR="00F554CD">
        <w:t>.</w:t>
      </w:r>
      <w:r w:rsidR="006C2238">
        <w:t xml:space="preserve"> Съдът </w:t>
      </w:r>
      <w:r w:rsidR="00F554CD">
        <w:t>отбелязва</w:t>
      </w:r>
      <w:r w:rsidR="006C2238">
        <w:t xml:space="preserve"> също така прехвърлянето на активите на Refah </w:t>
      </w:r>
      <w:r w:rsidR="00F554CD">
        <w:t>към</w:t>
      </w:r>
      <w:r w:rsidR="006C2238">
        <w:t xml:space="preserve"> Хазната като автоматична последица от разпускането, съгласно </w:t>
      </w:r>
      <w:r w:rsidR="00F554CD">
        <w:t>раздел</w:t>
      </w:r>
      <w:r w:rsidR="006C2238">
        <w:t xml:space="preserve"> 107 от Закон № 2820.</w:t>
      </w:r>
    </w:p>
    <w:p w:rsidR="00C63CF3" w:rsidRDefault="00914B44">
      <w:pPr>
        <w:pStyle w:val="JuPara"/>
      </w:pPr>
      <w:r>
        <w:fldChar w:fldCharType="begin"/>
      </w:r>
      <w:r>
        <w:instrText xml:space="preserve"> SEQ level0 \*arabic </w:instrText>
      </w:r>
      <w:r>
        <w:fldChar w:fldCharType="separate"/>
      </w:r>
      <w:r w:rsidR="006C2238">
        <w:rPr>
          <w:noProof/>
        </w:rPr>
        <w:t>24</w:t>
      </w:r>
      <w:r>
        <w:rPr>
          <w:noProof/>
        </w:rPr>
        <w:fldChar w:fldCharType="end"/>
      </w:r>
      <w:r w:rsidR="006C2238">
        <w:t>.  В решението си Конституционният съд първо отхвърл</w:t>
      </w:r>
      <w:r w:rsidR="00F554CD">
        <w:t>я</w:t>
      </w:r>
      <w:r w:rsidR="006C2238">
        <w:t xml:space="preserve"> предварителните възражения, повдигнати от Refah. В тази връзка той постанов</w:t>
      </w:r>
      <w:r w:rsidR="00F554CD">
        <w:t>ява</w:t>
      </w:r>
      <w:r w:rsidR="006C2238">
        <w:t>, че парламентарният имунитет на народните представители, чиито коментари са споменати в из</w:t>
      </w:r>
      <w:r w:rsidR="00F554CD">
        <w:t>ложе</w:t>
      </w:r>
      <w:r w:rsidR="006C2238">
        <w:t>нията на главния прокурор от 21 май 1997 г.</w:t>
      </w:r>
      <w:r w:rsidR="00F554CD">
        <w:t>,</w:t>
      </w:r>
      <w:r w:rsidR="006C2238">
        <w:t xml:space="preserve"> няма нищо общо с разглеждането на </w:t>
      </w:r>
      <w:r w:rsidR="00BB1246">
        <w:t>искане</w:t>
      </w:r>
      <w:r w:rsidR="006C2238">
        <w:t xml:space="preserve"> за разпускането на политическа партия и отнемане на политическите права на нейни членове, а е въпрос на </w:t>
      </w:r>
      <w:r w:rsidR="00BB1246">
        <w:t xml:space="preserve">наказателна </w:t>
      </w:r>
      <w:r w:rsidR="006C2238">
        <w:t xml:space="preserve">отговорност на въпросните народни представители, което не е </w:t>
      </w:r>
      <w:r w:rsidR="00BB1246">
        <w:t>въпрос</w:t>
      </w:r>
      <w:r w:rsidR="006C2238">
        <w:t xml:space="preserve"> на конституционното </w:t>
      </w:r>
      <w:r w:rsidR="00BB1246">
        <w:t>право</w:t>
      </w:r>
      <w:r w:rsidR="006C2238">
        <w:t>.</w:t>
      </w:r>
    </w:p>
    <w:p w:rsidR="00C63CF3" w:rsidRDefault="00914B44">
      <w:pPr>
        <w:pStyle w:val="JuPara"/>
      </w:pPr>
      <w:r>
        <w:fldChar w:fldCharType="begin"/>
      </w:r>
      <w:r>
        <w:instrText xml:space="preserve"> SEQ level0 \*arabic </w:instrText>
      </w:r>
      <w:r>
        <w:fldChar w:fldCharType="separate"/>
      </w:r>
      <w:r w:rsidR="006C2238">
        <w:rPr>
          <w:noProof/>
        </w:rPr>
        <w:t>25</w:t>
      </w:r>
      <w:r>
        <w:rPr>
          <w:noProof/>
        </w:rPr>
        <w:fldChar w:fldCharType="end"/>
      </w:r>
      <w:r w:rsidR="006C2238">
        <w:t>.  </w:t>
      </w:r>
      <w:r w:rsidR="00BB1246">
        <w:t>По отношение на основателността,</w:t>
      </w:r>
      <w:r w:rsidR="006C2238">
        <w:t xml:space="preserve"> Конституционният съд </w:t>
      </w:r>
      <w:r w:rsidR="00CB1DF3">
        <w:t>посочва</w:t>
      </w:r>
      <w:r w:rsidR="006C2238">
        <w:t xml:space="preserve">, че докато политическите партии са </w:t>
      </w:r>
      <w:r w:rsidR="00BB1246">
        <w:t>главните действащи лица</w:t>
      </w:r>
      <w:r w:rsidR="006C2238">
        <w:t xml:space="preserve"> </w:t>
      </w:r>
      <w:r w:rsidR="00CB1DF3">
        <w:t xml:space="preserve">в </w:t>
      </w:r>
      <w:r w:rsidR="006C2238">
        <w:t>демократичн</w:t>
      </w:r>
      <w:r w:rsidR="00CB1DF3">
        <w:t>а</w:t>
      </w:r>
      <w:r w:rsidR="006C2238">
        <w:t>т</w:t>
      </w:r>
      <w:r w:rsidR="00CB1DF3">
        <w:t>а</w:t>
      </w:r>
      <w:r w:rsidR="006C2238">
        <w:t xml:space="preserve"> политик</w:t>
      </w:r>
      <w:r w:rsidR="00CB1DF3">
        <w:t>а</w:t>
      </w:r>
      <w:r w:rsidR="006C2238">
        <w:t xml:space="preserve">, техните дейности не са </w:t>
      </w:r>
      <w:r w:rsidR="00CB1DF3">
        <w:t xml:space="preserve">освободени </w:t>
      </w:r>
      <w:r w:rsidR="006C2238">
        <w:t>от определени ограничения. Конкретно дейностите им, които не зачитат върховенството на закона, не могат да бъдат толерирани. Конституционният съд се позова на разпоредбите на Конституцията, които налагат зачитане на секуларизма от страна на различните органи на политическата власт</w:t>
      </w:r>
      <w:r w:rsidR="00122DCB">
        <w:t>.</w:t>
      </w:r>
      <w:r w:rsidR="006C2238">
        <w:t xml:space="preserve"> Съдът също така цитира </w:t>
      </w:r>
      <w:r w:rsidR="00122DCB">
        <w:t xml:space="preserve">многобройните </w:t>
      </w:r>
      <w:r w:rsidR="006C2238">
        <w:t>разпоредби на вътрешното законодателство, изискващи от политическите партии да прилагат принципа на светската държава в множество сфери на политическия и социалния живот. Конституционният съд отбеляз</w:t>
      </w:r>
      <w:r w:rsidR="00122DCB">
        <w:t>в</w:t>
      </w:r>
      <w:r w:rsidR="006C2238">
        <w:t>а, че секуларизм</w:t>
      </w:r>
      <w:r w:rsidR="007943D1">
        <w:t>ът</w:t>
      </w:r>
      <w:r w:rsidR="006C2238">
        <w:t xml:space="preserve"> е едно от неотменимите условия за демокрация. В Турция принципът на светската държава е гарантиран от Конституцията въз основа на историческото минало на държавата и конкретните </w:t>
      </w:r>
      <w:r w:rsidR="007943D1">
        <w:t xml:space="preserve">характеристики </w:t>
      </w:r>
      <w:r w:rsidR="006C2238">
        <w:t xml:space="preserve">на исляма. Правилата на шериата са несъвместими с демократичния режим. Принципът на светската държава не позволява на държавата да изразява предпочитания към определена религия или убеждение и </w:t>
      </w:r>
      <w:r w:rsidR="009F6FD5">
        <w:lastRenderedPageBreak/>
        <w:t xml:space="preserve">формира </w:t>
      </w:r>
      <w:r w:rsidR="006C2238">
        <w:t>основ</w:t>
      </w:r>
      <w:r w:rsidR="007943D1">
        <w:t>а</w:t>
      </w:r>
      <w:r w:rsidR="006C2238">
        <w:t>т</w:t>
      </w:r>
      <w:r w:rsidR="007943D1">
        <w:t>а</w:t>
      </w:r>
      <w:r w:rsidR="006C2238">
        <w:t xml:space="preserve"> на свободата на съвестта и равенството на гражданите пред закона. Намесата на държавата в запазването на светското естество на политическия режим </w:t>
      </w:r>
      <w:r w:rsidR="009F6FD5">
        <w:t xml:space="preserve">трябва </w:t>
      </w:r>
      <w:r w:rsidR="006C2238">
        <w:t>да се разглежда като необходимо</w:t>
      </w:r>
      <w:r w:rsidR="009F6FD5">
        <w:t>ст</w:t>
      </w:r>
      <w:r w:rsidR="006C2238">
        <w:t xml:space="preserve"> в демократичното общество.</w:t>
      </w:r>
    </w:p>
    <w:p w:rsidR="00C63CF3" w:rsidRDefault="00914B44">
      <w:pPr>
        <w:pStyle w:val="JuPara"/>
      </w:pPr>
      <w:r>
        <w:fldChar w:fldCharType="begin"/>
      </w:r>
      <w:r>
        <w:instrText xml:space="preserve"> SEQ level0 \*arabic </w:instrText>
      </w:r>
      <w:r>
        <w:fldChar w:fldCharType="separate"/>
      </w:r>
      <w:r w:rsidR="006C2238">
        <w:rPr>
          <w:noProof/>
        </w:rPr>
        <w:t>26</w:t>
      </w:r>
      <w:r>
        <w:rPr>
          <w:noProof/>
        </w:rPr>
        <w:fldChar w:fldCharType="end"/>
      </w:r>
      <w:r w:rsidR="006C2238">
        <w:t xml:space="preserve">.  Конституционният съд </w:t>
      </w:r>
      <w:r w:rsidR="009F6FD5">
        <w:t>подчертава</w:t>
      </w:r>
      <w:r w:rsidR="006C2238">
        <w:t xml:space="preserve">, че следните </w:t>
      </w:r>
      <w:r w:rsidR="009F6FD5">
        <w:t xml:space="preserve">факти </w:t>
      </w:r>
      <w:r w:rsidR="006C2238">
        <w:t xml:space="preserve">доказват, че Refah се е превърнала в </w:t>
      </w:r>
      <w:r w:rsidR="009F6FD5">
        <w:t>средище</w:t>
      </w:r>
      <w:r w:rsidR="006C2238">
        <w:t xml:space="preserve"> на дейности, които противоречат на принципа на светската държава (вж. параграфи 27-39 по-долу):</w:t>
      </w:r>
    </w:p>
    <w:p w:rsidR="00C63CF3" w:rsidRDefault="00914B44">
      <w:pPr>
        <w:pStyle w:val="JuPara"/>
      </w:pPr>
      <w:r>
        <w:fldChar w:fldCharType="begin"/>
      </w:r>
      <w:r>
        <w:instrText xml:space="preserve"> SEQ level0 \*arabic </w:instrText>
      </w:r>
      <w:r>
        <w:fldChar w:fldCharType="separate"/>
      </w:r>
      <w:r w:rsidR="006C2238">
        <w:rPr>
          <w:noProof/>
        </w:rPr>
        <w:t>27</w:t>
      </w:r>
      <w:r>
        <w:rPr>
          <w:noProof/>
        </w:rPr>
        <w:fldChar w:fldCharType="end"/>
      </w:r>
      <w:r w:rsidR="006C2238">
        <w:t xml:space="preserve">.  Председателят на Refah г-н Necmettin Erbakan </w:t>
      </w:r>
      <w:r w:rsidR="001B3736">
        <w:t xml:space="preserve">е </w:t>
      </w:r>
      <w:r w:rsidR="006C2238">
        <w:t>насърчи</w:t>
      </w:r>
      <w:r w:rsidR="001B3736">
        <w:t>л</w:t>
      </w:r>
      <w:r w:rsidR="006C2238">
        <w:t xml:space="preserve"> носенето на ислямски забрадки в обществени и образователни учреждения. На 10 октомври 1993 г. по време на четвъртото обикновено общо събрание на партията той </w:t>
      </w:r>
      <w:r w:rsidR="001B3736">
        <w:t xml:space="preserve">е </w:t>
      </w:r>
      <w:r w:rsidR="006C2238">
        <w:t>заяви</w:t>
      </w:r>
      <w:r w:rsidR="001B3736">
        <w:t>л</w:t>
      </w:r>
      <w:r w:rsidR="006C2238">
        <w:t>:</w:t>
      </w:r>
    </w:p>
    <w:p w:rsidR="00C63CF3" w:rsidRDefault="006C2238">
      <w:pPr>
        <w:pStyle w:val="JuQuot"/>
      </w:pPr>
      <w:r>
        <w:t>„... когато бяхме в правителството в продължение на четири години, прословутият член 163 от Наказателния кодекс никога не е прилаган срещу деца в страната. По наше време никога не е демонстрирана враждебност към носенето на забрадки...“</w:t>
      </w:r>
    </w:p>
    <w:p w:rsidR="00C63CF3" w:rsidRDefault="006C2238">
      <w:pPr>
        <w:pStyle w:val="JuPara"/>
      </w:pPr>
      <w:r>
        <w:t>В речта си от 14 декември 1995 г. преди общите избори той заяв</w:t>
      </w:r>
      <w:r w:rsidR="007F2D68">
        <w:t>ява</w:t>
      </w:r>
      <w:r>
        <w:t>:</w:t>
      </w:r>
    </w:p>
    <w:p w:rsidR="00C63CF3" w:rsidRDefault="006C2238">
      <w:pPr>
        <w:pStyle w:val="JuQuot"/>
      </w:pPr>
      <w:r>
        <w:t>„... [университетските] ректори ще капитулират пред забрадките, когато Refah дойде на власт.“</w:t>
      </w:r>
    </w:p>
    <w:p w:rsidR="00C63CF3" w:rsidRDefault="006C2238">
      <w:pPr>
        <w:pStyle w:val="JuPara"/>
      </w:pPr>
      <w:r>
        <w:t>Изразяването обаче на религия по такъв начин означава упражняване на натиск върху лица, които не следват подобни убеждения</w:t>
      </w:r>
      <w:r w:rsidR="00E3401F">
        <w:t>,</w:t>
      </w:r>
      <w:r>
        <w:t xml:space="preserve"> и създава дискриминация на основание религия или убеждение. Тази констатация е подкрепена от различни </w:t>
      </w:r>
      <w:r w:rsidR="00E3401F">
        <w:t xml:space="preserve">определения </w:t>
      </w:r>
      <w:r>
        <w:t>на Конституционния съд и Върховния административен съд и от съдебн</w:t>
      </w:r>
      <w:r w:rsidR="00E3401F">
        <w:t>а</w:t>
      </w:r>
      <w:r>
        <w:t>т</w:t>
      </w:r>
      <w:r w:rsidR="00E3401F">
        <w:t>а</w:t>
      </w:r>
      <w:r>
        <w:t xml:space="preserve"> практик</w:t>
      </w:r>
      <w:r w:rsidR="00E3401F">
        <w:t>а</w:t>
      </w:r>
      <w:r>
        <w:t xml:space="preserve"> на Европейската комисия за правата на човека по жалби с номера 16278/90 и 18783/91 във връзка с носенето на забрадки в университетите.</w:t>
      </w:r>
    </w:p>
    <w:p w:rsidR="00C63CF3" w:rsidRDefault="00914B44">
      <w:pPr>
        <w:pStyle w:val="JuPara"/>
      </w:pPr>
      <w:r>
        <w:fldChar w:fldCharType="begin"/>
      </w:r>
      <w:r>
        <w:instrText xml:space="preserve"> SEQ level0 \*arabic </w:instrText>
      </w:r>
      <w:r>
        <w:fldChar w:fldCharType="separate"/>
      </w:r>
      <w:r w:rsidR="006C2238">
        <w:rPr>
          <w:noProof/>
        </w:rPr>
        <w:t>28</w:t>
      </w:r>
      <w:r>
        <w:rPr>
          <w:noProof/>
        </w:rPr>
        <w:fldChar w:fldCharType="end"/>
      </w:r>
      <w:r w:rsidR="006C2238">
        <w:t>.  Многообразието от правни системи, предложено от г-н Necmettin Erbakan</w:t>
      </w:r>
      <w:r w:rsidR="006C0DE9">
        <w:t>,</w:t>
      </w:r>
      <w:r w:rsidR="006C2238">
        <w:t xml:space="preserve"> няма нищо общо със свободата да се сключват договори, както твърди Refah, а е опит да се създаде разграничение между гражданите въз основа на тяхната религия и убеждения и има за цел установяването на теократичен режим. На 23 март 1993 г. г-н Erbakan </w:t>
      </w:r>
      <w:r w:rsidR="006C0DE9">
        <w:t xml:space="preserve">е </w:t>
      </w:r>
      <w:r w:rsidR="006C2238">
        <w:t>изнес</w:t>
      </w:r>
      <w:r w:rsidR="006C0DE9">
        <w:t>ъл</w:t>
      </w:r>
      <w:r w:rsidR="006C2238">
        <w:t xml:space="preserve"> следната реч пред Великото народно събрание:</w:t>
      </w:r>
    </w:p>
    <w:p w:rsidR="00C63CF3" w:rsidRDefault="006C2238">
      <w:pPr>
        <w:pStyle w:val="JuQuot"/>
      </w:pPr>
      <w:r>
        <w:t xml:space="preserve">„... </w:t>
      </w:r>
      <w:r w:rsidR="006C0DE9">
        <w:rPr>
          <w:lang w:val="en-US"/>
        </w:rPr>
        <w:t>‘</w:t>
      </w:r>
      <w:r w:rsidR="00903334">
        <w:t>да</w:t>
      </w:r>
      <w:r>
        <w:t xml:space="preserve"> живеете по начин, който отговаря на убежденията </w:t>
      </w:r>
      <w:r w:rsidR="00903334">
        <w:t>в</w:t>
      </w:r>
      <w:r>
        <w:t>и</w:t>
      </w:r>
      <w:r w:rsidR="00903334">
        <w:rPr>
          <w:lang w:val="en-US"/>
        </w:rPr>
        <w:t>’</w:t>
      </w:r>
      <w:r>
        <w:t xml:space="preserve">. Ние искаме премахване на деспотизма. Трябва да има няколко правни системи. Гражданите трябва да могат да избират сами коя правна система е най-подходяща за тях в рамките на общите принципи. Освен това винаги </w:t>
      </w:r>
      <w:r w:rsidR="00903334">
        <w:t xml:space="preserve">е </w:t>
      </w:r>
      <w:r>
        <w:t>бил</w:t>
      </w:r>
      <w:r w:rsidR="00903334">
        <w:t>о така</w:t>
      </w:r>
      <w:r>
        <w:t xml:space="preserve"> в </w:t>
      </w:r>
      <w:r w:rsidR="00903334">
        <w:t xml:space="preserve">цялата ни </w:t>
      </w:r>
      <w:r>
        <w:t xml:space="preserve">история. В нашата история е имало различни религиозни движения. Всеки е живял съгласно законите на собствената си организация и така всички са живели в мир. Защо тогава аз да съм длъжен да живея съгласно правилата на други? ... Правото всеки да си избира </w:t>
      </w:r>
      <w:r w:rsidR="00D77636">
        <w:t xml:space="preserve">правна система </w:t>
      </w:r>
      <w:r>
        <w:t>е неделима част от свободата на религията.“</w:t>
      </w:r>
    </w:p>
    <w:p w:rsidR="00C63CF3" w:rsidRDefault="006C2238">
      <w:pPr>
        <w:pStyle w:val="JuPara"/>
      </w:pPr>
      <w:r>
        <w:t xml:space="preserve">Освен това </w:t>
      </w:r>
      <w:r w:rsidR="00D77636">
        <w:t xml:space="preserve">по време на партийна конференция на Refah, проведена на 10 октомври 1993 г., </w:t>
      </w:r>
      <w:r>
        <w:t xml:space="preserve">г-н Necmettin Erbakan </w:t>
      </w:r>
      <w:r w:rsidR="00D77636">
        <w:t>заявява</w:t>
      </w:r>
      <w:r>
        <w:t>:</w:t>
      </w:r>
    </w:p>
    <w:p w:rsidR="00C63CF3" w:rsidRDefault="00D77636">
      <w:pPr>
        <w:pStyle w:val="JuQuot"/>
      </w:pPr>
      <w:r>
        <w:t>„</w:t>
      </w:r>
      <w:r w:rsidR="006C2238">
        <w:t xml:space="preserve">… ние ще гарантираме всички човешки права. Ние ще гарантираме на всеки правото да живее според възгледите си и да избира </w:t>
      </w:r>
      <w:r w:rsidR="002A12AF">
        <w:t>правната система</w:t>
      </w:r>
      <w:r w:rsidR="006C2238">
        <w:t>, ко</w:t>
      </w:r>
      <w:r w:rsidR="002A12AF">
        <w:t>я</w:t>
      </w:r>
      <w:r w:rsidR="006C2238">
        <w:t xml:space="preserve">то предпочита. Ще освободим администрацията от централизма. Държавата, която </w:t>
      </w:r>
      <w:r w:rsidR="006C2238">
        <w:lastRenderedPageBreak/>
        <w:t xml:space="preserve">сте създали, е репресивна държава, а не държава, която служи на народа. Вие не давате свобода на избор </w:t>
      </w:r>
      <w:r w:rsidR="0029086E">
        <w:t>правен кодекс</w:t>
      </w:r>
      <w:r w:rsidR="006C2238">
        <w:t>. Когато дойдем на власт</w:t>
      </w:r>
      <w:r w:rsidR="0029086E">
        <w:t>,</w:t>
      </w:r>
      <w:r w:rsidR="006C2238">
        <w:t xml:space="preserve"> мюсюлманите ще могат да сключват брак пред мюфтия</w:t>
      </w:r>
      <w:r w:rsidR="0029086E">
        <w:t>, ако пожелаят</w:t>
      </w:r>
      <w:r w:rsidR="006C2238">
        <w:t xml:space="preserve">, а християните — в църква, ако </w:t>
      </w:r>
      <w:r w:rsidR="0029086E">
        <w:t>предпочитат</w:t>
      </w:r>
      <w:r w:rsidR="006C2238">
        <w:t>.</w:t>
      </w:r>
      <w:r w:rsidR="0029086E">
        <w:t>“</w:t>
      </w:r>
    </w:p>
    <w:p w:rsidR="00C63CF3" w:rsidRDefault="00AF2D4B">
      <w:pPr>
        <w:pStyle w:val="JuPara"/>
      </w:pPr>
      <w:fldSimple w:instr=" SEQ level0 \*arabic ">
        <w:r w:rsidR="006C2238">
          <w:rPr>
            <w:noProof/>
          </w:rPr>
          <w:t>29</w:t>
        </w:r>
      </w:fldSimple>
      <w:r w:rsidR="006C2238">
        <w:t>.  Многообразието от правни системи, защитавано от г-н Necmettin Erbakan в изказванията му</w:t>
      </w:r>
      <w:r w:rsidR="0029086E">
        <w:t>,</w:t>
      </w:r>
      <w:r w:rsidR="006C2238">
        <w:t xml:space="preserve"> води началото си от практиката, въведена </w:t>
      </w:r>
      <w:r w:rsidR="0029086E">
        <w:t>през</w:t>
      </w:r>
      <w:r w:rsidR="006C2238">
        <w:t xml:space="preserve"> първите години на исляма със „Споразумението от Медина“, с което са дава право на евреите и политеистичните общности да живеят съобразно своите правни системи, а не съгласно законите на исляма. Въз основа на Споразумението от Медина някои ислямски тълкуватели и политици предла</w:t>
      </w:r>
      <w:r w:rsidR="005A1E3B">
        <w:t>гат</w:t>
      </w:r>
      <w:r w:rsidR="006C2238">
        <w:t xml:space="preserve"> модел на мирно съвместно съжителство, според което всяка религиозна група е свободна да избира сво</w:t>
      </w:r>
      <w:r w:rsidR="005A1E3B">
        <w:t>я</w:t>
      </w:r>
      <w:r w:rsidR="006C2238">
        <w:t>т</w:t>
      </w:r>
      <w:r w:rsidR="005A1E3B">
        <w:t>а</w:t>
      </w:r>
      <w:r w:rsidR="006C2238">
        <w:t xml:space="preserve"> </w:t>
      </w:r>
      <w:r w:rsidR="005A1E3B">
        <w:t>правна система</w:t>
      </w:r>
      <w:r w:rsidR="006C2238">
        <w:t xml:space="preserve">. От създаването на партия Низам през 1970 г. (разпусната с решение на съда от 2 май 1971 г.) г-н Necmettin Erbakan се е стремял към подмяна на единната правна система с </w:t>
      </w:r>
      <w:r w:rsidR="00A064B9">
        <w:t xml:space="preserve">множественост </w:t>
      </w:r>
      <w:r w:rsidR="006C2238">
        <w:t xml:space="preserve">от </w:t>
      </w:r>
      <w:r w:rsidR="00520F5D">
        <w:t>правни устройства</w:t>
      </w:r>
      <w:r w:rsidR="006C2238">
        <w:t>.</w:t>
      </w:r>
    </w:p>
    <w:p w:rsidR="00C63CF3" w:rsidRDefault="00AF2D4B">
      <w:pPr>
        <w:pStyle w:val="JuPara"/>
      </w:pPr>
      <w:fldSimple w:instr=" SEQ level0 \*arabic ">
        <w:r w:rsidR="006C2238">
          <w:rPr>
            <w:noProof/>
          </w:rPr>
          <w:t>30</w:t>
        </w:r>
      </w:fldSimple>
      <w:r w:rsidR="006C2238">
        <w:t>.  Освен това Конституционния</w:t>
      </w:r>
      <w:r w:rsidR="00520F5D">
        <w:t>т</w:t>
      </w:r>
      <w:r w:rsidR="006C2238">
        <w:t xml:space="preserve"> съд отбеляз</w:t>
      </w:r>
      <w:r w:rsidR="00520F5D">
        <w:t>в</w:t>
      </w:r>
      <w:r w:rsidR="006C2238">
        <w:t xml:space="preserve">а, че при многообразие от правни системи, предложено от Refah, обществото би било разделено на няколко религиозни движения; всеки </w:t>
      </w:r>
      <w:r w:rsidR="00520F5D">
        <w:t>ще</w:t>
      </w:r>
      <w:r w:rsidR="006C2238">
        <w:t xml:space="preserve"> трябва да избира движението, към което желае да принадлежи</w:t>
      </w:r>
      <w:r w:rsidR="00520F5D">
        <w:t>,</w:t>
      </w:r>
      <w:r w:rsidR="006C2238">
        <w:t xml:space="preserve"> и по този начин да приеме правата и задълженията, наложени от религията на общността му. Конституционният съд изтък</w:t>
      </w:r>
      <w:r w:rsidR="00520F5D">
        <w:t>в</w:t>
      </w:r>
      <w:r w:rsidR="006C2238">
        <w:t xml:space="preserve">а, че подобна система, чиито корени са в историята на исляма като политически режим, е неблагоприятна за </w:t>
      </w:r>
      <w:r w:rsidR="002108A2">
        <w:t>лоялността към</w:t>
      </w:r>
      <w:r w:rsidR="006C2238">
        <w:t xml:space="preserve"> </w:t>
      </w:r>
      <w:r w:rsidR="00CC3F63">
        <w:t>държава, в която има</w:t>
      </w:r>
      <w:r w:rsidR="006C2238">
        <w:t xml:space="preserve"> законодателно и съдебно единство. </w:t>
      </w:r>
      <w:r w:rsidR="002108A2">
        <w:t>Тя естествено</w:t>
      </w:r>
      <w:r w:rsidR="006C2238">
        <w:t xml:space="preserve"> би нарушил</w:t>
      </w:r>
      <w:r w:rsidR="002108A2">
        <w:t>а</w:t>
      </w:r>
      <w:r w:rsidR="006C2238">
        <w:t xml:space="preserve"> съдебното единство, тъй като всяк</w:t>
      </w:r>
      <w:r w:rsidR="002108A2">
        <w:t>о</w:t>
      </w:r>
      <w:r w:rsidR="006C2238">
        <w:t xml:space="preserve"> религиозно движение </w:t>
      </w:r>
      <w:r w:rsidR="002108A2">
        <w:t xml:space="preserve">ще </w:t>
      </w:r>
      <w:r w:rsidR="006C2238">
        <w:t>създа</w:t>
      </w:r>
      <w:r w:rsidR="002108A2">
        <w:t>де</w:t>
      </w:r>
      <w:r w:rsidR="006C2238">
        <w:t xml:space="preserve"> собствени съдилища, а обикновените ще са задължени да прилагат законите съгласно религията на тези, които се изправят пред тях, като по този начин последните ще трябва да разкрият убежденията си. Това също така би застрашило законодателното и съдебното единство, предпоставките за секуларизма и съзнанието </w:t>
      </w:r>
      <w:r w:rsidR="002108A2">
        <w:t xml:space="preserve">за </w:t>
      </w:r>
      <w:r w:rsidR="006C2238">
        <w:t>наци</w:t>
      </w:r>
      <w:r w:rsidR="002108A2">
        <w:t>оналн</w:t>
      </w:r>
      <w:r w:rsidR="00216E17">
        <w:t>а принадлежност</w:t>
      </w:r>
      <w:r w:rsidR="006C2238">
        <w:t xml:space="preserve"> предвид обстоятелството, че всяко религиозно движение ще има право да обявява какви законови </w:t>
      </w:r>
      <w:r w:rsidR="00216E17">
        <w:t xml:space="preserve">норми </w:t>
      </w:r>
      <w:r w:rsidR="006C2238">
        <w:t>ще се прилагат към неговите членове.</w:t>
      </w:r>
    </w:p>
    <w:p w:rsidR="00C63CF3" w:rsidRDefault="00AF2D4B">
      <w:pPr>
        <w:pStyle w:val="JuPara"/>
      </w:pPr>
      <w:fldSimple w:instr=" SEQ level0 \*arabic ">
        <w:r w:rsidR="006C2238">
          <w:rPr>
            <w:noProof/>
          </w:rPr>
          <w:t>31</w:t>
        </w:r>
      </w:fldSimple>
      <w:r w:rsidR="006C2238">
        <w:t xml:space="preserve">.  Освен това г-н Necmettin Erbakan </w:t>
      </w:r>
      <w:r w:rsidR="00216E17">
        <w:t xml:space="preserve">е </w:t>
      </w:r>
      <w:r w:rsidR="006C2238">
        <w:t>изнес</w:t>
      </w:r>
      <w:r w:rsidR="00216E17">
        <w:t>ъл</w:t>
      </w:r>
      <w:r w:rsidR="006C2238">
        <w:t xml:space="preserve"> реч на 13 април 1994 г. пред </w:t>
      </w:r>
      <w:r w:rsidR="00216E17">
        <w:t xml:space="preserve">парламентарната </w:t>
      </w:r>
      <w:r w:rsidR="006C2238">
        <w:t xml:space="preserve">група на Refah, в която </w:t>
      </w:r>
      <w:r w:rsidR="00216E17">
        <w:t xml:space="preserve">е </w:t>
      </w:r>
      <w:r w:rsidR="006C2238">
        <w:t>защит</w:t>
      </w:r>
      <w:r w:rsidR="00216E17">
        <w:t>ил</w:t>
      </w:r>
      <w:r w:rsidR="006C2238">
        <w:t xml:space="preserve"> създаването на теократичен режим, ако е необходимо чрез сила:</w:t>
      </w:r>
    </w:p>
    <w:p w:rsidR="00C63CF3" w:rsidRDefault="006C2238">
      <w:pPr>
        <w:pStyle w:val="JuQuot"/>
      </w:pPr>
      <w:r>
        <w:t>„Втората важна точка е следната: Refah ще дойде на власт и ще се създаде справедлив [обществен] ред [</w:t>
      </w:r>
      <w:r>
        <w:rPr>
          <w:i/>
        </w:rPr>
        <w:t>adil dozen</w:t>
      </w:r>
      <w:r>
        <w:t xml:space="preserve">]. Трябва да се запитаме дали тази промяна ще бъде насилствена или мирна; дали ще доведе до кръвопролития. </w:t>
      </w:r>
      <w:r w:rsidR="00803B44">
        <w:t>Бих п</w:t>
      </w:r>
      <w:r>
        <w:t>редпоч</w:t>
      </w:r>
      <w:r w:rsidR="00803B44">
        <w:t>ел</w:t>
      </w:r>
      <w:r>
        <w:t xml:space="preserve"> да не </w:t>
      </w:r>
      <w:r w:rsidR="00803B44">
        <w:t xml:space="preserve">се налагаше да </w:t>
      </w:r>
      <w:r>
        <w:t xml:space="preserve">използвам подобни </w:t>
      </w:r>
      <w:r w:rsidR="00803B44">
        <w:t>изрази</w:t>
      </w:r>
      <w:r>
        <w:t xml:space="preserve">, но изправен пред всичко това, пред тероризма, </w:t>
      </w:r>
      <w:r w:rsidR="00803B44">
        <w:t xml:space="preserve">за да може </w:t>
      </w:r>
      <w:r>
        <w:t xml:space="preserve">всеки да види ясно истинското положение, се чувствам длъжен да го направя. Днес Турция трябва да вземе решение. Партията на благоденствието ще установи справедлив ред, това е сигурно. [Но] ще бъде ли преходът мирен или насилствен; дали ще се постигне </w:t>
      </w:r>
      <w:r>
        <w:lastRenderedPageBreak/>
        <w:t xml:space="preserve">чрез хармония или кръвопролития? Шестдесет милиона [граждани] трябва да </w:t>
      </w:r>
      <w:r w:rsidR="00803B44">
        <w:t xml:space="preserve">вземат решение </w:t>
      </w:r>
      <w:r>
        <w:t>по този въпрос.“</w:t>
      </w:r>
    </w:p>
    <w:p w:rsidR="00C63CF3" w:rsidRDefault="00AF2D4B">
      <w:pPr>
        <w:pStyle w:val="JuPara"/>
      </w:pPr>
      <w:fldSimple w:instr=" SEQ level0 \*arabic ">
        <w:r w:rsidR="006C2238">
          <w:rPr>
            <w:noProof/>
          </w:rPr>
          <w:t>32</w:t>
        </w:r>
      </w:fldSimple>
      <w:r w:rsidR="006C2238">
        <w:t>.  Приемът, който г-н Necmettin Erbakan да</w:t>
      </w:r>
      <w:r w:rsidR="00F96D64">
        <w:t>ва</w:t>
      </w:r>
      <w:r w:rsidR="006C2238">
        <w:t xml:space="preserve"> в резиденцията на министър-председателя </w:t>
      </w:r>
      <w:r w:rsidR="00F96D64">
        <w:t>з</w:t>
      </w:r>
      <w:r w:rsidR="006C2238">
        <w:t>а ръководителите на различни религиозни движения, които присъства</w:t>
      </w:r>
      <w:r w:rsidR="00F96D64">
        <w:t>т</w:t>
      </w:r>
      <w:r w:rsidR="006C2238">
        <w:t xml:space="preserve"> облечени в дрехи, които обозначава</w:t>
      </w:r>
      <w:r w:rsidR="00F96D64">
        <w:t>т</w:t>
      </w:r>
      <w:r w:rsidR="006C2238">
        <w:t xml:space="preserve"> религиозната им принадлежност</w:t>
      </w:r>
      <w:r w:rsidR="00F96D64">
        <w:t>,</w:t>
      </w:r>
      <w:r w:rsidR="006C2238">
        <w:t xml:space="preserve"> недвусмислено демонстрира подкрепата на председателя на Refah </w:t>
      </w:r>
      <w:r w:rsidR="00F96D64">
        <w:t>към</w:t>
      </w:r>
      <w:r w:rsidR="006C2238">
        <w:t xml:space="preserve"> тези </w:t>
      </w:r>
      <w:r w:rsidR="00F96D64">
        <w:t xml:space="preserve">религиозни </w:t>
      </w:r>
      <w:r w:rsidR="006C2238">
        <w:t xml:space="preserve">групи </w:t>
      </w:r>
      <w:r w:rsidR="00F96D64" w:rsidRPr="005C2DB2">
        <w:t>спрямо</w:t>
      </w:r>
      <w:r w:rsidR="006C2238">
        <w:t xml:space="preserve"> общественото мнение.</w:t>
      </w:r>
    </w:p>
    <w:p w:rsidR="00C63CF3" w:rsidRDefault="00AF2D4B">
      <w:pPr>
        <w:pStyle w:val="JuPara"/>
      </w:pPr>
      <w:fldSimple w:instr=" SEQ level0 \*arabic ">
        <w:r w:rsidR="006C2238">
          <w:rPr>
            <w:noProof/>
          </w:rPr>
          <w:t>33</w:t>
        </w:r>
      </w:fldSimple>
      <w:r w:rsidR="006C2238">
        <w:t xml:space="preserve">.  В публично изказване през април 1994 г. г-н Şevki Yılmaz, народен представител, избран от провинция Rize, ясно </w:t>
      </w:r>
      <w:r w:rsidR="005B1B89">
        <w:t xml:space="preserve">е </w:t>
      </w:r>
      <w:r w:rsidR="006C2238">
        <w:t>призова</w:t>
      </w:r>
      <w:r w:rsidR="005B1B89">
        <w:t>л</w:t>
      </w:r>
      <w:r w:rsidR="006C2238">
        <w:t xml:space="preserve"> към водене на джихад и </w:t>
      </w:r>
      <w:r w:rsidR="005B1B89">
        <w:t xml:space="preserve">е </w:t>
      </w:r>
      <w:r w:rsidR="006C2238">
        <w:t>изтъкна</w:t>
      </w:r>
      <w:r w:rsidR="005B1B89">
        <w:t>л</w:t>
      </w:r>
      <w:r w:rsidR="006C2238">
        <w:t xml:space="preserve"> аргументи за въвеждането на ислямско </w:t>
      </w:r>
      <w:r w:rsidR="00BD0237">
        <w:t>право</w:t>
      </w:r>
      <w:r w:rsidR="006C2238">
        <w:t xml:space="preserve">, като </w:t>
      </w:r>
      <w:r w:rsidR="00BD0237">
        <w:t xml:space="preserve">е </w:t>
      </w:r>
      <w:r w:rsidR="006C2238">
        <w:t>декларира</w:t>
      </w:r>
      <w:r w:rsidR="00BD0237">
        <w:t>л</w:t>
      </w:r>
      <w:r w:rsidR="006C2238">
        <w:t xml:space="preserve"> следното:</w:t>
      </w:r>
    </w:p>
    <w:p w:rsidR="00C63CF3" w:rsidRDefault="006C2238">
      <w:pPr>
        <w:pStyle w:val="JuQuot"/>
      </w:pPr>
      <w:r>
        <w:t>„Със сигурност ще търсим отговорност от тези, които обр</w:t>
      </w:r>
      <w:r w:rsidR="00BD0237">
        <w:t>ъщат</w:t>
      </w:r>
      <w:r>
        <w:t xml:space="preserve"> гръб на предписанията на Корана</w:t>
      </w:r>
      <w:r w:rsidR="00BD0237">
        <w:t>,</w:t>
      </w:r>
      <w:r>
        <w:t xml:space="preserve"> и на тези, които лиша</w:t>
      </w:r>
      <w:r w:rsidR="00BD0237">
        <w:t>ват</w:t>
      </w:r>
      <w:r>
        <w:t xml:space="preserve"> Пророка на Аллах от неговата юрисдикция в държавата им.“</w:t>
      </w:r>
    </w:p>
    <w:p w:rsidR="00C63CF3" w:rsidRDefault="006C2238">
      <w:pPr>
        <w:pStyle w:val="JuPara"/>
      </w:pPr>
      <w:r>
        <w:t>В друго публично изказване, също през април 1994 г.</w:t>
      </w:r>
      <w:r w:rsidR="00BD0237">
        <w:t>,</w:t>
      </w:r>
      <w:r>
        <w:t xml:space="preserve"> г-н Şevki Yılmaz </w:t>
      </w:r>
      <w:r w:rsidR="00BD0237">
        <w:t xml:space="preserve">е </w:t>
      </w:r>
      <w:r>
        <w:t>заяви</w:t>
      </w:r>
      <w:r w:rsidR="00BD0237">
        <w:t>л</w:t>
      </w:r>
      <w:r>
        <w:t>:</w:t>
      </w:r>
    </w:p>
    <w:p w:rsidR="00C63CF3" w:rsidRDefault="006C2238">
      <w:pPr>
        <w:pStyle w:val="JuQuot"/>
      </w:pPr>
      <w:r>
        <w:t xml:space="preserve">„В отвъдното ще бъдете призовани да се изправите пред водачите, които сте избрали в този живот. ... Знаете ли до каква степен се прилага Корана в тази държава? Аз съм направил изчисленията. Само 39% [от правилата] от Корана се прилагат в тази държава. Шест хиляди и петстотин стиха са безмълвно забравени ... Основавате училище по Коран, построявате общежитие, плащате за образованието на детето си, преподавате, проповядвате. ... Нищо от това не касае частта за джихада, а тази за </w:t>
      </w:r>
      <w:r>
        <w:rPr>
          <w:i/>
        </w:rPr>
        <w:t xml:space="preserve">amel-i salih </w:t>
      </w:r>
      <w:r>
        <w:t xml:space="preserve">[мирни дейности]. Джихад е името, дадено на стремежа </w:t>
      </w:r>
      <w:r w:rsidR="00A52FA4">
        <w:t xml:space="preserve">за </w:t>
      </w:r>
      <w:r>
        <w:t>власт</w:t>
      </w:r>
      <w:r w:rsidR="00A52FA4">
        <w:t>,</w:t>
      </w:r>
      <w:r>
        <w:t xml:space="preserve"> </w:t>
      </w:r>
      <w:r w:rsidR="00A52FA4">
        <w:t>за търсене на</w:t>
      </w:r>
      <w:r>
        <w:t xml:space="preserve"> правосъдие, за пропагандиране на правосъдие и възхвала на думите на Аллах. Аллах не счита тази задача за отвлечено политическо понятие; той я налага като изискване към войните [</w:t>
      </w:r>
      <w:r>
        <w:rPr>
          <w:i/>
        </w:rPr>
        <w:t>cahudi</w:t>
      </w:r>
      <w:r>
        <w:t>]. Какво означава това? Джихадът трябва да се води от армия! Командирът е определен ... Условието, което трябва да се изпълни пред</w:t>
      </w:r>
      <w:r w:rsidR="00A52FA4">
        <w:t>и</w:t>
      </w:r>
      <w:r>
        <w:t xml:space="preserve"> мол</w:t>
      </w:r>
      <w:r w:rsidR="00A52FA4">
        <w:t>итва</w:t>
      </w:r>
      <w:r>
        <w:t xml:space="preserve"> [</w:t>
      </w:r>
      <w:r>
        <w:rPr>
          <w:i/>
        </w:rPr>
        <w:t>namaz</w:t>
      </w:r>
      <w:r>
        <w:t xml:space="preserve">] е ислямизацията на властта. Аллах казва, че преди джамиите, пътят на властта трябва да е мюсюлмански ... Не издигането на сводести тавани в местата за молитва ще </w:t>
      </w:r>
      <w:r w:rsidR="00172778">
        <w:t>в</w:t>
      </w:r>
      <w:r>
        <w:t xml:space="preserve">и отведе в Рая. За Аллах не е от значение дали сте построили сводести тавани в тази държава. Той няма да </w:t>
      </w:r>
      <w:r w:rsidR="00172778">
        <w:t>в</w:t>
      </w:r>
      <w:r>
        <w:t xml:space="preserve">и пита това. Той ще </w:t>
      </w:r>
      <w:r w:rsidR="00172778">
        <w:t>в</w:t>
      </w:r>
      <w:r>
        <w:t xml:space="preserve">и попита дали сте достигнали достатъчно ниво … днес, ако мюсюлманите имат сто лири, трябва да отделят тридесет за училищата по Корана, да се обучават децата ни, момчета и момичета, а шестдесет трябва да се отделят за политическите образувания, отворили пътя към властта. Аллах отправя молба към всички Негови пророци да се борят за власт. Не може да назовете един член на религиозно движение, който да не се бори за власт. Казвам </w:t>
      </w:r>
      <w:r w:rsidR="007D42D3">
        <w:t>в</w:t>
      </w:r>
      <w:r>
        <w:t>и, ако имах толкова глави, колкото косми имам на главата си, дори всяка една от тях да бъде откъсната от раменете ми за това, че следвам Корана, нямаше да се откажа от каузата си ... Въпросът, който ще Ви зададе Аллах, е следният: „Защо във време на богохулен режим, не работихте за създаването на ислямска държава?“ Erbakan и приятелите му искат да докарат исляма в тази държава под формата на политическа партия. Прокурорът ясно разбира това. Ако разберем</w:t>
      </w:r>
      <w:r w:rsidR="009B0945">
        <w:t xml:space="preserve"> това</w:t>
      </w:r>
      <w:r>
        <w:t xml:space="preserve"> като </w:t>
      </w:r>
      <w:r w:rsidR="0049713C">
        <w:t>него</w:t>
      </w:r>
      <w:r>
        <w:t>, проблемът ще бъде решен. Дори Авраам евреинът</w:t>
      </w:r>
      <w:r w:rsidR="009B0945">
        <w:t xml:space="preserve"> е</w:t>
      </w:r>
      <w:r>
        <w:t xml:space="preserve"> осъзна</w:t>
      </w:r>
      <w:r w:rsidR="009B0945">
        <w:t>л</w:t>
      </w:r>
      <w:r>
        <w:t>, че в тази държава символът на исляма е Refah. Който подбужда мюсюлманската общност [</w:t>
      </w:r>
      <w:r>
        <w:rPr>
          <w:i/>
        </w:rPr>
        <w:t>cemaat</w:t>
      </w:r>
      <w:r>
        <w:t>] да вдигне оръжие пред</w:t>
      </w:r>
      <w:r w:rsidR="00DE6D7F">
        <w:t>и</w:t>
      </w:r>
      <w:r>
        <w:t xml:space="preserve"> политическата власт</w:t>
      </w:r>
      <w:r w:rsidR="00DE6D7F">
        <w:t xml:space="preserve"> да е в ръцете на мюсюлманите</w:t>
      </w:r>
      <w:r>
        <w:t xml:space="preserve"> е глупак или предател, </w:t>
      </w:r>
      <w:r>
        <w:lastRenderedPageBreak/>
        <w:t xml:space="preserve">обслужващ чужди цели. Защото никой от пророците не </w:t>
      </w:r>
      <w:r w:rsidR="005E636D">
        <w:t xml:space="preserve">е </w:t>
      </w:r>
      <w:r>
        <w:t>разреш</w:t>
      </w:r>
      <w:r w:rsidR="005E636D">
        <w:t>ил</w:t>
      </w:r>
      <w:r>
        <w:t xml:space="preserve"> война </w:t>
      </w:r>
      <w:r w:rsidR="005E636D">
        <w:t>преди</w:t>
      </w:r>
      <w:r>
        <w:t xml:space="preserve"> вземането на властта в държавата. ... Мюсюлманите са интелигентни. Те не разкриват как ще победят врага си. </w:t>
      </w:r>
      <w:r w:rsidR="005E636D">
        <w:t xml:space="preserve">Генералният щаб </w:t>
      </w:r>
      <w:r>
        <w:t xml:space="preserve">издава заповеди, а войниците ги изпълняват. Ако </w:t>
      </w:r>
      <w:r w:rsidR="005E636D">
        <w:t>генералният щаб</w:t>
      </w:r>
      <w:r>
        <w:t xml:space="preserve"> разкрие плана си, командирите на мюсюлманската общност следва да изготв</w:t>
      </w:r>
      <w:r w:rsidR="005E636D">
        <w:t>ят</w:t>
      </w:r>
      <w:r>
        <w:t xml:space="preserve"> нов. Мисията ни не е да говорим, а да изпълним плана за война като войници</w:t>
      </w:r>
      <w:r w:rsidR="00E91D83">
        <w:t>те</w:t>
      </w:r>
      <w:r>
        <w:t xml:space="preserve"> в армия</w:t>
      </w:r>
      <w:r w:rsidR="00E91D83">
        <w:t>та</w:t>
      </w:r>
      <w:r>
        <w:t xml:space="preserve"> ...“</w:t>
      </w:r>
    </w:p>
    <w:p w:rsidR="00C63CF3" w:rsidRDefault="006C2238">
      <w:pPr>
        <w:pStyle w:val="JuPara"/>
      </w:pPr>
      <w:r>
        <w:t>Срещу г-н Şevki Yılmaz е образувано наказателно производство. Макар че ненавистта му към секуларизма е добре известна, Refah го издигна за кандидат по време на местните избори. След като е избран за кмет на Rize, Refah прави всичко възможно той да бъде избран за народен представител във Великото народно събрание на Турция.</w:t>
      </w:r>
    </w:p>
    <w:p w:rsidR="00C63CF3" w:rsidRDefault="00AF2D4B">
      <w:pPr>
        <w:pStyle w:val="JuPara"/>
      </w:pPr>
      <w:fldSimple w:instr=" SEQ level0 \*arabic ">
        <w:r w:rsidR="006C2238">
          <w:rPr>
            <w:noProof/>
          </w:rPr>
          <w:t>34</w:t>
        </w:r>
      </w:fldSimple>
      <w:r w:rsidR="006C2238">
        <w:t>.  В публично изказване на 14 март 1993 г. и телевизионно интервю, излъчено за първи път през 1992 г. и повторно излъчено на 24 ноември 1996 г.</w:t>
      </w:r>
      <w:r w:rsidR="00A21C58">
        <w:t>,</w:t>
      </w:r>
      <w:r w:rsidR="006C2238">
        <w:t xml:space="preserve"> г-н Hasan Hüseyin Ceylan, народен представител от Refah, избран от провинция Анкара, насърчава дискриминацията между вярващите и неверниците и предсказ</w:t>
      </w:r>
      <w:r w:rsidR="00A21C58">
        <w:t>в</w:t>
      </w:r>
      <w:r w:rsidR="006C2238">
        <w:t>а, че ако поддръжниците на шериата дойдат на власт, те ще унищожат неверниците:</w:t>
      </w:r>
    </w:p>
    <w:p w:rsidR="00C63CF3" w:rsidRDefault="006C2238">
      <w:pPr>
        <w:pStyle w:val="JuQuot"/>
      </w:pPr>
      <w:r>
        <w:t>„Нашето отечество принадлежи на нас, а не на режима, скъпи братя. Режимът и Кемализмът принадлежат на други. ... Турция ще бъде разрушена, господа. Народът казва: Може ли Турция да се превърне в Алжир? Както в Алжир ние получихме 81% [от гласовете], тук също ще достигнем 81% и няма да останем с 20%. Не си пропилявайте усилията с нас — аз говоря тук на Вас, на тези … от империалистическия Запад, колонизаторите от Запад, дивия Запад, на тези, които, за да обединят останалата част от света, се превр</w:t>
      </w:r>
      <w:r w:rsidR="000A0FFF">
        <w:t>ъщат</w:t>
      </w:r>
      <w:r>
        <w:t xml:space="preserve"> във врагове на честта и благоприличието, тези, които приниз</w:t>
      </w:r>
      <w:r w:rsidR="000A0FFF">
        <w:t>яват</w:t>
      </w:r>
      <w:r>
        <w:t xml:space="preserve"> себе си до равнището на кучета, </w:t>
      </w:r>
      <w:r w:rsidR="000A0FFF">
        <w:t xml:space="preserve">на </w:t>
      </w:r>
      <w:r>
        <w:t>кученца, за да имитират Запада дотам, че да поставят кучета между краката на мюсюлманските жени — на Вас говоря: „Не си хабете усилията с нас, Вие ще умрете от ръцете на народа на К</w:t>
      </w:r>
      <w:r w:rsidR="000A0FFF">
        <w:t>ъ</w:t>
      </w:r>
      <w:r>
        <w:t>р</w:t>
      </w:r>
      <w:r w:rsidR="000A0FFF">
        <w:t>ъ</w:t>
      </w:r>
      <w:r>
        <w:t>ккале.“</w:t>
      </w:r>
    </w:p>
    <w:p w:rsidR="00C63CF3" w:rsidRDefault="006C2238">
      <w:pPr>
        <w:pStyle w:val="JuQuot"/>
      </w:pPr>
      <w:r>
        <w:t>„... армията казва: „Ще приеме</w:t>
      </w:r>
      <w:r w:rsidR="00363A89">
        <w:t>м</w:t>
      </w:r>
      <w:r>
        <w:t>, ако сте поддръжник на ПКК, но ако сте поддръжник на шериата</w:t>
      </w:r>
      <w:r w:rsidR="00363A89">
        <w:t xml:space="preserve"> – </w:t>
      </w:r>
      <w:r>
        <w:t xml:space="preserve">никога.“ </w:t>
      </w:r>
      <w:r w:rsidR="00363A89">
        <w:t>Н</w:t>
      </w:r>
      <w:r>
        <w:t>икога няма да решите проблема с такова отношение. Ако искате решение, това е шериат</w:t>
      </w:r>
      <w:r w:rsidR="00363A89">
        <w:t>ът</w:t>
      </w:r>
      <w:r>
        <w:t>.“</w:t>
      </w:r>
    </w:p>
    <w:p w:rsidR="00C63CF3" w:rsidRDefault="006C2238">
      <w:pPr>
        <w:pStyle w:val="JuPara"/>
      </w:pPr>
      <w:r>
        <w:t xml:space="preserve">Refah </w:t>
      </w:r>
      <w:r w:rsidR="006C7A51">
        <w:t xml:space="preserve">е </w:t>
      </w:r>
      <w:r>
        <w:t>гарантира</w:t>
      </w:r>
      <w:r w:rsidR="006C7A51">
        <w:t>ла</w:t>
      </w:r>
      <w:r>
        <w:t xml:space="preserve"> избирането на г-н Ceylan за народен представител, а </w:t>
      </w:r>
      <w:r w:rsidR="006C7A51">
        <w:t xml:space="preserve">структурите </w:t>
      </w:r>
      <w:r w:rsidR="00363A89">
        <w:t xml:space="preserve">ѝ </w:t>
      </w:r>
      <w:r>
        <w:t>п</w:t>
      </w:r>
      <w:r w:rsidR="006C7A51">
        <w:t>о места</w:t>
      </w:r>
      <w:r>
        <w:t xml:space="preserve"> </w:t>
      </w:r>
      <w:r w:rsidR="006C7A51">
        <w:t xml:space="preserve">са </w:t>
      </w:r>
      <w:r>
        <w:t>излъч</w:t>
      </w:r>
      <w:r w:rsidR="006C7A51">
        <w:t>или</w:t>
      </w:r>
      <w:r>
        <w:t xml:space="preserve"> видео</w:t>
      </w:r>
      <w:r w:rsidR="00363A89">
        <w:t>записи</w:t>
      </w:r>
      <w:r>
        <w:t xml:space="preserve"> с речта и интервюто</w:t>
      </w:r>
      <w:r w:rsidR="006C7A51">
        <w:t>.</w:t>
      </w:r>
    </w:p>
    <w:p w:rsidR="00C63CF3" w:rsidRDefault="00AF2D4B">
      <w:pPr>
        <w:pStyle w:val="JuPara"/>
      </w:pPr>
      <w:fldSimple w:instr=" SEQ level0 \*arabic ">
        <w:r w:rsidR="006C2238">
          <w:rPr>
            <w:noProof/>
          </w:rPr>
          <w:t>35</w:t>
        </w:r>
      </w:fldSimple>
      <w:r w:rsidR="006C2238">
        <w:t>.  Заместник-председателя</w:t>
      </w:r>
      <w:r w:rsidR="006C7A51">
        <w:t>т</w:t>
      </w:r>
      <w:r w:rsidR="006C2238">
        <w:t xml:space="preserve"> на Refah г-н Ahmet Tekdal, в изказване, направено през 1993 г., по време на поклонническо пътуване в Саудитска Арабия</w:t>
      </w:r>
      <w:r w:rsidR="006C7A51">
        <w:t>,</w:t>
      </w:r>
      <w:r w:rsidR="006C2238">
        <w:t xml:space="preserve"> което е излъчено по турска телевизионна програма, </w:t>
      </w:r>
      <w:r w:rsidR="006C7A51">
        <w:t xml:space="preserve">е </w:t>
      </w:r>
      <w:r w:rsidR="006C2238">
        <w:t>заяв</w:t>
      </w:r>
      <w:r w:rsidR="006C7A51">
        <w:t>ил</w:t>
      </w:r>
      <w:r w:rsidR="006C2238">
        <w:t>, че защитава установяването на режим, основан на шериата:</w:t>
      </w:r>
    </w:p>
    <w:p w:rsidR="00C63CF3" w:rsidRDefault="006C2238">
      <w:pPr>
        <w:pStyle w:val="JuQuot"/>
      </w:pPr>
      <w:r>
        <w:t>„В държави с парламентарен режим, ако хората не са достатъчно осведомени, ако не работят достатъчно усилено за установяването на ‘</w:t>
      </w:r>
      <w:r>
        <w:rPr>
          <w:i/>
        </w:rPr>
        <w:t>hak nizami</w:t>
      </w:r>
      <w:r>
        <w:t xml:space="preserve">’ [справедливия ред или Божият ред], предстоят две беди. Първата е изменниците, пред които трябва да се изправят. Те ще бъдат тероризирани от тях и </w:t>
      </w:r>
      <w:r w:rsidR="00497B73">
        <w:t xml:space="preserve">накрая </w:t>
      </w:r>
      <w:r>
        <w:t>ще изчезнат. Второто нещастие се изразява в това, че те няма да могат да се изправят достатъчно достойно пред Аллах, тъй като не са работили за установяването на „</w:t>
      </w:r>
      <w:r>
        <w:rPr>
          <w:i/>
        </w:rPr>
        <w:t>hak nizami</w:t>
      </w:r>
      <w:r>
        <w:t xml:space="preserve">“. И така те </w:t>
      </w:r>
      <w:r w:rsidR="00497B73">
        <w:t xml:space="preserve">отново </w:t>
      </w:r>
      <w:r>
        <w:t xml:space="preserve">ще загинат. Почитаеми братя, нашето задължение е да направим необходимото за въвеждането на правосъдна система, като вземем </w:t>
      </w:r>
      <w:r>
        <w:lastRenderedPageBreak/>
        <w:t>предвид тези подробности. Политическият апарат, който търси начини да установи „</w:t>
      </w:r>
      <w:r>
        <w:rPr>
          <w:i/>
        </w:rPr>
        <w:t>hak nizami</w:t>
      </w:r>
      <w:r>
        <w:t>“ в Турция, е Партията на благоденствието.“</w:t>
      </w:r>
    </w:p>
    <w:p w:rsidR="00C63CF3" w:rsidRDefault="00AF2D4B">
      <w:pPr>
        <w:pStyle w:val="JuPara"/>
      </w:pPr>
      <w:fldSimple w:instr=" SEQ level0 \*arabic ">
        <w:r w:rsidR="006C2238">
          <w:rPr>
            <w:noProof/>
          </w:rPr>
          <w:t>36</w:t>
        </w:r>
      </w:fldSimple>
      <w:r w:rsidR="006C2238">
        <w:t xml:space="preserve">.  На 10 ноември 1996 г. кметът на Kayseri, г-н Şükrü Karatepe, </w:t>
      </w:r>
      <w:r w:rsidR="00D76380">
        <w:t xml:space="preserve">е </w:t>
      </w:r>
      <w:r w:rsidR="006C2238">
        <w:t>призова</w:t>
      </w:r>
      <w:r w:rsidR="00D76380">
        <w:t>л</w:t>
      </w:r>
      <w:r w:rsidR="006C2238">
        <w:t xml:space="preserve"> населението да отхвърли секуларизма и </w:t>
      </w:r>
      <w:r w:rsidR="00D76380">
        <w:t xml:space="preserve">е </w:t>
      </w:r>
      <w:r w:rsidR="006C2238">
        <w:t>помоли</w:t>
      </w:r>
      <w:r w:rsidR="00D76380">
        <w:t>л</w:t>
      </w:r>
      <w:r w:rsidR="006C2238">
        <w:t xml:space="preserve"> поддръжниците си да „пазят жива омразата си“ до промяна на режима </w:t>
      </w:r>
      <w:r w:rsidR="00D76380">
        <w:t xml:space="preserve">със </w:t>
      </w:r>
      <w:r w:rsidR="006C2238">
        <w:t>следни</w:t>
      </w:r>
      <w:r w:rsidR="00D76380">
        <w:t>те думи</w:t>
      </w:r>
      <w:r w:rsidR="006C2238">
        <w:t>:</w:t>
      </w:r>
    </w:p>
    <w:p w:rsidR="00C63CF3" w:rsidRDefault="006C2238">
      <w:pPr>
        <w:pStyle w:val="JuQuot"/>
      </w:pPr>
      <w:r>
        <w:t>„Доминиращите сили казват</w:t>
      </w:r>
      <w:r w:rsidR="00D76380">
        <w:t>:</w:t>
      </w:r>
      <w:r>
        <w:t xml:space="preserve"> „или ще живеете като нас, или ние ще посеем раздор и разложение сред Вас“. Така дори министрите от Партията на благоденствието не смеят да разкриват светогледа си в своите министерства. Тази сутрин </w:t>
      </w:r>
      <w:r w:rsidR="00D76380">
        <w:t xml:space="preserve">и аз </w:t>
      </w:r>
      <w:r>
        <w:t xml:space="preserve">присъствах на церемония в качеството ми на държавен служител. Когато ме виждате облечен в тези дрехи, не мислете, че това е, защото поддържам светските принципи. Във времето, когато убежденията ни </w:t>
      </w:r>
      <w:r w:rsidR="00D76380">
        <w:t>н</w:t>
      </w:r>
      <w:r>
        <w:t>е се зачитат и дори сме изправени пред богохулство, трябва да присъствам на тези церемонии против себе си. Министър-председателят, другите министри и народните представители имат определени задължения. Вие обаче нямате такива. Системата трябва да се промени. Чакахме досега, ще изчакаме още малко. Нека видим какво ни е отредило бъдещето. Нека мюсюлманите пазят живи негодуванието, ненавистта и омразата, които чувстват в сърцата си.“</w:t>
      </w:r>
    </w:p>
    <w:p w:rsidR="00C63CF3" w:rsidRDefault="006C2238">
      <w:pPr>
        <w:pStyle w:val="JuPara"/>
      </w:pPr>
      <w:r>
        <w:t>Г-н Şükrü Karatepe е обвинен в подбуждане на хората към омраза въз основа на религията.</w:t>
      </w:r>
    </w:p>
    <w:p w:rsidR="00C63CF3" w:rsidRDefault="00AF2D4B">
      <w:pPr>
        <w:pStyle w:val="JuPara"/>
      </w:pPr>
      <w:fldSimple w:instr=" SEQ level0 \*arabic ">
        <w:r w:rsidR="006C2238">
          <w:rPr>
            <w:noProof/>
          </w:rPr>
          <w:t>37</w:t>
        </w:r>
      </w:fldSimple>
      <w:r w:rsidR="006C2238">
        <w:t xml:space="preserve">.  На 8 май 1997 г. г-н İbrahim Halil Çelik, народен представител от Refah, избран от провинция Şanlıurfa, </w:t>
      </w:r>
      <w:r w:rsidR="00A064B9">
        <w:t xml:space="preserve">е </w:t>
      </w:r>
      <w:r w:rsidR="006C2238">
        <w:t>говори</w:t>
      </w:r>
      <w:r w:rsidR="00A064B9">
        <w:t>л</w:t>
      </w:r>
      <w:r w:rsidR="006C2238">
        <w:t xml:space="preserve"> в </w:t>
      </w:r>
      <w:r w:rsidR="00A064B9">
        <w:t>п</w:t>
      </w:r>
      <w:r w:rsidR="006C2238">
        <w:t>арламента в подкрепа на установяването на режим на основата на шериата и одобряването на актове на насилие като тези в Алжир:</w:t>
      </w:r>
    </w:p>
    <w:p w:rsidR="00C63CF3" w:rsidRDefault="006C2238">
      <w:pPr>
        <w:pStyle w:val="JuQuot"/>
      </w:pPr>
      <w:r>
        <w:t>„Ако се опитате да закриете богословските колежи „</w:t>
      </w:r>
      <w:r>
        <w:rPr>
          <w:i/>
        </w:rPr>
        <w:t>İmam-Hatip</w:t>
      </w:r>
      <w:r>
        <w:t>“, докато на власт е Партията на благоденствието, ще се пролее кръв. Ще бъде по-лошо, отколкото в Алжир. Аз също бих искал да се пролее кръв. Така ще се установи демокрацията. И това ще бъде нещо красиво. Армията не мож</w:t>
      </w:r>
      <w:r w:rsidR="00B276BB">
        <w:t>а</w:t>
      </w:r>
      <w:r>
        <w:t xml:space="preserve"> да се справи с 3 500 член</w:t>
      </w:r>
      <w:r w:rsidR="00B276BB">
        <w:t>ове</w:t>
      </w:r>
      <w:r>
        <w:t xml:space="preserve"> на ПКК. Как ще го направи с шест милиона ислямисти? Ако уринират срещу вятъра, ще намокрят лицата си. Ако някой ме нападне, аз ще отвърна на удара. Ще се боря докрай за въвеждането на шериата.“</w:t>
      </w:r>
    </w:p>
    <w:p w:rsidR="00C63CF3" w:rsidRDefault="006C2238">
      <w:pPr>
        <w:pStyle w:val="JuPara"/>
      </w:pPr>
      <w:r>
        <w:t>Г-н İbrahim Halil Çelik е изключен от партията един месец след като е подаден</w:t>
      </w:r>
      <w:r w:rsidR="001D3148">
        <w:t>о</w:t>
      </w:r>
      <w:r>
        <w:t xml:space="preserve"> </w:t>
      </w:r>
      <w:r w:rsidR="001D3148">
        <w:t>искането</w:t>
      </w:r>
      <w:r>
        <w:t xml:space="preserve"> за разпускането </w:t>
      </w:r>
      <w:r w:rsidR="00B276BB">
        <w:t>ѝ</w:t>
      </w:r>
      <w:r>
        <w:t>. Изключването му вероятно е само опит за избягване на въпросното наказание.</w:t>
      </w:r>
    </w:p>
    <w:p w:rsidR="00C63CF3" w:rsidRDefault="00AF2D4B">
      <w:pPr>
        <w:pStyle w:val="JuPara"/>
      </w:pPr>
      <w:fldSimple w:instr=" SEQ level0 \*arabic ">
        <w:r w:rsidR="006C2238">
          <w:rPr>
            <w:noProof/>
          </w:rPr>
          <w:t>38</w:t>
        </w:r>
      </w:fldSimple>
      <w:r w:rsidR="006C2238">
        <w:t xml:space="preserve">.  Заместник-председателят на Refah и министър на правосъдието г-н Şevket Kazan </w:t>
      </w:r>
      <w:r w:rsidR="001D3148">
        <w:t xml:space="preserve">е </w:t>
      </w:r>
      <w:r w:rsidR="006C2238">
        <w:t>посети</w:t>
      </w:r>
      <w:r w:rsidR="001D3148">
        <w:t>л</w:t>
      </w:r>
      <w:r w:rsidR="006C2238">
        <w:t xml:space="preserve"> лично задържан</w:t>
      </w:r>
      <w:r w:rsidR="001D3148">
        <w:t>о лице</w:t>
      </w:r>
      <w:r w:rsidR="006C2238">
        <w:t xml:space="preserve"> в очакване на съдебен процес за дейности, които противоречат на принципа на светската държава, като по този начин му </w:t>
      </w:r>
      <w:r w:rsidR="001D3148">
        <w:t xml:space="preserve">е </w:t>
      </w:r>
      <w:r w:rsidR="006C2238">
        <w:t>предостави</w:t>
      </w:r>
      <w:r w:rsidR="001D3148">
        <w:t>л</w:t>
      </w:r>
      <w:r w:rsidR="006C2238">
        <w:t xml:space="preserve"> подкрепа в качеството си на министър.</w:t>
      </w:r>
    </w:p>
    <w:p w:rsidR="00C63CF3" w:rsidRDefault="00AF2D4B">
      <w:pPr>
        <w:pStyle w:val="JuPara"/>
      </w:pPr>
      <w:fldSimple w:instr=" SEQ level0 \*arabic ">
        <w:r w:rsidR="006C2238">
          <w:rPr>
            <w:noProof/>
          </w:rPr>
          <w:t>39</w:t>
        </w:r>
      </w:fldSimple>
      <w:r w:rsidR="006C2238">
        <w:t>.  Въз основа на доказателства</w:t>
      </w:r>
      <w:r w:rsidR="001D3148">
        <w:t>та</w:t>
      </w:r>
      <w:r w:rsidR="006C2238">
        <w:t>, представени на 7 юли 1997 г. от службата на главния прокурор, Конституционният съд заяв</w:t>
      </w:r>
      <w:r w:rsidR="00A17F57">
        <w:t>ява</w:t>
      </w:r>
      <w:r w:rsidR="006C2238">
        <w:t xml:space="preserve">, че следните допълнителни доказателства потвърждават, че Refah е </w:t>
      </w:r>
      <w:r w:rsidR="00A17F57">
        <w:t>средище</w:t>
      </w:r>
      <w:r w:rsidR="006C2238">
        <w:t xml:space="preserve"> на дейности, които противоречат на принципа на светската държава:</w:t>
      </w:r>
    </w:p>
    <w:p w:rsidR="00C63CF3" w:rsidRDefault="006C2238">
      <w:pPr>
        <w:pStyle w:val="JuPara"/>
      </w:pPr>
      <w:r>
        <w:lastRenderedPageBreak/>
        <w:t>—</w:t>
      </w:r>
      <w:r>
        <w:tab/>
        <w:t xml:space="preserve">В публично изказване на 7 май 1996 г. г-н Necmettin Erbakan </w:t>
      </w:r>
      <w:r w:rsidR="00A17F57">
        <w:t xml:space="preserve">е </w:t>
      </w:r>
      <w:r>
        <w:t>подчерта</w:t>
      </w:r>
      <w:r w:rsidR="00A17F57">
        <w:t>л</w:t>
      </w:r>
      <w:r>
        <w:t xml:space="preserve"> важността на телевизията като инструмент на пропагандата в свещената война, която се води за установяването на ислямски ред:</w:t>
      </w:r>
    </w:p>
    <w:p w:rsidR="00C63CF3" w:rsidRDefault="006C2238">
      <w:pPr>
        <w:pStyle w:val="JuQuot"/>
        <w:rPr>
          <w:snapToGrid w:val="0"/>
        </w:rPr>
      </w:pPr>
      <w:r>
        <w:t xml:space="preserve">„... Държава без телевизия не е държава. Ако днес, с </w:t>
      </w:r>
      <w:r w:rsidR="00157475">
        <w:t>в</w:t>
      </w:r>
      <w:r>
        <w:t xml:space="preserve">ашите ръководители искате да създадете държава, ако искате да направите телевизионен канал, няма да можете да излъчвате и двадесет и четири часа. Вярвате ли, че е толкова лесно </w:t>
      </w:r>
      <w:r w:rsidR="00157475">
        <w:t>да се</w:t>
      </w:r>
      <w:r>
        <w:t xml:space="preserve"> създа</w:t>
      </w:r>
      <w:r w:rsidR="00157475">
        <w:t>де</w:t>
      </w:r>
      <w:r>
        <w:t xml:space="preserve"> държава? Това им казах преди десет години. Помня го сега. Защото днес хората, които имат убеждения, публика и определен светоглед</w:t>
      </w:r>
      <w:r w:rsidR="00157475">
        <w:t>,</w:t>
      </w:r>
      <w:r>
        <w:t xml:space="preserve"> имат собствен телевизионен канал, </w:t>
      </w:r>
      <w:r w:rsidR="00157475">
        <w:t>слава</w:t>
      </w:r>
      <w:r>
        <w:t xml:space="preserve"> на Бога. Това е нещо голямо.</w:t>
      </w:r>
    </w:p>
    <w:p w:rsidR="00C63CF3" w:rsidRDefault="006C2238">
      <w:pPr>
        <w:pStyle w:val="JuQuot"/>
        <w:rPr>
          <w:snapToGrid w:val="0"/>
        </w:rPr>
      </w:pPr>
      <w:r>
        <w:t>Съзнанието, фактът, че телевизионния</w:t>
      </w:r>
      <w:r w:rsidR="00FB52CE">
        <w:t>т</w:t>
      </w:r>
      <w:r>
        <w:t xml:space="preserve"> [канал] споделя същото съзнание във всичките си програми и че всичко е в хармония е от особена важност. Не може да се борите за кауза без [подкрепата на] телевизията. Освен това днес можем да кажем, че телевизията играе ролята на артилерия или военновъздушни сили на джихада, която е война за господство на народа … немислимо ще бъде да се изпраща войник да превзема височина, преди тези сили да са я бомбардирали. Затова днешният джихад не може да се води без телевизията. </w:t>
      </w:r>
      <w:r w:rsidR="00FB52CE">
        <w:t>Затова</w:t>
      </w:r>
      <w:r>
        <w:t xml:space="preserve"> за нещо толкова жизненоважно трябва да се правят жертви. Какв</w:t>
      </w:r>
      <w:r w:rsidR="00C63B38">
        <w:t>о</w:t>
      </w:r>
      <w:r>
        <w:t xml:space="preserve"> </w:t>
      </w:r>
      <w:r w:rsidR="00C63B38">
        <w:t>значение има</w:t>
      </w:r>
      <w:r>
        <w:t xml:space="preserve">, ако жертваме пари? Смъртта е близо до всички ни. Когато всичко потъне в тъмнина, след смъртта, ако искате нещо да </w:t>
      </w:r>
      <w:r w:rsidR="00C63B38">
        <w:t>в</w:t>
      </w:r>
      <w:r>
        <w:t xml:space="preserve">и покаже пътя, това нещо са парите, които давате днес, съзнателно, за Канал 7. </w:t>
      </w:r>
      <w:r w:rsidR="00C63B38">
        <w:t>С</w:t>
      </w:r>
      <w:r>
        <w:t xml:space="preserve">поделям спомените си с </w:t>
      </w:r>
      <w:r w:rsidR="00C63B38">
        <w:t>в</w:t>
      </w:r>
      <w:r>
        <w:t>ас</w:t>
      </w:r>
      <w:r w:rsidR="00C63B38">
        <w:t>, за да ви напомня за това</w:t>
      </w:r>
      <w:r>
        <w:t>.</w:t>
      </w:r>
    </w:p>
    <w:p w:rsidR="00C63CF3" w:rsidRDefault="006C2238">
      <w:pPr>
        <w:pStyle w:val="JuQuot"/>
        <w:rPr>
          <w:snapToGrid w:val="0"/>
        </w:rPr>
      </w:pPr>
      <w:r>
        <w:t>... Затова отсега нататък, с това убеждение, ние наистина ще правим всяка</w:t>
      </w:r>
      <w:r w:rsidR="00C63B38">
        <w:t>кви</w:t>
      </w:r>
      <w:r>
        <w:t xml:space="preserve"> жертв</w:t>
      </w:r>
      <w:r w:rsidR="00C63B38">
        <w:t>и</w:t>
      </w:r>
      <w:r>
        <w:t xml:space="preserve">, докато заболи. Нека тези, които </w:t>
      </w:r>
      <w:r w:rsidR="00867056">
        <w:t xml:space="preserve">дават своя </w:t>
      </w:r>
      <w:r>
        <w:t>прин</w:t>
      </w:r>
      <w:r w:rsidR="00867056">
        <w:t>ос</w:t>
      </w:r>
      <w:r>
        <w:t xml:space="preserve"> с убеждени</w:t>
      </w:r>
      <w:r w:rsidR="00867056">
        <w:t>е</w:t>
      </w:r>
      <w:r>
        <w:t xml:space="preserve"> за върховенството на </w:t>
      </w:r>
      <w:r>
        <w:rPr>
          <w:i/>
          <w:snapToGrid w:val="0"/>
        </w:rPr>
        <w:t>Hakk</w:t>
      </w:r>
      <w:r>
        <w:t xml:space="preserve"> [Аллах], бъдат щастливи. Бъдете благословени от Аллах и нека Той донесе на Канал 7 още повече успехи. Поздравявам </w:t>
      </w:r>
      <w:r w:rsidR="00867056">
        <w:t>в</w:t>
      </w:r>
      <w:r>
        <w:t>и.“</w:t>
      </w:r>
    </w:p>
    <w:p w:rsidR="00C63CF3" w:rsidRDefault="006C2238">
      <w:pPr>
        <w:pStyle w:val="JuPara"/>
      </w:pPr>
      <w:r>
        <w:t>—</w:t>
      </w:r>
      <w:r>
        <w:tab/>
        <w:t xml:space="preserve">С наредба от 13 януари 1997 г. кабинетът (в който членовете на Refah са мнозинство) </w:t>
      </w:r>
      <w:r w:rsidR="00867056">
        <w:t xml:space="preserve">е </w:t>
      </w:r>
      <w:r>
        <w:t>реорганизира</w:t>
      </w:r>
      <w:r w:rsidR="00867056">
        <w:t>л</w:t>
      </w:r>
      <w:r>
        <w:t xml:space="preserve"> работното време в обществените учреждения, за да позволи постите по време на </w:t>
      </w:r>
      <w:r w:rsidR="00867056">
        <w:t>Рамадан</w:t>
      </w:r>
      <w:r>
        <w:t xml:space="preserve">. Върховният административен съд </w:t>
      </w:r>
      <w:r w:rsidR="00832593">
        <w:t xml:space="preserve">е </w:t>
      </w:r>
      <w:r>
        <w:t>отмени</w:t>
      </w:r>
      <w:r w:rsidR="00832593">
        <w:t>л</w:t>
      </w:r>
      <w:r>
        <w:t xml:space="preserve"> наредбата </w:t>
      </w:r>
      <w:r w:rsidR="00832593">
        <w:t>на основание</w:t>
      </w:r>
      <w:r>
        <w:t>, че тя застрашава принципа на светската държава.</w:t>
      </w:r>
    </w:p>
    <w:p w:rsidR="00C63CF3" w:rsidRDefault="00AF2D4B">
      <w:pPr>
        <w:pStyle w:val="JuPara"/>
      </w:pPr>
      <w:fldSimple w:instr=" SEQ level0 \*arabic ">
        <w:r w:rsidR="006C2238">
          <w:rPr>
            <w:noProof/>
          </w:rPr>
          <w:t>40</w:t>
        </w:r>
      </w:fldSimple>
      <w:r w:rsidR="006C2238">
        <w:t>.  Конституционният съд отбеляз</w:t>
      </w:r>
      <w:r w:rsidR="00832593">
        <w:t>в</w:t>
      </w:r>
      <w:r w:rsidR="006C2238">
        <w:t xml:space="preserve">а, че е взел предвид международните инструменти за защита правата на човека, включително Конвенцията. Съдът се позова също така на ограниченията, наложени от </w:t>
      </w:r>
      <w:r w:rsidR="00832593">
        <w:t>ал. 2</w:t>
      </w:r>
      <w:r w:rsidR="006C2238">
        <w:t xml:space="preserve"> на чл</w:t>
      </w:r>
      <w:r w:rsidR="00832593">
        <w:t>.</w:t>
      </w:r>
      <w:r w:rsidR="006C2238">
        <w:t xml:space="preserve"> 11 и чл</w:t>
      </w:r>
      <w:r w:rsidR="00832593">
        <w:t>.</w:t>
      </w:r>
      <w:r w:rsidR="006C2238">
        <w:t xml:space="preserve"> 17 от Конвенцията. В този контекст съд</w:t>
      </w:r>
      <w:r w:rsidR="00832593">
        <w:t>ът</w:t>
      </w:r>
      <w:r w:rsidR="006C2238">
        <w:t xml:space="preserve"> изтък</w:t>
      </w:r>
      <w:r w:rsidR="00832593">
        <w:t>в</w:t>
      </w:r>
      <w:r w:rsidR="006C2238">
        <w:t>а, че ръководителите и членовете на Refah използват демократичните права и свободи, за да заменят демократичния ред със система, основана на шериата. Конституционният съд отбеляз</w:t>
      </w:r>
      <w:r w:rsidR="00832593">
        <w:t>в</w:t>
      </w:r>
      <w:r w:rsidR="006C2238">
        <w:t xml:space="preserve">а: </w:t>
      </w:r>
    </w:p>
    <w:p w:rsidR="00C63CF3" w:rsidRDefault="006C2238">
      <w:pPr>
        <w:pStyle w:val="JuQuot"/>
      </w:pPr>
      <w:r>
        <w:t>„Демокрацията представлява антитеза на шериата. Принцип[ът] [на секуларизма], който представлява знак за гражданска отговорност, е стимулът, който позвол</w:t>
      </w:r>
      <w:r w:rsidR="00723D95">
        <w:t>ява</w:t>
      </w:r>
      <w:r>
        <w:t xml:space="preserve"> на Република Турция да премине от Ummah</w:t>
      </w:r>
      <w:r>
        <w:rPr>
          <w:i/>
        </w:rPr>
        <w:t xml:space="preserve"> </w:t>
      </w:r>
      <w:r>
        <w:t>[</w:t>
      </w:r>
      <w:r>
        <w:rPr>
          <w:i/>
        </w:rPr>
        <w:t>ümmet</w:t>
      </w:r>
      <w:r>
        <w:t xml:space="preserve"> – мюсюлманска</w:t>
      </w:r>
      <w:r w:rsidR="00723D95">
        <w:t>та</w:t>
      </w:r>
      <w:r>
        <w:t xml:space="preserve"> религиозна общност] към нация. </w:t>
      </w:r>
      <w:r w:rsidR="00723D95">
        <w:t>С п</w:t>
      </w:r>
      <w:r>
        <w:t xml:space="preserve">ридържането към принципа на секуларизма, ценностите, основани на разума и науката, заменят догматичните ценности. ... Лица от различни вероизповедания, които желаят да живеят заедно, са насърчавани да го правят чрез еднаквото отношение на държавата към всички тях. ... Секуларизмът ускорява цивилизацията, като не позволява на религията да подмени науката в държавните дейности. Той създава благоприятна среда за </w:t>
      </w:r>
      <w:r>
        <w:lastRenderedPageBreak/>
        <w:t>гражданска отговорност и свободи. Философията на модернизма в Турция е основана на хуман</w:t>
      </w:r>
      <w:r w:rsidR="0068495B">
        <w:t>е</w:t>
      </w:r>
      <w:r>
        <w:t>н идеал, а именно по-хуманен начин на живот. При режима на светската държава религията, която е специфична социална институция, няма власт над конституцията и управлението на държавата. ... Предоставянето на държавата на правото да осъществява надзор и наблюдение по религиозни въпроси не може да се счита за намеса срещу разпоредбите на демократичното общество. ... Секуларизмът, който също така представлява инструмент за преход към демокрация, е философска</w:t>
      </w:r>
      <w:r w:rsidR="006F4781">
        <w:t>та</w:t>
      </w:r>
      <w:r>
        <w:t xml:space="preserve"> същност на живота в Турция. В рамките на светската държава религиозните убеждения </w:t>
      </w:r>
      <w:r w:rsidR="006F4781">
        <w:t xml:space="preserve">просто </w:t>
      </w:r>
      <w:r>
        <w:t xml:space="preserve">не могат да се свържат с политиката, обществените въпроси и законодателните разпоредби. Те не представляват въпроси, за които са приложими религиозните </w:t>
      </w:r>
      <w:r w:rsidR="006F4781">
        <w:t xml:space="preserve">изисквания </w:t>
      </w:r>
      <w:r>
        <w:t>и тълкувания, а само научните данни с оглед нуждите на отделните хора и общества</w:t>
      </w:r>
      <w:r w:rsidR="006F4781">
        <w:t>та</w:t>
      </w:r>
      <w:r>
        <w:t>.“</w:t>
      </w:r>
    </w:p>
    <w:p w:rsidR="00C63CF3" w:rsidRDefault="006C2238">
      <w:pPr>
        <w:pStyle w:val="JuPara"/>
      </w:pPr>
      <w:r>
        <w:t>Конституционният съд заяв</w:t>
      </w:r>
      <w:r w:rsidR="006F4781">
        <w:t>ява</w:t>
      </w:r>
      <w:r>
        <w:t>, че когато дадена политическа партия осъществява дейности за слагане край на демократичния ред и използва свободата си на изразяване да отправя призиви към действия за постигане на тази цел, Конституцията и наднационалните правила за защита на правата на човека позволяват нейното разпускане.</w:t>
      </w:r>
    </w:p>
    <w:p w:rsidR="00C63CF3" w:rsidRDefault="00AF2D4B">
      <w:pPr>
        <w:pStyle w:val="JuPara"/>
      </w:pPr>
      <w:fldSimple w:instr=" SEQ level0 \*arabic ">
        <w:r w:rsidR="006C2238">
          <w:rPr>
            <w:noProof/>
          </w:rPr>
          <w:t>41</w:t>
        </w:r>
      </w:fldSimple>
      <w:r w:rsidR="006C2238">
        <w:t>.  Конституционният съд отбеляз</w:t>
      </w:r>
      <w:r w:rsidR="00AB0769">
        <w:t>в</w:t>
      </w:r>
      <w:r w:rsidR="006C2238">
        <w:t xml:space="preserve">а, че </w:t>
      </w:r>
      <w:r w:rsidR="00AB0769">
        <w:t xml:space="preserve">публичните </w:t>
      </w:r>
      <w:r w:rsidR="006C2238">
        <w:t xml:space="preserve">изявления на ръководителите на Refah, а именно на г-н Necmettin Erbakan, г-н Şevket Kazan и г-н Ahmet Tekdal </w:t>
      </w:r>
      <w:r w:rsidR="00AB0769">
        <w:t xml:space="preserve">са довели </w:t>
      </w:r>
      <w:r w:rsidR="006C2238">
        <w:t xml:space="preserve">до </w:t>
      </w:r>
      <w:r w:rsidR="00AB0769">
        <w:t xml:space="preserve">директно </w:t>
      </w:r>
      <w:r w:rsidR="006C2238">
        <w:t xml:space="preserve">търсене на отговорност от партията във връзка с конституционалността на действията </w:t>
      </w:r>
      <w:r w:rsidR="00621CA4">
        <w:t>ѝ</w:t>
      </w:r>
      <w:r w:rsidR="006C2238">
        <w:t>. Съдът отбеляз</w:t>
      </w:r>
      <w:r w:rsidR="00621CA4">
        <w:t>в</w:t>
      </w:r>
      <w:r w:rsidR="006C2238">
        <w:t xml:space="preserve">а още, че обществените изявления на народните представители г-н Şevki Yılmaz, г-н Hasan Hüseyin Ceylan и г-н İbrahim Halil Çelik,, както и </w:t>
      </w:r>
      <w:r w:rsidR="005E11A4">
        <w:t xml:space="preserve">на </w:t>
      </w:r>
      <w:r w:rsidR="006C2238">
        <w:t xml:space="preserve">кмета на Kayseri, г-н Şükrü Karatepe, </w:t>
      </w:r>
      <w:r w:rsidR="003D4F81">
        <w:t>също са ангажирали</w:t>
      </w:r>
      <w:r w:rsidR="006C2238">
        <w:t xml:space="preserve"> отговорност</w:t>
      </w:r>
      <w:r w:rsidR="003D4F81">
        <w:t>та</w:t>
      </w:r>
      <w:r w:rsidR="006C2238">
        <w:t xml:space="preserve"> </w:t>
      </w:r>
      <w:r w:rsidR="003D4F81">
        <w:t>на</w:t>
      </w:r>
      <w:r w:rsidR="006C2238">
        <w:t xml:space="preserve"> партията, тъй като тя не е реагирала на тях по някакъв начин или се е опитала да се дистанцира от тях, или най-малкото не и преди началото на производството </w:t>
      </w:r>
      <w:r w:rsidR="003D4F81">
        <w:t>по</w:t>
      </w:r>
      <w:r w:rsidR="006C2238">
        <w:t xml:space="preserve"> разпускането </w:t>
      </w:r>
      <w:r w:rsidR="003D4F81">
        <w:t>ѝ</w:t>
      </w:r>
      <w:r w:rsidR="006C2238">
        <w:t xml:space="preserve">. </w:t>
      </w:r>
    </w:p>
    <w:p w:rsidR="00C63CF3" w:rsidRDefault="00AF2D4B">
      <w:pPr>
        <w:pStyle w:val="JuPara"/>
      </w:pPr>
      <w:fldSimple w:instr=" SEQ level0 \*arabic ">
        <w:r w:rsidR="006C2238">
          <w:rPr>
            <w:noProof/>
          </w:rPr>
          <w:t>42</w:t>
        </w:r>
      </w:fldSimple>
      <w:r w:rsidR="006C2238">
        <w:t>.  Като допълнителна санкция Конституционният съд реш</w:t>
      </w:r>
      <w:r w:rsidR="003D4F81">
        <w:t>ава</w:t>
      </w:r>
      <w:r w:rsidR="006C2238">
        <w:t xml:space="preserve"> да </w:t>
      </w:r>
      <w:r w:rsidR="00186728">
        <w:t>отнеме на</w:t>
      </w:r>
      <w:r w:rsidR="006C2238">
        <w:t xml:space="preserve"> Necmettin Erbakan, Şevket Kazan, Ahmet Tekdal, Şevki Yılmaz, Hasan Hüseyin Ceylan и İbrahim Halil Çelik статута им на народни представители съгласно чл</w:t>
      </w:r>
      <w:r w:rsidR="00186728">
        <w:t>.</w:t>
      </w:r>
      <w:r w:rsidR="006C2238">
        <w:t xml:space="preserve"> 84 от Конституцията. Съдът констатира, че </w:t>
      </w:r>
      <w:r w:rsidR="00186728">
        <w:t xml:space="preserve">с действията и постъпките си </w:t>
      </w:r>
      <w:r w:rsidR="006C2238">
        <w:t>тези лица са станали причина за разпускането на Refah. Конституционният съд също така им нал</w:t>
      </w:r>
      <w:r w:rsidR="00186728">
        <w:t>ага</w:t>
      </w:r>
      <w:r w:rsidR="006C2238">
        <w:t xml:space="preserve"> забрана за </w:t>
      </w:r>
      <w:r w:rsidR="00186728">
        <w:t xml:space="preserve">срок от </w:t>
      </w:r>
      <w:r w:rsidR="006C2238">
        <w:t xml:space="preserve">пет години да основават, членуват, ръководят или </w:t>
      </w:r>
      <w:r w:rsidR="00186728">
        <w:t xml:space="preserve">одитират </w:t>
      </w:r>
      <w:r w:rsidR="0056491A">
        <w:t xml:space="preserve">други </w:t>
      </w:r>
      <w:r w:rsidR="006C2238">
        <w:t>политически партии съгласно чл</w:t>
      </w:r>
      <w:r w:rsidR="0056491A">
        <w:t>.</w:t>
      </w:r>
      <w:r w:rsidR="006C2238">
        <w:t xml:space="preserve"> 69 § 8 от Конституцията.</w:t>
      </w:r>
      <w:r w:rsidR="00186728">
        <w:t xml:space="preserve"> </w:t>
      </w:r>
    </w:p>
    <w:p w:rsidR="00C63CF3" w:rsidRDefault="00AF2D4B">
      <w:pPr>
        <w:pStyle w:val="JuPara"/>
      </w:pPr>
      <w:fldSimple w:instr=" SEQ level0 \*arabic ">
        <w:r w:rsidR="006C2238">
          <w:rPr>
            <w:noProof/>
          </w:rPr>
          <w:t>43</w:t>
        </w:r>
      </w:fldSimple>
      <w:r w:rsidR="006C2238">
        <w:t>.  Съдиите Haşim Kılıç и Sacit Adalı израз</w:t>
      </w:r>
      <w:r w:rsidR="0056491A">
        <w:t>яват</w:t>
      </w:r>
      <w:r w:rsidR="006C2238">
        <w:t xml:space="preserve"> особени мнения, като заяв</w:t>
      </w:r>
      <w:r w:rsidR="0056491A">
        <w:t>яв</w:t>
      </w:r>
      <w:r w:rsidR="006C2238">
        <w:t>а</w:t>
      </w:r>
      <w:r w:rsidR="0056491A">
        <w:t>т</w:t>
      </w:r>
      <w:r w:rsidR="006C2238">
        <w:t xml:space="preserve">, </w:t>
      </w:r>
      <w:r w:rsidR="006C2238" w:rsidRPr="005C2DB2">
        <w:t>наред с другото</w:t>
      </w:r>
      <w:r w:rsidR="006C2238" w:rsidRPr="0056491A">
        <w:t>,</w:t>
      </w:r>
      <w:r w:rsidR="006C2238">
        <w:t xml:space="preserve"> че според тях разпускането на Refah не отговаря нито на разпоредбите на Конвенцията, нито на съдебн</w:t>
      </w:r>
      <w:r w:rsidR="0056491A">
        <w:t>а</w:t>
      </w:r>
      <w:r w:rsidR="006C2238">
        <w:t>т</w:t>
      </w:r>
      <w:r w:rsidR="0056491A">
        <w:t>а</w:t>
      </w:r>
      <w:r w:rsidR="006C2238">
        <w:t xml:space="preserve"> практик</w:t>
      </w:r>
      <w:r w:rsidR="0056491A">
        <w:t>а</w:t>
      </w:r>
      <w:r w:rsidR="006C2238">
        <w:t xml:space="preserve"> на Европейския съд по правата на човека относно разпускането на политически партии. Те отбеляз</w:t>
      </w:r>
      <w:r w:rsidR="0056491A">
        <w:t>ват</w:t>
      </w:r>
      <w:r w:rsidR="006C2238">
        <w:t>, че политически партии, които не подкрепят използването на насилие, следва да могат да участват в политическия живот и че в системата на плурализма следва да има място за обсъждания на идеи, считани за обезпокоителни и</w:t>
      </w:r>
      <w:r w:rsidR="00330361">
        <w:t>ли</w:t>
      </w:r>
      <w:r w:rsidR="006C2238">
        <w:t xml:space="preserve"> дори скандални.</w:t>
      </w:r>
    </w:p>
    <w:p w:rsidR="00C63CF3" w:rsidRDefault="00AF2D4B">
      <w:pPr>
        <w:pStyle w:val="JuPara"/>
      </w:pPr>
      <w:fldSimple w:instr=" SEQ level0 \*arabic ">
        <w:r w:rsidR="006C2238">
          <w:rPr>
            <w:noProof/>
          </w:rPr>
          <w:t>44</w:t>
        </w:r>
      </w:fldSimple>
      <w:r w:rsidR="006C2238">
        <w:t xml:space="preserve">.  Решението е публикувано в </w:t>
      </w:r>
      <w:r w:rsidR="00EA0E12">
        <w:t xml:space="preserve">Държавен </w:t>
      </w:r>
      <w:r w:rsidR="006C2238">
        <w:t>вестник на 22 февруари 1998 г.</w:t>
      </w:r>
    </w:p>
    <w:p w:rsidR="00C63CF3" w:rsidRDefault="006C2238">
      <w:pPr>
        <w:pStyle w:val="JuHIRoman"/>
        <w:spacing w:line="216" w:lineRule="auto"/>
      </w:pPr>
      <w:r>
        <w:br w:type="page"/>
      </w:r>
      <w:r>
        <w:lastRenderedPageBreak/>
        <w:t xml:space="preserve">II.  ПРИЛОЖИМО ВЪТРЕШНО </w:t>
      </w:r>
      <w:r w:rsidR="00EA0E12">
        <w:t>ПРАВО</w:t>
      </w:r>
    </w:p>
    <w:p w:rsidR="00C63CF3" w:rsidRDefault="006C2238">
      <w:pPr>
        <w:pStyle w:val="JuHA"/>
        <w:spacing w:line="216" w:lineRule="auto"/>
      </w:pPr>
      <w:r>
        <w:t>А.</w:t>
      </w:r>
      <w:r>
        <w:tab/>
        <w:t>Конституцията</w:t>
      </w:r>
    </w:p>
    <w:p w:rsidR="00C63CF3" w:rsidRDefault="00AF2D4B">
      <w:pPr>
        <w:pStyle w:val="JuPara"/>
        <w:spacing w:line="216" w:lineRule="auto"/>
      </w:pPr>
      <w:fldSimple w:instr=" SEQ level0 \*arabic ">
        <w:r w:rsidR="006C2238">
          <w:rPr>
            <w:noProof/>
          </w:rPr>
          <w:t>45</w:t>
        </w:r>
      </w:fldSimple>
      <w:r w:rsidR="006C2238">
        <w:t>.  </w:t>
      </w:r>
      <w:r w:rsidR="00EA0E12">
        <w:t xml:space="preserve">Приложимите </w:t>
      </w:r>
      <w:r w:rsidR="006C2238">
        <w:t>разпоредби на Конституцията гласят след</w:t>
      </w:r>
      <w:r w:rsidR="00EA0E12">
        <w:t>ното</w:t>
      </w:r>
      <w:r w:rsidR="006C2238">
        <w:t>:</w:t>
      </w:r>
    </w:p>
    <w:p w:rsidR="00C63CF3" w:rsidRDefault="006C2238">
      <w:pPr>
        <w:pStyle w:val="JuHArticle"/>
        <w:spacing w:line="216" w:lineRule="auto"/>
      </w:pPr>
      <w:r>
        <w:t>Член 2</w:t>
      </w:r>
    </w:p>
    <w:p w:rsidR="00C63CF3" w:rsidRDefault="006C2238">
      <w:pPr>
        <w:pStyle w:val="JuQuot"/>
        <w:spacing w:line="216" w:lineRule="auto"/>
      </w:pPr>
      <w:r>
        <w:t xml:space="preserve">„Република Турция е демократична, светска и социална държава, основана на върховенството на закона, </w:t>
      </w:r>
      <w:r w:rsidR="00140A41">
        <w:t xml:space="preserve">която </w:t>
      </w:r>
      <w:r>
        <w:t>зач</w:t>
      </w:r>
      <w:r w:rsidR="00140A41">
        <w:t>ит</w:t>
      </w:r>
      <w:r>
        <w:t>а правата на човека в дух на социален мир, национална солидарност и справедливост, придържаща се към национализма на Ататюрк и почиваща на основните принципи, заложени в Преамбюла.“</w:t>
      </w:r>
    </w:p>
    <w:p w:rsidR="00C63CF3" w:rsidRDefault="006C2238">
      <w:pPr>
        <w:pStyle w:val="JuHArticle"/>
        <w:spacing w:line="216" w:lineRule="auto"/>
      </w:pPr>
      <w:r>
        <w:t>Член 4</w:t>
      </w:r>
    </w:p>
    <w:p w:rsidR="00C63CF3" w:rsidRDefault="006C2238">
      <w:pPr>
        <w:pStyle w:val="JuQuot"/>
        <w:spacing w:line="216" w:lineRule="auto"/>
      </w:pPr>
      <w:r>
        <w:t xml:space="preserve">„Не могат да се внасят или предлагат изменения в разпоредбите на член 1 от Конституцията, който гласи, че държавата ще бъде република, </w:t>
      </w:r>
      <w:r w:rsidR="00C422F3">
        <w:t xml:space="preserve">в </w:t>
      </w:r>
      <w:r>
        <w:t xml:space="preserve">разпоредбите на член 2 по отношение на характеристиките на Републиката или </w:t>
      </w:r>
      <w:r w:rsidR="00C422F3">
        <w:t xml:space="preserve">в </w:t>
      </w:r>
      <w:r>
        <w:t>разпоредбите на член 3.“</w:t>
      </w:r>
    </w:p>
    <w:p w:rsidR="00C63CF3" w:rsidRDefault="006C2238">
      <w:pPr>
        <w:pStyle w:val="JuHArticle"/>
        <w:spacing w:line="216" w:lineRule="auto"/>
      </w:pPr>
      <w:r>
        <w:t>Член 6</w:t>
      </w:r>
    </w:p>
    <w:p w:rsidR="00C63CF3" w:rsidRDefault="006C2238">
      <w:pPr>
        <w:pStyle w:val="JuQuot"/>
        <w:spacing w:line="216" w:lineRule="auto"/>
      </w:pPr>
      <w:r>
        <w:t xml:space="preserve">„Суверенитетът </w:t>
      </w:r>
      <w:r w:rsidR="00C422F3">
        <w:t>принадлежи</w:t>
      </w:r>
      <w:r>
        <w:t xml:space="preserve"> безусловно и безвъзвратно </w:t>
      </w:r>
      <w:r w:rsidR="00C422F3">
        <w:t>на народа</w:t>
      </w:r>
      <w:r>
        <w:t>. ... Суверенн</w:t>
      </w:r>
      <w:r w:rsidR="00C422F3">
        <w:t>а</w:t>
      </w:r>
      <w:r>
        <w:t>т</w:t>
      </w:r>
      <w:r w:rsidR="00C422F3">
        <w:t>а</w:t>
      </w:r>
      <w:r>
        <w:t xml:space="preserve"> </w:t>
      </w:r>
      <w:r w:rsidR="00C422F3">
        <w:t>власт</w:t>
      </w:r>
      <w:r>
        <w:t xml:space="preserve"> при никакви обстоятелства не се преотстъпва на физическо лице, група или обществена класа. ...</w:t>
      </w:r>
      <w:r w:rsidR="001C6728">
        <w:t>“</w:t>
      </w:r>
    </w:p>
    <w:p w:rsidR="00C63CF3" w:rsidRDefault="006C2238">
      <w:pPr>
        <w:pStyle w:val="JuHArticle"/>
        <w:spacing w:line="216" w:lineRule="auto"/>
      </w:pPr>
      <w:r>
        <w:t>Член 10 § 1</w:t>
      </w:r>
    </w:p>
    <w:p w:rsidR="00C63CF3" w:rsidRDefault="006C2238">
      <w:pPr>
        <w:pStyle w:val="JuQuot"/>
        <w:spacing w:line="216" w:lineRule="auto"/>
      </w:pPr>
      <w:r>
        <w:t xml:space="preserve">„Всички лица </w:t>
      </w:r>
      <w:r w:rsidR="001C6728">
        <w:t>са</w:t>
      </w:r>
      <w:r>
        <w:t xml:space="preserve"> равни пред закона без разграничаване въз основа на език, раса, цвят, пол, политическо убеждение, философски убеждения, религия, членство в религиозна секта или </w:t>
      </w:r>
      <w:r w:rsidR="001C6728">
        <w:t xml:space="preserve">по </w:t>
      </w:r>
      <w:r>
        <w:t>други подобни</w:t>
      </w:r>
      <w:r w:rsidR="001C6728">
        <w:t xml:space="preserve"> признаци</w:t>
      </w:r>
      <w:r>
        <w:t>.“</w:t>
      </w:r>
    </w:p>
    <w:p w:rsidR="00C63CF3" w:rsidRDefault="006C2238">
      <w:pPr>
        <w:pStyle w:val="JuHArticle"/>
        <w:spacing w:line="216" w:lineRule="auto"/>
      </w:pPr>
      <w:r>
        <w:t>Член 14 § 1</w:t>
      </w:r>
    </w:p>
    <w:p w:rsidR="00C63CF3" w:rsidRDefault="006C2238">
      <w:pPr>
        <w:pStyle w:val="JuQuot"/>
        <w:spacing w:line="216" w:lineRule="auto"/>
      </w:pPr>
      <w:r>
        <w:t xml:space="preserve">„Нито едно право или свобода, посочени в Конституцията, не може да се упражнява </w:t>
      </w:r>
      <w:r w:rsidR="001C6728">
        <w:t xml:space="preserve">с цел уронване </w:t>
      </w:r>
      <w:r>
        <w:t>на териториалната цялост на държавата и единството на нацията, застрашаване на съществуването на турската държава или Република, премахване на основните права и свободи, предаване управлението на държавата в ръцете на индивид или група, гарантиране на господството на една социална класа над други, дискриминация въз основа на език, раса, религия или членство в религиозна организация, или създаване по други начини на държавна политическа система въз основа на подобни концепции и становища.“</w:t>
      </w:r>
    </w:p>
    <w:p w:rsidR="00C63CF3" w:rsidRDefault="006C2238">
      <w:pPr>
        <w:pStyle w:val="JuHArticle"/>
        <w:spacing w:line="216" w:lineRule="auto"/>
      </w:pPr>
      <w:r>
        <w:t>Член 24 § 4</w:t>
      </w:r>
    </w:p>
    <w:p w:rsidR="00C63CF3" w:rsidRDefault="006C2238">
      <w:pPr>
        <w:pStyle w:val="JuQuot"/>
        <w:spacing w:line="216" w:lineRule="auto"/>
      </w:pPr>
      <w:r>
        <w:t>„Никой няма право да експлоатира или злоупотребява с религия, религиозни убеждения или свещени предмети по какъвто и да е начин, за да предизвика социалния, икономическия, политическия или законовия ред да се основават на религиозни предразсъдъци, дори отчасти или за целите на обезпечаване на политически или личен интерес или влияние.“</w:t>
      </w:r>
    </w:p>
    <w:p w:rsidR="00C63CF3" w:rsidRDefault="006C2238">
      <w:pPr>
        <w:pStyle w:val="JuHArticle"/>
        <w:spacing w:line="216" w:lineRule="auto"/>
      </w:pPr>
      <w:r>
        <w:t>Член 68 § 4</w:t>
      </w:r>
    </w:p>
    <w:p w:rsidR="00C63CF3" w:rsidRDefault="006C2238">
      <w:pPr>
        <w:pStyle w:val="JuQuot"/>
        <w:spacing w:line="216" w:lineRule="auto"/>
      </w:pPr>
      <w:r>
        <w:t xml:space="preserve">„Конституциите, правилниците и дейностите на политическите партии не трябва да противоречат на независимостта на държавата, целостта на държавната територия и </w:t>
      </w:r>
      <w:r w:rsidR="006F50E9">
        <w:t xml:space="preserve">на </w:t>
      </w:r>
      <w:r>
        <w:t xml:space="preserve">нацията, човешките права, принципите на равнопоставеност и върховенството на закона, националния суверенитет или принципите на демократична, светска република. </w:t>
      </w:r>
      <w:r w:rsidR="006F50E9">
        <w:t xml:space="preserve">Не може да се създава </w:t>
      </w:r>
      <w:r>
        <w:t xml:space="preserve">политическа партия с </w:t>
      </w:r>
      <w:r>
        <w:lastRenderedPageBreak/>
        <w:t>цел отстояване интересите или установяване на господство на една социална класа или група или диктатура под каквато и да е форма. ...</w:t>
      </w:r>
      <w:r w:rsidR="006F50E9">
        <w:t>“</w:t>
      </w:r>
    </w:p>
    <w:p w:rsidR="00C63CF3" w:rsidRDefault="006C2238">
      <w:pPr>
        <w:pStyle w:val="JuHArticle"/>
        <w:spacing w:line="216" w:lineRule="auto"/>
      </w:pPr>
      <w:r>
        <w:t>Член 69 § 4</w:t>
      </w:r>
    </w:p>
    <w:p w:rsidR="00C63CF3" w:rsidRDefault="006C2238">
      <w:pPr>
        <w:pStyle w:val="JuQuot"/>
        <w:spacing w:line="216" w:lineRule="auto"/>
      </w:pPr>
      <w:r>
        <w:t xml:space="preserve">„... Конституционният съд </w:t>
      </w:r>
      <w:r w:rsidR="00A55BFD">
        <w:t>постановява</w:t>
      </w:r>
      <w:r>
        <w:t xml:space="preserve"> окончателно решение във връзка с разпускането на политически партии по искане на главния прокурор към Касационния съд.“</w:t>
      </w:r>
    </w:p>
    <w:p w:rsidR="00C63CF3" w:rsidRDefault="006C2238">
      <w:pPr>
        <w:pStyle w:val="JuHArticle"/>
        <w:spacing w:line="216" w:lineRule="auto"/>
      </w:pPr>
      <w:r>
        <w:t>Член 69 § 6</w:t>
      </w:r>
    </w:p>
    <w:p w:rsidR="00C63CF3" w:rsidRDefault="006C2238">
      <w:pPr>
        <w:pStyle w:val="JuQuot"/>
        <w:spacing w:line="216" w:lineRule="auto"/>
      </w:pPr>
      <w:r>
        <w:t>„... Политическа партия не може да бъде разпускана заради дейности, които противоречат на разпоредбите на чл</w:t>
      </w:r>
      <w:r w:rsidR="00A55BFD">
        <w:t>.</w:t>
      </w:r>
      <w:r>
        <w:t xml:space="preserve"> 68 § 4, освен ако Конституционният съд не потвърди, че съответната политическа партия представлява </w:t>
      </w:r>
      <w:r w:rsidR="00A55BFD">
        <w:t xml:space="preserve">средище </w:t>
      </w:r>
      <w:r>
        <w:t>на такива дейности.“</w:t>
      </w:r>
    </w:p>
    <w:p w:rsidR="00C63CF3" w:rsidRDefault="006C2238">
      <w:pPr>
        <w:pStyle w:val="JuPara"/>
        <w:spacing w:line="216" w:lineRule="auto"/>
      </w:pPr>
      <w:r>
        <w:t xml:space="preserve">Тази </w:t>
      </w:r>
      <w:r w:rsidR="00A55BFD">
        <w:t xml:space="preserve">конституционна </w:t>
      </w:r>
      <w:r>
        <w:t>разпоредба е добавена на 23 юли 1995 г.</w:t>
      </w:r>
    </w:p>
    <w:p w:rsidR="00C63CF3" w:rsidRDefault="006C2238">
      <w:pPr>
        <w:pStyle w:val="JuHArticle"/>
        <w:spacing w:line="216" w:lineRule="auto"/>
      </w:pPr>
      <w:r>
        <w:t>Член 69 § 8</w:t>
      </w:r>
    </w:p>
    <w:p w:rsidR="00C63CF3" w:rsidRDefault="006C2238">
      <w:pPr>
        <w:pStyle w:val="JuQuot"/>
        <w:spacing w:line="216" w:lineRule="auto"/>
      </w:pPr>
      <w:r>
        <w:t xml:space="preserve">„... Членове и ръководители, чиито изявления и дейности </w:t>
      </w:r>
      <w:r w:rsidR="00A55BFD">
        <w:t xml:space="preserve">водят </w:t>
      </w:r>
      <w:r>
        <w:t xml:space="preserve">до разпускането на политическа партия, не могат да бъдат основатели, ръководители или одитори на друга политическа партия за </w:t>
      </w:r>
      <w:r w:rsidR="00A55BFD">
        <w:t xml:space="preserve">срок </w:t>
      </w:r>
      <w:r>
        <w:t>от пет години от датата</w:t>
      </w:r>
      <w:r w:rsidR="00633E82">
        <w:t>,</w:t>
      </w:r>
      <w:r>
        <w:t xml:space="preserve"> на която </w:t>
      </w:r>
      <w:r w:rsidR="00633E82">
        <w:t xml:space="preserve">в Държавен вестник е публикувано мотивираното </w:t>
      </w:r>
      <w:r>
        <w:t>решение за разпускане на партията ...“</w:t>
      </w:r>
    </w:p>
    <w:p w:rsidR="00C63CF3" w:rsidRDefault="006C2238">
      <w:pPr>
        <w:pStyle w:val="JuHArticle"/>
        <w:spacing w:line="216" w:lineRule="auto"/>
      </w:pPr>
      <w:r>
        <w:t>Член 84</w:t>
      </w:r>
    </w:p>
    <w:p w:rsidR="00C63CF3" w:rsidRDefault="006C2238">
      <w:pPr>
        <w:pStyle w:val="JuQuot"/>
        <w:spacing w:line="216" w:lineRule="auto"/>
      </w:pPr>
      <w:r>
        <w:t>„Отнемане на статута на член</w:t>
      </w:r>
    </w:p>
    <w:p w:rsidR="00C63CF3" w:rsidRDefault="006C2238">
      <w:pPr>
        <w:pStyle w:val="JuQuot"/>
        <w:spacing w:line="216" w:lineRule="auto"/>
      </w:pPr>
      <w:r>
        <w:t>Когато Съветът на председателството на Великото народно събрание е одобрил оставките на народни представители, загубата на статута им на такива се решава от Великото народно събрание по време на пленарно заседание.</w:t>
      </w:r>
    </w:p>
    <w:p w:rsidR="00C63CF3" w:rsidRDefault="006C2238">
      <w:pPr>
        <w:pStyle w:val="JuQuot"/>
        <w:spacing w:line="216" w:lineRule="auto"/>
      </w:pPr>
      <w:r>
        <w:t>Народен представител, на когото и повдигнато обвинение, запазва статута си докато съдът, който е повдигнал обвинението, уведоми пленарната асамблея относно окончателното си решение.</w:t>
      </w:r>
    </w:p>
    <w:p w:rsidR="00C63CF3" w:rsidRDefault="006C2238">
      <w:pPr>
        <w:pStyle w:val="JuQuot"/>
        <w:spacing w:line="216" w:lineRule="auto"/>
      </w:pPr>
      <w:r>
        <w:t>Народен представител, който продължи да заема длъжност или да извършва дейност, несъвместим</w:t>
      </w:r>
      <w:r w:rsidR="00633E82">
        <w:t>а</w:t>
      </w:r>
      <w:r>
        <w:t xml:space="preserve"> със статута му на такъв по смисъла на чл</w:t>
      </w:r>
      <w:r w:rsidR="00EB62CA">
        <w:t>.</w:t>
      </w:r>
      <w:r>
        <w:t xml:space="preserve"> 82 губи статута си след тайно гласуване по време на пленарна </w:t>
      </w:r>
      <w:r w:rsidR="00EB62CA">
        <w:t>сесия</w:t>
      </w:r>
      <w:r>
        <w:t>, проведен</w:t>
      </w:r>
      <w:r w:rsidR="00EB62CA">
        <w:t>а</w:t>
      </w:r>
      <w:r>
        <w:t xml:space="preserve"> </w:t>
      </w:r>
      <w:r w:rsidR="00EB62CA">
        <w:t>с оглед на</w:t>
      </w:r>
      <w:r>
        <w:t xml:space="preserve"> доклад от съответната комисия, който показва, че въпросният народен представител заема или изпълнява въпросната длъжност или дейност.</w:t>
      </w:r>
    </w:p>
    <w:p w:rsidR="00C63CF3" w:rsidRDefault="006C2238">
      <w:pPr>
        <w:pStyle w:val="JuQuot"/>
        <w:spacing w:line="216" w:lineRule="auto"/>
      </w:pPr>
      <w:r>
        <w:t xml:space="preserve">Когато Съветът на председателството на Великото народно събрание отбележи, че народен представител, без валидно одобрение или основание, не е взел участие в общо пет дни в месеца в работата на Събранието, той губи статута си на такъв, в случай че мнозинството на пленарната асамблея </w:t>
      </w:r>
      <w:r w:rsidR="00EB62CA">
        <w:t>вземе решение за това</w:t>
      </w:r>
      <w:r>
        <w:t>.</w:t>
      </w:r>
    </w:p>
    <w:p w:rsidR="00C63CF3" w:rsidRDefault="006C2238">
      <w:pPr>
        <w:pStyle w:val="JuQuot"/>
        <w:spacing w:line="216" w:lineRule="auto"/>
      </w:pPr>
      <w:r>
        <w:t xml:space="preserve">Мандатът на народен представител, чиито думи и постъпки са довели, съгласно решение на Конституционния съд, до разпускане на партията му, приключва на датата, </w:t>
      </w:r>
      <w:r w:rsidR="00742FE8">
        <w:t>на която</w:t>
      </w:r>
      <w:r>
        <w:t xml:space="preserve"> </w:t>
      </w:r>
      <w:r w:rsidR="00742FE8">
        <w:t xml:space="preserve">е публикувано </w:t>
      </w:r>
      <w:r>
        <w:t xml:space="preserve">решението </w:t>
      </w:r>
      <w:r w:rsidR="00742FE8">
        <w:t>в Държавен</w:t>
      </w:r>
      <w:r>
        <w:t xml:space="preserve"> вестник. Председателството на Великото народно събрание изпълн</w:t>
      </w:r>
      <w:r w:rsidR="00742FE8">
        <w:t>ява</w:t>
      </w:r>
      <w:r>
        <w:t xml:space="preserve"> тази част от решението и уведом</w:t>
      </w:r>
      <w:r w:rsidR="00742FE8">
        <w:t>ява</w:t>
      </w:r>
      <w:r>
        <w:t xml:space="preserve"> пленарната асамблея.“</w:t>
      </w:r>
    </w:p>
    <w:p w:rsidR="00C63CF3" w:rsidRDefault="006C2238">
      <w:pPr>
        <w:pStyle w:val="JuHA"/>
        <w:spacing w:line="216" w:lineRule="auto"/>
      </w:pPr>
      <w:r>
        <w:t>Б.</w:t>
      </w:r>
      <w:r>
        <w:tab/>
        <w:t xml:space="preserve">Закон № 2820 </w:t>
      </w:r>
      <w:r w:rsidR="00AF5E47">
        <w:t>з</w:t>
      </w:r>
      <w:r>
        <w:t>а политическите партии</w:t>
      </w:r>
    </w:p>
    <w:p w:rsidR="00C63CF3" w:rsidRDefault="00AF2D4B">
      <w:pPr>
        <w:pStyle w:val="JuPara"/>
        <w:spacing w:line="216" w:lineRule="auto"/>
      </w:pPr>
      <w:fldSimple w:instr=" SEQ level0 \*arabic ">
        <w:r w:rsidR="006C2238">
          <w:rPr>
            <w:noProof/>
          </w:rPr>
          <w:t>46</w:t>
        </w:r>
      </w:fldSimple>
      <w:r w:rsidR="006C2238">
        <w:t>.  </w:t>
      </w:r>
      <w:r w:rsidR="00AF5E47">
        <w:t xml:space="preserve">Приложимите </w:t>
      </w:r>
      <w:r w:rsidR="006C2238">
        <w:t>разпоредби на Закон № 2820 гласят след</w:t>
      </w:r>
      <w:r w:rsidR="00AF5E47">
        <w:t>ното</w:t>
      </w:r>
      <w:r w:rsidR="006C2238">
        <w:t>:</w:t>
      </w:r>
    </w:p>
    <w:p w:rsidR="00C63CF3" w:rsidRDefault="00AF5E47">
      <w:pPr>
        <w:pStyle w:val="JuHArticle"/>
        <w:spacing w:line="216" w:lineRule="auto"/>
      </w:pPr>
      <w:r>
        <w:t xml:space="preserve">Раздел </w:t>
      </w:r>
      <w:r w:rsidR="006C2238">
        <w:t>78</w:t>
      </w:r>
    </w:p>
    <w:p w:rsidR="00C63CF3" w:rsidRDefault="006C2238">
      <w:pPr>
        <w:pStyle w:val="JuQuot"/>
        <w:spacing w:line="216" w:lineRule="auto"/>
      </w:pPr>
      <w:r>
        <w:t>„Политическите партии</w:t>
      </w:r>
    </w:p>
    <w:p w:rsidR="00C63CF3" w:rsidRDefault="006C2238">
      <w:pPr>
        <w:pStyle w:val="JuQuot"/>
        <w:spacing w:line="216" w:lineRule="auto"/>
      </w:pPr>
      <w:r>
        <w:lastRenderedPageBreak/>
        <w:t xml:space="preserve">… не </w:t>
      </w:r>
      <w:r w:rsidR="00EE059B">
        <w:t xml:space="preserve">могат да имат </w:t>
      </w:r>
      <w:r>
        <w:t xml:space="preserve">за цел или да подбуждат трети страни към </w:t>
      </w:r>
    </w:p>
    <w:p w:rsidR="00C63CF3" w:rsidRDefault="006C2238">
      <w:pPr>
        <w:pStyle w:val="JuQuot"/>
        <w:spacing w:line="216" w:lineRule="auto"/>
      </w:pPr>
      <w:r>
        <w:t xml:space="preserve">... </w:t>
      </w:r>
    </w:p>
    <w:p w:rsidR="00C63CF3" w:rsidRDefault="006C2238">
      <w:pPr>
        <w:pStyle w:val="JuQuot"/>
        <w:spacing w:line="216" w:lineRule="auto"/>
      </w:pPr>
      <w:r>
        <w:t xml:space="preserve">— застрашаване съществуването на турската държава и Република, премахване на основните права и свободи, дискриминация въз основа на език, раса, религия или членство в религиозна секта, или създаване по други начини на система на управление, основана на подобни концепции и становища. </w:t>
      </w:r>
    </w:p>
    <w:p w:rsidR="00C63CF3" w:rsidRDefault="006C2238">
      <w:pPr>
        <w:pStyle w:val="JuQuot"/>
        <w:spacing w:line="216" w:lineRule="auto"/>
      </w:pPr>
      <w:r>
        <w:t>...</w:t>
      </w:r>
      <w:r w:rsidR="00EE059B">
        <w:t>“</w:t>
      </w:r>
    </w:p>
    <w:p w:rsidR="00C63CF3" w:rsidRDefault="00C25525">
      <w:pPr>
        <w:pStyle w:val="JuHArticle"/>
        <w:spacing w:line="216" w:lineRule="auto"/>
      </w:pPr>
      <w:r>
        <w:t>Раздел</w:t>
      </w:r>
      <w:r w:rsidR="006C2238">
        <w:t xml:space="preserve"> 90(1)</w:t>
      </w:r>
    </w:p>
    <w:p w:rsidR="00C63CF3" w:rsidRDefault="006C2238">
      <w:pPr>
        <w:pStyle w:val="JuQuot"/>
        <w:spacing w:line="216" w:lineRule="auto"/>
      </w:pPr>
      <w:r>
        <w:t>„</w:t>
      </w:r>
      <w:r w:rsidR="00EE059B">
        <w:t>Учредяването</w:t>
      </w:r>
      <w:r>
        <w:t xml:space="preserve">, програмата и дейностите на политическите партии не </w:t>
      </w:r>
      <w:r w:rsidR="00EE059B">
        <w:t xml:space="preserve">могат </w:t>
      </w:r>
      <w:r>
        <w:t xml:space="preserve">да противоречат на Конституцията или </w:t>
      </w:r>
      <w:r w:rsidR="00EE059B">
        <w:t xml:space="preserve">на </w:t>
      </w:r>
      <w:r>
        <w:t xml:space="preserve">настоящият </w:t>
      </w:r>
      <w:r w:rsidR="00EE059B">
        <w:t>з</w:t>
      </w:r>
      <w:r>
        <w:t>акон.“</w:t>
      </w:r>
    </w:p>
    <w:p w:rsidR="00C63CF3" w:rsidRDefault="00C25525">
      <w:pPr>
        <w:pStyle w:val="JuHArticle"/>
        <w:spacing w:line="216" w:lineRule="auto"/>
      </w:pPr>
      <w:r>
        <w:t>Раздел</w:t>
      </w:r>
      <w:r w:rsidR="006C2238">
        <w:t xml:space="preserve"> 101</w:t>
      </w:r>
    </w:p>
    <w:p w:rsidR="00C63CF3" w:rsidRDefault="006C2238">
      <w:pPr>
        <w:pStyle w:val="JuQuot"/>
        <w:spacing w:line="216" w:lineRule="auto"/>
      </w:pPr>
      <w:r>
        <w:t xml:space="preserve">„Конституционният съд разпуска политическа партия </w:t>
      </w:r>
    </w:p>
    <w:p w:rsidR="00C63CF3" w:rsidRDefault="006C2238">
      <w:pPr>
        <w:pStyle w:val="JuQuot"/>
        <w:spacing w:line="216" w:lineRule="auto"/>
      </w:pPr>
      <w:r>
        <w:t>...</w:t>
      </w:r>
    </w:p>
    <w:p w:rsidR="00C63CF3" w:rsidRDefault="006C2238">
      <w:pPr>
        <w:pStyle w:val="JuQuot"/>
        <w:spacing w:line="216" w:lineRule="auto"/>
      </w:pPr>
      <w:r>
        <w:t>(б)</w:t>
      </w:r>
      <w:r>
        <w:tab/>
        <w:t xml:space="preserve">когато </w:t>
      </w:r>
      <w:r w:rsidR="00E73144">
        <w:t xml:space="preserve">нейното </w:t>
      </w:r>
      <w:r>
        <w:t>общо събрание, централно бюро или изпълнител</w:t>
      </w:r>
      <w:r w:rsidR="00E73144">
        <w:t>е</w:t>
      </w:r>
      <w:r>
        <w:t xml:space="preserve">н комитет … вземе решение, издаде циркулярно писмо или направи изявление … което противоречи на </w:t>
      </w:r>
      <w:r w:rsidR="00E73144">
        <w:t>Глава</w:t>
      </w:r>
      <w:r>
        <w:t xml:space="preserve"> 4 от настоящия </w:t>
      </w:r>
      <w:r w:rsidR="00E73144">
        <w:t>з</w:t>
      </w:r>
      <w:r>
        <w:t>акон [Настоящ</w:t>
      </w:r>
      <w:r w:rsidR="00E73144">
        <w:t>а</w:t>
      </w:r>
      <w:r>
        <w:t>т</w:t>
      </w:r>
      <w:r w:rsidR="00E73144">
        <w:t>а</w:t>
      </w:r>
      <w:r>
        <w:t xml:space="preserve"> </w:t>
      </w:r>
      <w:r w:rsidR="00E73144">
        <w:t>глава</w:t>
      </w:r>
      <w:r>
        <w:t xml:space="preserve"> (от </w:t>
      </w:r>
      <w:r w:rsidR="00E73144">
        <w:t>раздел</w:t>
      </w:r>
      <w:r>
        <w:t xml:space="preserve"> 78 до </w:t>
      </w:r>
      <w:r w:rsidR="00E73144">
        <w:t>раздел</w:t>
      </w:r>
      <w:r>
        <w:t xml:space="preserve"> 97), която се отнася до ограничаване дейността на политически</w:t>
      </w:r>
      <w:r w:rsidR="00E73144">
        <w:t>те</w:t>
      </w:r>
      <w:r>
        <w:t xml:space="preserve"> партии, </w:t>
      </w:r>
      <w:r w:rsidR="00D65703">
        <w:t>определя,</w:t>
      </w:r>
      <w:r>
        <w:t xml:space="preserve"> че подобни дейности не могат да се извършват в </w:t>
      </w:r>
      <w:r w:rsidR="00D65703">
        <w:t xml:space="preserve">ущърб </w:t>
      </w:r>
      <w:r>
        <w:t>на демократичния конституционен ред (включително суверенитета на народа и свободните избори), естеството на националната държава (включително националната независимост, националното единство и принципа на равнопоставеност), както и светското естество на държавата (включително зачитане на реформите, извършени от Ататюрк, забраната за експлоатиране на религиозни убеждения и забраната на религиозни демонстрации, организирани от политически партии)] или когато председателят, заместник-председателят или генералния</w:t>
      </w:r>
      <w:r w:rsidR="008E34FE">
        <w:t>т</w:t>
      </w:r>
      <w:r>
        <w:t xml:space="preserve"> секретар направ</w:t>
      </w:r>
      <w:r w:rsidR="008E34FE">
        <w:t>и</w:t>
      </w:r>
      <w:r>
        <w:t xml:space="preserve"> писмено или устно изявление в противоречие с тези разпоредби.</w:t>
      </w:r>
    </w:p>
    <w:p w:rsidR="00C63CF3" w:rsidRDefault="006C2238">
      <w:pPr>
        <w:pStyle w:val="JuQuot"/>
        <w:spacing w:line="216" w:lineRule="auto"/>
      </w:pPr>
      <w:r>
        <w:t>...</w:t>
      </w:r>
    </w:p>
    <w:p w:rsidR="00C63CF3" w:rsidRDefault="006C2238">
      <w:pPr>
        <w:pStyle w:val="JuQuot"/>
        <w:spacing w:line="216" w:lineRule="auto"/>
      </w:pPr>
      <w:r>
        <w:t xml:space="preserve">(г)  Когато действия в противоречие с разпоредбите на </w:t>
      </w:r>
      <w:r w:rsidR="008E34FE">
        <w:t xml:space="preserve">Глава </w:t>
      </w:r>
      <w:r>
        <w:t xml:space="preserve">4 от настоящия </w:t>
      </w:r>
      <w:r w:rsidR="008E34FE">
        <w:t>з</w:t>
      </w:r>
      <w:r>
        <w:t xml:space="preserve">акон са извършени от органи, власти или съвети, различни от тези, посочени в точка (б), </w:t>
      </w:r>
      <w:r w:rsidR="001C04CE">
        <w:t>д</w:t>
      </w:r>
      <w:r>
        <w:t>ържавн</w:t>
      </w:r>
      <w:r w:rsidR="001C04CE">
        <w:t>ото обвинение</w:t>
      </w:r>
      <w:r>
        <w:t xml:space="preserve">, в </w:t>
      </w:r>
      <w:r w:rsidR="008E34FE">
        <w:t>срок от</w:t>
      </w:r>
      <w:r>
        <w:t xml:space="preserve"> две години от съответното деяние, изиск</w:t>
      </w:r>
      <w:r w:rsidR="008E34FE">
        <w:t>в</w:t>
      </w:r>
      <w:r>
        <w:t>а от партията в писмена форма да разпусне тези органи и/или власти и/или съвети. Държавн</w:t>
      </w:r>
      <w:r w:rsidR="001C04CE">
        <w:t>ото обвинение</w:t>
      </w:r>
      <w:r>
        <w:t xml:space="preserve"> нарежда изключване завинаги от партията на нейни членове, които са обвинени в извършване на действия или изявления, които противоречат на разпоредбите на Част 4.</w:t>
      </w:r>
    </w:p>
    <w:p w:rsidR="00C63CF3" w:rsidRDefault="001C04CE">
      <w:pPr>
        <w:pStyle w:val="JuQuot"/>
      </w:pPr>
      <w:r>
        <w:t>Държавното обвинение</w:t>
      </w:r>
      <w:r w:rsidR="006C2238">
        <w:t xml:space="preserve"> образува производство за разпускането на политически партии, които не спазват указанията, съдържащи се в писмото му</w:t>
      </w:r>
      <w:r w:rsidR="00277F63">
        <w:t>,</w:t>
      </w:r>
      <w:r w:rsidR="006C2238">
        <w:t xml:space="preserve"> в </w:t>
      </w:r>
      <w:r w:rsidR="00277F63">
        <w:t>срок от</w:t>
      </w:r>
      <w:r w:rsidR="006C2238">
        <w:t xml:space="preserve"> тридесет дни от връчването му. В случай че в </w:t>
      </w:r>
      <w:r w:rsidR="00277F63">
        <w:t>срок от</w:t>
      </w:r>
      <w:r w:rsidR="006C2238">
        <w:t xml:space="preserve"> тридесет дни от връчване на искането на </w:t>
      </w:r>
      <w:r w:rsidR="00277F63">
        <w:t>държавното обвинение</w:t>
      </w:r>
      <w:r w:rsidR="006C2238">
        <w:t xml:space="preserve"> въпросните органи, власти или съвети са разпуснати от партията, а съответния</w:t>
      </w:r>
      <w:r w:rsidR="00277F63">
        <w:t>т</w:t>
      </w:r>
      <w:r w:rsidR="006C2238">
        <w:t xml:space="preserve"> член или членове са изключени завинаги, производството по разпускане се прекратява. В противен случай Конституционният съд разглежда случая въз основа на </w:t>
      </w:r>
      <w:r w:rsidR="00277F63">
        <w:t xml:space="preserve">преписката </w:t>
      </w:r>
      <w:r w:rsidR="006C2238">
        <w:t>и се произнася след заседание, при необходимост устни из</w:t>
      </w:r>
      <w:r w:rsidR="00277F63">
        <w:t>ложени</w:t>
      </w:r>
      <w:r w:rsidR="006C2238">
        <w:t>я на прокура</w:t>
      </w:r>
      <w:r w:rsidR="00277F63">
        <w:t>турата</w:t>
      </w:r>
      <w:r w:rsidR="006C2238">
        <w:t>, представителите на политическата партия и всички, които могат да предоставят информация по случая ...“</w:t>
      </w:r>
    </w:p>
    <w:p w:rsidR="00C63CF3" w:rsidRDefault="00C25525">
      <w:pPr>
        <w:pStyle w:val="JuHArticle"/>
      </w:pPr>
      <w:r>
        <w:t>Раздел</w:t>
      </w:r>
      <w:r w:rsidR="006C2238">
        <w:t xml:space="preserve"> 103</w:t>
      </w:r>
    </w:p>
    <w:p w:rsidR="00C63CF3" w:rsidRDefault="006C2238">
      <w:pPr>
        <w:pStyle w:val="JuQuot"/>
      </w:pPr>
      <w:r>
        <w:lastRenderedPageBreak/>
        <w:t xml:space="preserve">„Когато се установи, че политическа партия се е превърнала в </w:t>
      </w:r>
      <w:r w:rsidR="00C25525">
        <w:t>средище</w:t>
      </w:r>
      <w:r>
        <w:t xml:space="preserve"> на дейности, които противоречат на разпоредбите на членове 78</w:t>
      </w:r>
      <w:r w:rsidR="00C25525">
        <w:t xml:space="preserve"> – </w:t>
      </w:r>
      <w:r>
        <w:t xml:space="preserve">88 … от настоящия </w:t>
      </w:r>
      <w:r w:rsidR="00C25525">
        <w:t>з</w:t>
      </w:r>
      <w:r>
        <w:t>акон, партията се разпуска от Конституционния съд.“</w:t>
      </w:r>
    </w:p>
    <w:p w:rsidR="00C63CF3" w:rsidRDefault="00C25525">
      <w:pPr>
        <w:pStyle w:val="JuHArticle"/>
      </w:pPr>
      <w:r>
        <w:t>Раздел</w:t>
      </w:r>
      <w:r w:rsidR="006C2238">
        <w:t xml:space="preserve"> 107(1)</w:t>
      </w:r>
    </w:p>
    <w:p w:rsidR="00C63CF3" w:rsidRDefault="006C2238">
      <w:pPr>
        <w:pStyle w:val="JuQuot"/>
      </w:pPr>
      <w:r>
        <w:t>„Всички активи на политически партии, разпуснати със заповед на Конституционния съд, се предават на Хазната.“</w:t>
      </w:r>
    </w:p>
    <w:p w:rsidR="00C63CF3" w:rsidRDefault="00AF2D4B">
      <w:pPr>
        <w:pStyle w:val="JuPara"/>
      </w:pPr>
      <w:fldSimple w:instr=" SEQ level0 \*arabic ">
        <w:r w:rsidR="006C2238">
          <w:rPr>
            <w:noProof/>
          </w:rPr>
          <w:t>47</w:t>
        </w:r>
      </w:fldSimple>
      <w:r w:rsidR="006C2238">
        <w:t xml:space="preserve">.  Параграф 2 от </w:t>
      </w:r>
      <w:r w:rsidR="00C25525">
        <w:t xml:space="preserve">раздел </w:t>
      </w:r>
      <w:r w:rsidR="006C2238">
        <w:t xml:space="preserve">103, който е обявен за противоконституционен от Конституционния съд на 9 януари 1998 г., предполага използването на процедурата, заложена в </w:t>
      </w:r>
      <w:r w:rsidR="000C5AED">
        <w:t>раздел</w:t>
      </w:r>
      <w:r w:rsidR="006C2238">
        <w:t xml:space="preserve"> 101(г) за </w:t>
      </w:r>
      <w:r w:rsidR="000C5AED">
        <w:t xml:space="preserve">решаване </w:t>
      </w:r>
      <w:r w:rsidR="006C2238">
        <w:t xml:space="preserve">на въпроса дали политическа партия се е превърнала в </w:t>
      </w:r>
      <w:r w:rsidR="000C5AED">
        <w:t xml:space="preserve">средище </w:t>
      </w:r>
      <w:r w:rsidR="006C2238">
        <w:t>на противоконституционни дейности.</w:t>
      </w:r>
    </w:p>
    <w:p w:rsidR="00C63CF3" w:rsidRDefault="006C2238">
      <w:pPr>
        <w:pStyle w:val="JuHA"/>
      </w:pPr>
      <w:r>
        <w:t>В.</w:t>
      </w:r>
      <w:r>
        <w:tab/>
        <w:t>Член 163 от Наказателния кодекс, отменен на 12 април 199</w:t>
      </w:r>
      <w:r w:rsidR="000C5AED">
        <w:t>1</w:t>
      </w:r>
      <w:r>
        <w:t xml:space="preserve"> г.</w:t>
      </w:r>
    </w:p>
    <w:p w:rsidR="00C63CF3" w:rsidRDefault="00AF2D4B">
      <w:pPr>
        <w:pStyle w:val="JuPara"/>
      </w:pPr>
      <w:fldSimple w:instr=" SEQ level0 \*arabic ">
        <w:r w:rsidR="006C2238">
          <w:rPr>
            <w:noProof/>
          </w:rPr>
          <w:t>48</w:t>
        </w:r>
      </w:fldSimple>
      <w:r w:rsidR="006C2238">
        <w:t>.  Текстът на разпоредбата е следният:</w:t>
      </w:r>
    </w:p>
    <w:p w:rsidR="00C63CF3" w:rsidRDefault="006C2238">
      <w:pPr>
        <w:pStyle w:val="JuQuot"/>
      </w:pPr>
      <w:r>
        <w:t>„У</w:t>
      </w:r>
      <w:r w:rsidR="00CC7F59">
        <w:t>чредя</w:t>
      </w:r>
      <w:r>
        <w:t>ването, основаването, организирането, регламентирането, управлението или администрирането на сдружения, имащи за цел адаптиране на основните правни, социални, икономически или политически основи на държавата, дори отчасти, към религиозни убеждения, представлява престъпление, което се наказва с осем до петнадесет години лишаване от свобода.</w:t>
      </w:r>
    </w:p>
    <w:p w:rsidR="00C63CF3" w:rsidRDefault="006C2238">
      <w:pPr>
        <w:pStyle w:val="JuQuot"/>
      </w:pPr>
      <w:r>
        <w:t>Членуването в сдружение от подобен род или подбуждане</w:t>
      </w:r>
      <w:r w:rsidR="00CC7F59">
        <w:t>то</w:t>
      </w:r>
      <w:r>
        <w:t xml:space="preserve"> на други към членство представлява престъпление, което се наказва с пет до дванадесет години лишаване от свобода.</w:t>
      </w:r>
    </w:p>
    <w:p w:rsidR="00C63CF3" w:rsidRDefault="006C2238">
      <w:pPr>
        <w:pStyle w:val="JuQuot"/>
      </w:pPr>
      <w:r>
        <w:t>Пропагандирането под каквато и да е форма или опит</w:t>
      </w:r>
      <w:r w:rsidR="00CC7F59">
        <w:t>ите</w:t>
      </w:r>
      <w:r>
        <w:t xml:space="preserve"> за </w:t>
      </w:r>
      <w:r w:rsidR="00CC7F59">
        <w:t xml:space="preserve">придобиване </w:t>
      </w:r>
      <w:r>
        <w:t>на влияние чрез експлоатиране на религия, религиозни убеждения или свещени религиозни предмети по начин, който противоречи на принципа на светската държава</w:t>
      </w:r>
      <w:r w:rsidR="00501DF0">
        <w:t>,</w:t>
      </w:r>
      <w:r>
        <w:t xml:space="preserve"> и с цел адаптиране на основните правни, социални, икономически или политически основи на държавата, дори отчасти, към религиозни убеждения или обслужване на политически интереси, представлява престъпление, което се наказва с пет до десет години лишаване от свобода.</w:t>
      </w:r>
    </w:p>
    <w:p w:rsidR="00C63CF3" w:rsidRDefault="006C2238">
      <w:pPr>
        <w:pStyle w:val="JuQuot"/>
      </w:pPr>
      <w:r>
        <w:t>Пропагандирането под каквато и да е форма или опит</w:t>
      </w:r>
      <w:r w:rsidR="00501DF0">
        <w:t>ите</w:t>
      </w:r>
      <w:r>
        <w:t xml:space="preserve"> за </w:t>
      </w:r>
      <w:r w:rsidR="00501DF0">
        <w:t xml:space="preserve">придобиване </w:t>
      </w:r>
      <w:r>
        <w:t>на влияние с цел обслужването на индивидуални интереси или получаване на облаги чрез експлоатиране на религия, религиозни убеждения или свещени религиозни предмети или религиозни книги представлява престъпление, което се наказва с две до пет години лишаване от свобода.</w:t>
      </w:r>
    </w:p>
    <w:p w:rsidR="00C63CF3" w:rsidRDefault="006C2238">
      <w:pPr>
        <w:pStyle w:val="JuQuot"/>
      </w:pPr>
      <w:r>
        <w:t>Когато посочените по-горе действия са извършени в обектите на обществени</w:t>
      </w:r>
      <w:r w:rsidR="00501DF0">
        <w:t>те</w:t>
      </w:r>
      <w:r>
        <w:t xml:space="preserve"> административни власти, общински съвети, обществени предприятия, чиито капитал или част от него принадлежи на държавата, синдикати, работнически организации, училища или висши учебни заведения, или от </w:t>
      </w:r>
      <w:r w:rsidR="00F24C82">
        <w:t xml:space="preserve">държавни </w:t>
      </w:r>
      <w:r>
        <w:t>служители, техници, портиери или членове на подобни учреждения, наказанието се утроява.</w:t>
      </w:r>
    </w:p>
    <w:p w:rsidR="00C63CF3" w:rsidRDefault="006C2238">
      <w:pPr>
        <w:pStyle w:val="JuQuot"/>
      </w:pPr>
      <w:r>
        <w:t>Когато действията, изброени в третия и четвъртия параграф по-горе</w:t>
      </w:r>
      <w:r w:rsidR="00F24C82">
        <w:t>,</w:t>
      </w:r>
      <w:r>
        <w:t xml:space="preserve"> са извършени чрез публикации, наказанието се увеличава наполовина.“</w:t>
      </w:r>
    </w:p>
    <w:p w:rsidR="00C63CF3" w:rsidRDefault="006C2238">
      <w:pPr>
        <w:pStyle w:val="JuHHead"/>
      </w:pPr>
      <w:r>
        <w:lastRenderedPageBreak/>
        <w:t>ЗАКОНЪТ</w:t>
      </w:r>
    </w:p>
    <w:p w:rsidR="00C63CF3" w:rsidRDefault="006C2238">
      <w:pPr>
        <w:pStyle w:val="JuHIRoman"/>
      </w:pPr>
      <w:r>
        <w:t>І. ТВЪРДЯНО НАРУШЕНИЕ НА ЧЛ. 11 ОТ КОНВЕНЦИЯТА</w:t>
      </w:r>
    </w:p>
    <w:p w:rsidR="00C63CF3" w:rsidRDefault="00AF2D4B">
      <w:pPr>
        <w:pStyle w:val="JuPara"/>
      </w:pPr>
      <w:fldSimple w:instr=" SEQ level0 \*arabic ">
        <w:r w:rsidR="006C2238">
          <w:rPr>
            <w:noProof/>
          </w:rPr>
          <w:t>49</w:t>
        </w:r>
      </w:fldSimple>
      <w:r w:rsidR="006C2238">
        <w:t>.  Жалбоподателите твърдят, че разпускането на Refah Partisi (Партия</w:t>
      </w:r>
      <w:r w:rsidR="00F24C82">
        <w:t>та</w:t>
      </w:r>
      <w:r w:rsidR="006C2238">
        <w:t xml:space="preserve"> на благоденствието) и временната забрана, която възпрепятства ръководителите </w:t>
      </w:r>
      <w:r w:rsidR="00F24C82">
        <w:t>ѝ</w:t>
      </w:r>
      <w:r w:rsidR="006C2238">
        <w:t xml:space="preserve"> — включително г-н Necmettin Erbakan, г-н Şevket Kazan и г-н Ahmet Tekdal — да заемат подобна длъжност в други политически партии, нарушава правото им на свобода на сдружаване, гарантирано от член 11 от Конвенцията, </w:t>
      </w:r>
      <w:r w:rsidR="00F24C82">
        <w:t xml:space="preserve">приложимите </w:t>
      </w:r>
      <w:r w:rsidR="006C2238">
        <w:t>части от който гласят:</w:t>
      </w:r>
    </w:p>
    <w:p w:rsidR="00C63CF3" w:rsidRDefault="006C2238">
      <w:pPr>
        <w:pStyle w:val="JuQuot"/>
      </w:pPr>
      <w:r>
        <w:t>„1.  Всеки има право на свобод</w:t>
      </w:r>
      <w:r w:rsidR="00D51613">
        <w:t>а на</w:t>
      </w:r>
      <w:r>
        <w:t xml:space="preserve"> мирн</w:t>
      </w:r>
      <w:r w:rsidR="00D51613">
        <w:t>ите</w:t>
      </w:r>
      <w:r>
        <w:t xml:space="preserve"> събран</w:t>
      </w:r>
      <w:r w:rsidR="00D51613">
        <w:t>ия</w:t>
      </w:r>
      <w:r>
        <w:t xml:space="preserve"> и </w:t>
      </w:r>
      <w:r w:rsidR="00D51613">
        <w:t xml:space="preserve">на </w:t>
      </w:r>
      <w:r>
        <w:t>свобод</w:t>
      </w:r>
      <w:r w:rsidR="00D51613">
        <w:t>но</w:t>
      </w:r>
      <w:r>
        <w:t xml:space="preserve"> сдружаване ...</w:t>
      </w:r>
    </w:p>
    <w:p w:rsidR="00C63CF3" w:rsidRDefault="006C2238">
      <w:pPr>
        <w:pStyle w:val="JuQuot"/>
      </w:pPr>
      <w:r>
        <w:t>2. </w:t>
      </w:r>
      <w:r w:rsidR="00D51613">
        <w:t>Упражняването на това право</w:t>
      </w:r>
      <w:r>
        <w:t xml:space="preserve"> </w:t>
      </w:r>
      <w:r w:rsidR="00D51613">
        <w:t>не подлежи на никакви ограничения</w:t>
      </w:r>
      <w:r>
        <w:t xml:space="preserve">, освен </w:t>
      </w:r>
      <w:r w:rsidR="003E3158">
        <w:t>на</w:t>
      </w:r>
      <w:r>
        <w:t xml:space="preserve"> </w:t>
      </w:r>
      <w:r w:rsidR="003E3158">
        <w:t>тези</w:t>
      </w:r>
      <w:r>
        <w:t>, предвидени в закона и необходими в едно демократично общество в интерес на националната или обществената сигурност, за предотвратяване на безредици или престъпления, за защита</w:t>
      </w:r>
      <w:r w:rsidR="003E3158">
        <w:t>та</w:t>
      </w:r>
      <w:r>
        <w:t xml:space="preserve"> на здравето и морала или на правата и свободите на другите. …“</w:t>
      </w:r>
    </w:p>
    <w:p w:rsidR="00C63CF3" w:rsidRDefault="006C2238">
      <w:pPr>
        <w:pStyle w:val="JuHA"/>
      </w:pPr>
      <w:r>
        <w:t>А.</w:t>
      </w:r>
      <w:r>
        <w:tab/>
        <w:t>Налице ли е намеса</w:t>
      </w:r>
    </w:p>
    <w:p w:rsidR="00C63CF3" w:rsidRDefault="00AF2D4B">
      <w:pPr>
        <w:pStyle w:val="JuPara"/>
      </w:pPr>
      <w:fldSimple w:instr=" SEQ level0 \*arabic ">
        <w:r w:rsidR="006C2238">
          <w:rPr>
            <w:noProof/>
          </w:rPr>
          <w:t>50</w:t>
        </w:r>
      </w:fldSimple>
      <w:r w:rsidR="006C2238">
        <w:t xml:space="preserve">.  Страните приемат, че разпускането на Refah и придружаващите го мерки представляват намеса в упражняването на правото на свобода на сдружаване на жалбоподателите. Съдът споделя </w:t>
      </w:r>
      <w:r w:rsidR="003E3158">
        <w:t>това мнение</w:t>
      </w:r>
      <w:r w:rsidR="006C2238">
        <w:t>.</w:t>
      </w:r>
    </w:p>
    <w:p w:rsidR="00C63CF3" w:rsidRDefault="006C2238">
      <w:pPr>
        <w:pStyle w:val="JuHA"/>
      </w:pPr>
      <w:r>
        <w:t>Б.</w:t>
      </w:r>
      <w:r>
        <w:tab/>
        <w:t>Дали намесата е оправдана</w:t>
      </w:r>
    </w:p>
    <w:p w:rsidR="00C63CF3" w:rsidRDefault="00AF2D4B">
      <w:pPr>
        <w:pStyle w:val="JuPara"/>
      </w:pPr>
      <w:fldSimple w:instr=" SEQ level0 \*arabic ">
        <w:r w:rsidR="006C2238">
          <w:rPr>
            <w:noProof/>
          </w:rPr>
          <w:t>51</w:t>
        </w:r>
      </w:fldSimple>
      <w:r w:rsidR="006C2238">
        <w:t>.  Подобна намеса представлява нарушение на чл</w:t>
      </w:r>
      <w:r w:rsidR="00224F05">
        <w:t>.</w:t>
      </w:r>
      <w:r w:rsidR="006C2238">
        <w:t xml:space="preserve"> 11, освен когато е била „предвидена в закона“</w:t>
      </w:r>
      <w:r w:rsidR="00224F05">
        <w:t>,</w:t>
      </w:r>
      <w:r w:rsidR="006C2238">
        <w:t xml:space="preserve"> преследва една или повече законни цели, изложени в </w:t>
      </w:r>
      <w:r w:rsidR="00224F05">
        <w:t xml:space="preserve">ал. </w:t>
      </w:r>
      <w:r w:rsidR="006C2238">
        <w:t>2 от настоящата разпоредба</w:t>
      </w:r>
      <w:r w:rsidR="00224F05">
        <w:t>,</w:t>
      </w:r>
      <w:r w:rsidR="006C2238">
        <w:t xml:space="preserve"> и е „необходима </w:t>
      </w:r>
      <w:r w:rsidR="00224F05">
        <w:t>в</w:t>
      </w:r>
      <w:r w:rsidR="006C2238">
        <w:t xml:space="preserve"> </w:t>
      </w:r>
      <w:r w:rsidR="00224F05">
        <w:t xml:space="preserve">едно </w:t>
      </w:r>
      <w:r w:rsidR="006C2238">
        <w:t>демократично общество“ за постигането на тези цели.</w:t>
      </w:r>
    </w:p>
    <w:p w:rsidR="00C63CF3" w:rsidRDefault="006C2238">
      <w:pPr>
        <w:pStyle w:val="JuH1"/>
      </w:pPr>
      <w:r>
        <w:t>1.  „Предвидена в закона“</w:t>
      </w:r>
    </w:p>
    <w:p w:rsidR="00C63CF3" w:rsidRDefault="006C2238">
      <w:pPr>
        <w:pStyle w:val="JuHa0"/>
      </w:pPr>
      <w:r>
        <w:t>(а)</w:t>
      </w:r>
      <w:r>
        <w:tab/>
        <w:t>Аргументи на страните</w:t>
      </w:r>
    </w:p>
    <w:p w:rsidR="00C63CF3" w:rsidRDefault="006C2238">
      <w:pPr>
        <w:pStyle w:val="JuHi"/>
      </w:pPr>
      <w:r>
        <w:t>(i)  Жалбоподателите</w:t>
      </w:r>
    </w:p>
    <w:p w:rsidR="00C63CF3" w:rsidRDefault="00AF2D4B">
      <w:pPr>
        <w:pStyle w:val="JuPara"/>
      </w:pPr>
      <w:fldSimple w:instr=" SEQ level0 \*arabic ">
        <w:r w:rsidR="006C2238">
          <w:rPr>
            <w:noProof/>
          </w:rPr>
          <w:t>52</w:t>
        </w:r>
      </w:fldSimple>
      <w:r w:rsidR="006C2238">
        <w:t xml:space="preserve">.  Жалбоподателите твърдят, че критериите, приети от Конституционния съд при установяването дали Refah се е превърнала в </w:t>
      </w:r>
      <w:r w:rsidR="00AE5CAF">
        <w:t xml:space="preserve">средище </w:t>
      </w:r>
      <w:r w:rsidR="006C2238">
        <w:t>на противоконституционни дейности, са били по-</w:t>
      </w:r>
      <w:r w:rsidR="00AE5CAF">
        <w:t xml:space="preserve">широки </w:t>
      </w:r>
      <w:r w:rsidR="006C2238">
        <w:t xml:space="preserve">от </w:t>
      </w:r>
      <w:r w:rsidR="00AE5CAF">
        <w:t xml:space="preserve">тези, </w:t>
      </w:r>
      <w:r w:rsidR="006C2238">
        <w:t xml:space="preserve">заложени в Закон № 2820 за политическите партии. Разпоредбите на Закон № 2820, който залага по-стриктни критерии по въпроса, а именно такива, които се отнасят до отказ за изключване на членове, обвинени в криминални престъпления, са обявени за нищожни с </w:t>
      </w:r>
      <w:r w:rsidR="006C2238">
        <w:lastRenderedPageBreak/>
        <w:t xml:space="preserve">решение на Конституционния съд една седмица преди решението му да разпусне Refah. Освен това предишното решение е било публикувано в </w:t>
      </w:r>
      <w:r w:rsidR="00AE5CAF">
        <w:t>Държавен</w:t>
      </w:r>
      <w:r w:rsidR="006C2238">
        <w:t xml:space="preserve"> вестник след разпускането на Refah.</w:t>
      </w:r>
    </w:p>
    <w:p w:rsidR="00C63CF3" w:rsidRDefault="00AF2D4B">
      <w:pPr>
        <w:pStyle w:val="JuPara"/>
      </w:pPr>
      <w:fldSimple w:instr=" SEQ level0 \*arabic ">
        <w:r w:rsidR="006C2238">
          <w:rPr>
            <w:noProof/>
          </w:rPr>
          <w:t>53</w:t>
        </w:r>
      </w:fldSimple>
      <w:r w:rsidR="006C2238">
        <w:t>.  Жалбоподателите изтък</w:t>
      </w:r>
      <w:r w:rsidR="00AE5CAF">
        <w:t>в</w:t>
      </w:r>
      <w:r w:rsidR="006C2238">
        <w:t>а</w:t>
      </w:r>
      <w:r w:rsidR="00AE5CAF">
        <w:t>т</w:t>
      </w:r>
      <w:r w:rsidR="006C2238">
        <w:t xml:space="preserve"> аргумента, че всичко, изложено по-горе, е направило невъзможно да се предвиди какви критерии </w:t>
      </w:r>
      <w:r w:rsidR="00E41F75">
        <w:t>ще</w:t>
      </w:r>
      <w:r w:rsidR="006C2238">
        <w:t xml:space="preserve"> приложи Конституционния съд в решението си, че Refah се е превърнала в </w:t>
      </w:r>
      <w:r w:rsidR="00E41F75">
        <w:t>средище</w:t>
      </w:r>
      <w:r w:rsidR="006C2238">
        <w:t xml:space="preserve"> на противоконституционни дейности. Новият текст на Закон № 2820 не е бил достъпен за жалбоподателите преди разпускането на Refah. Те не са могли да организират политическите си дейности в съответствие с критери</w:t>
      </w:r>
      <w:r w:rsidR="00E41F75">
        <w:t>и</w:t>
      </w:r>
      <w:r w:rsidR="006C2238">
        <w:t>, ко</w:t>
      </w:r>
      <w:r w:rsidR="00E41F75">
        <w:t>и</w:t>
      </w:r>
      <w:r w:rsidR="006C2238">
        <w:t xml:space="preserve">то не </w:t>
      </w:r>
      <w:r w:rsidR="00E41F75">
        <w:t>са</w:t>
      </w:r>
      <w:r w:rsidR="006C2238">
        <w:t xml:space="preserve"> съществувал</w:t>
      </w:r>
      <w:r w:rsidR="00E41F75">
        <w:t>и</w:t>
      </w:r>
      <w:r w:rsidR="006C2238">
        <w:t xml:space="preserve"> преди разпускането на партията. Жалбоподателите твърдят, че предишния</w:t>
      </w:r>
      <w:r w:rsidR="00E41F75">
        <w:t>т</w:t>
      </w:r>
      <w:r w:rsidR="006C2238">
        <w:t xml:space="preserve"> текст на Закон № 2820 е трябвало да се приложи по делото им и че, след като Refah е изключила своите членове, чиито изказвания са цитирани </w:t>
      </w:r>
      <w:r w:rsidR="006E241C">
        <w:t>в изложението на</w:t>
      </w:r>
      <w:r w:rsidR="006C2238">
        <w:t xml:space="preserve"> главния прокурор, Конституционният съд </w:t>
      </w:r>
      <w:r w:rsidR="006E241C">
        <w:t>е трябвало</w:t>
      </w:r>
      <w:r w:rsidR="006C2238">
        <w:t xml:space="preserve"> да прекрати производството по разпускане.</w:t>
      </w:r>
    </w:p>
    <w:p w:rsidR="00C63CF3" w:rsidRDefault="006C2238">
      <w:pPr>
        <w:pStyle w:val="JuHi"/>
      </w:pPr>
      <w:r>
        <w:t>(ii)  Правителството</w:t>
      </w:r>
    </w:p>
    <w:p w:rsidR="00C63CF3" w:rsidRDefault="00AF2D4B">
      <w:pPr>
        <w:pStyle w:val="JuPara"/>
      </w:pPr>
      <w:fldSimple w:instr=" SEQ level0 \*arabic ">
        <w:r w:rsidR="006C2238">
          <w:rPr>
            <w:noProof/>
          </w:rPr>
          <w:t>54</w:t>
        </w:r>
      </w:fldSimple>
      <w:r w:rsidR="006C2238">
        <w:t>.  Правителството отправ</w:t>
      </w:r>
      <w:r w:rsidR="006E241C">
        <w:t>я</w:t>
      </w:r>
      <w:r w:rsidR="006C2238">
        <w:t xml:space="preserve"> </w:t>
      </w:r>
      <w:r w:rsidR="006E241C">
        <w:t>искане</w:t>
      </w:r>
      <w:r w:rsidR="006C2238">
        <w:t xml:space="preserve"> към Съда да отхвърли аргументите на жалбоподателите. </w:t>
      </w:r>
      <w:r w:rsidR="006E241C">
        <w:t>Според неговото становище</w:t>
      </w:r>
      <w:r w:rsidR="006C2238">
        <w:t xml:space="preserve"> въпросната намеса е ясно предвидена в членове 68 и 69 от Конституцията, които изискват политически партии, които представляват </w:t>
      </w:r>
      <w:r w:rsidR="006E241C">
        <w:t xml:space="preserve">средища </w:t>
      </w:r>
      <w:r w:rsidR="006C2238">
        <w:t xml:space="preserve">на противоконституционни дейности в противоречие с принципите на равенство и </w:t>
      </w:r>
      <w:r w:rsidR="00C670B5">
        <w:t xml:space="preserve">по-конкретно </w:t>
      </w:r>
      <w:r w:rsidR="006C2238">
        <w:t>на светската, демократична република, да бъдат разпускани от Конституционния съд. Правителството подчерта</w:t>
      </w:r>
      <w:r w:rsidR="00C670B5">
        <w:t>ва</w:t>
      </w:r>
      <w:r w:rsidR="006C2238">
        <w:t>, че едно от условията за разпускане на политическа партия, а именно отказ</w:t>
      </w:r>
      <w:r w:rsidR="00C670B5">
        <w:t>ът</w:t>
      </w:r>
      <w:r w:rsidR="006C2238">
        <w:t xml:space="preserve"> </w:t>
      </w:r>
      <w:r w:rsidR="00C670B5">
        <w:t>ѝ</w:t>
      </w:r>
      <w:r w:rsidR="006C2238">
        <w:t xml:space="preserve"> да изключи тези нейни членове, които са били обвинени в криминални престъпления — условие, ко</w:t>
      </w:r>
      <w:r w:rsidR="00C670B5">
        <w:t>е</w:t>
      </w:r>
      <w:r w:rsidR="006C2238">
        <w:t xml:space="preserve">то е добавено от Закона за политическите партии </w:t>
      </w:r>
      <w:r w:rsidR="00C670B5">
        <w:t>към</w:t>
      </w:r>
      <w:r w:rsidR="006C2238">
        <w:t xml:space="preserve"> </w:t>
      </w:r>
      <w:r w:rsidR="00C670B5">
        <w:t>дефиницията</w:t>
      </w:r>
      <w:r w:rsidR="006C2238">
        <w:t xml:space="preserve"> на „</w:t>
      </w:r>
      <w:r w:rsidR="00C670B5">
        <w:t>средище</w:t>
      </w:r>
      <w:r w:rsidR="006C2238">
        <w:t xml:space="preserve"> на противоконституционни дейности“ — вече не е приложимо по делото поради промени в Наказателния кодекс. С други думи след отмяната на чл</w:t>
      </w:r>
      <w:r w:rsidR="00E261FF">
        <w:t>.</w:t>
      </w:r>
      <w:r w:rsidR="006C2238">
        <w:t xml:space="preserve"> 163 от Наказателния кодекс на Турция, който се отнася до разпространението на противосветски идеи и създаването на сдружения с такава цел, процедурата, заложена в чл</w:t>
      </w:r>
      <w:r w:rsidR="00E261FF">
        <w:t>.</w:t>
      </w:r>
      <w:r w:rsidR="006C2238">
        <w:t xml:space="preserve"> 103(2) от Закона за политическите партии, </w:t>
      </w:r>
      <w:r w:rsidR="00E261FF">
        <w:t>е безпредметна</w:t>
      </w:r>
      <w:r w:rsidR="006C2238">
        <w:t>. Правителството заяв</w:t>
      </w:r>
      <w:r w:rsidR="00660533">
        <w:t>ява</w:t>
      </w:r>
      <w:r w:rsidR="006C2238">
        <w:t xml:space="preserve">, че поради тази причина </w:t>
      </w:r>
      <w:r w:rsidR="00660533">
        <w:t>раздел</w:t>
      </w:r>
      <w:r w:rsidR="006C2238">
        <w:t xml:space="preserve"> 103(2) е явно противоконституционен</w:t>
      </w:r>
      <w:r w:rsidR="00660533">
        <w:t>, тъй като</w:t>
      </w:r>
      <w:r w:rsidR="006C2238">
        <w:t xml:space="preserve"> приложението му би направило невъзможно пълното прилагане на Конституцията и по-конкретно </w:t>
      </w:r>
      <w:r w:rsidR="004570F8">
        <w:t xml:space="preserve">на </w:t>
      </w:r>
      <w:r w:rsidR="006C2238">
        <w:t>чл</w:t>
      </w:r>
      <w:r w:rsidR="004570F8">
        <w:t>.</w:t>
      </w:r>
      <w:r w:rsidR="006C2238">
        <w:t xml:space="preserve"> 69 § 6 от нея, който дава на Конституционния съд </w:t>
      </w:r>
      <w:r w:rsidR="004570F8">
        <w:t xml:space="preserve">изключителното </w:t>
      </w:r>
      <w:r w:rsidR="006C2238">
        <w:t>право</w:t>
      </w:r>
      <w:r w:rsidR="004570F8">
        <w:t>мощие</w:t>
      </w:r>
      <w:r w:rsidR="006C2238">
        <w:t xml:space="preserve"> да постанови, че дадена политическа партия представлява </w:t>
      </w:r>
      <w:r w:rsidR="004570F8">
        <w:t>средище</w:t>
      </w:r>
      <w:r w:rsidR="006C2238">
        <w:t xml:space="preserve"> на противоконституционни дейности.</w:t>
      </w:r>
    </w:p>
    <w:p w:rsidR="00C63CF3" w:rsidRDefault="00AF2D4B">
      <w:pPr>
        <w:pStyle w:val="JuPara"/>
      </w:pPr>
      <w:fldSimple w:instr=" SEQ level0 \*arabic ">
        <w:r w:rsidR="006C2238">
          <w:rPr>
            <w:noProof/>
          </w:rPr>
          <w:t>55</w:t>
        </w:r>
      </w:fldSimple>
      <w:r w:rsidR="006C2238">
        <w:t>.  Освен това Правителството заяв</w:t>
      </w:r>
      <w:r w:rsidR="004570F8">
        <w:t>ява</w:t>
      </w:r>
      <w:r w:rsidR="006C2238">
        <w:t xml:space="preserve">, че решение във връзка с разглеждането на конституционалността на определено правило, което следва да се приложи в конкретен спор, не е необходимо да бъде публикувано в </w:t>
      </w:r>
      <w:r w:rsidR="004570F8">
        <w:t>Държавен</w:t>
      </w:r>
      <w:r w:rsidR="006C2238">
        <w:t xml:space="preserve"> вестник преди започване на спора, за да влезе </w:t>
      </w:r>
      <w:r w:rsidR="006C2238">
        <w:lastRenderedPageBreak/>
        <w:t xml:space="preserve">в сила. </w:t>
      </w:r>
      <w:r w:rsidR="00821255">
        <w:t>При това положение</w:t>
      </w:r>
      <w:r w:rsidR="006C2238">
        <w:t xml:space="preserve"> Конституционният съд отл</w:t>
      </w:r>
      <w:r w:rsidR="00821255">
        <w:t>ага</w:t>
      </w:r>
      <w:r w:rsidR="006C2238">
        <w:t xml:space="preserve"> производството до уреждане на въпроса с конституционалността на законодателн</w:t>
      </w:r>
      <w:r w:rsidR="00821255">
        <w:t>а</w:t>
      </w:r>
      <w:r w:rsidR="006C2238">
        <w:t xml:space="preserve"> разпоредб</w:t>
      </w:r>
      <w:r w:rsidR="00821255">
        <w:t>а</w:t>
      </w:r>
      <w:r w:rsidR="006C2238">
        <w:t>, ко</w:t>
      </w:r>
      <w:r w:rsidR="00821255">
        <w:t>я</w:t>
      </w:r>
      <w:r w:rsidR="006C2238">
        <w:t xml:space="preserve">то </w:t>
      </w:r>
      <w:r w:rsidR="00821255">
        <w:t>трябва</w:t>
      </w:r>
      <w:r w:rsidR="006C2238">
        <w:t xml:space="preserve"> да приложи. Процедурата е добре установена практика на Конституционния съд на Турция и на върховните съдилища в редица други европейски държави.</w:t>
      </w:r>
    </w:p>
    <w:p w:rsidR="00C63CF3" w:rsidRDefault="006C2238">
      <w:pPr>
        <w:pStyle w:val="JuHa0"/>
      </w:pPr>
      <w:r>
        <w:t>(б) Преценка</w:t>
      </w:r>
      <w:r w:rsidR="00821255">
        <w:t>та</w:t>
      </w:r>
      <w:r>
        <w:t xml:space="preserve"> на Съда</w:t>
      </w:r>
    </w:p>
    <w:p w:rsidR="00C63CF3" w:rsidRDefault="00AF2D4B">
      <w:pPr>
        <w:pStyle w:val="JuPara"/>
      </w:pPr>
      <w:fldSimple w:instr=" SEQ level0 \*arabic ">
        <w:r w:rsidR="006C2238">
          <w:rPr>
            <w:noProof/>
          </w:rPr>
          <w:t>56</w:t>
        </w:r>
      </w:fldSimple>
      <w:r w:rsidR="006C2238">
        <w:t>.  Съдът първо трябва да реши дали жалбоподателите са възпрепятствани да изложат този аргумент, тъй като са приели в допълнителн</w:t>
      </w:r>
      <w:r w:rsidR="00EE0437">
        <w:t>ото</w:t>
      </w:r>
      <w:r w:rsidR="006C2238">
        <w:t xml:space="preserve"> си </w:t>
      </w:r>
      <w:r w:rsidR="00EE0437">
        <w:t>становище</w:t>
      </w:r>
      <w:r w:rsidR="006C2238">
        <w:t xml:space="preserve"> </w:t>
      </w:r>
      <w:r w:rsidR="00EE0437">
        <w:t>до състава и в заседанието пред състава</w:t>
      </w:r>
      <w:r w:rsidR="006C2238">
        <w:t>, че мерките, от които се оплакват</w:t>
      </w:r>
      <w:r w:rsidR="00EE0437">
        <w:t>,</w:t>
      </w:r>
      <w:r w:rsidR="006C2238">
        <w:t xml:space="preserve"> са съобразени с вътрешното законодателство и по-конкретно с Конституцията. В своето решение </w:t>
      </w:r>
      <w:r w:rsidR="00EE0437">
        <w:t xml:space="preserve">съставът </w:t>
      </w:r>
      <w:r w:rsidR="006C2238">
        <w:t>отбеляз</w:t>
      </w:r>
      <w:r w:rsidR="000F0151">
        <w:t>в</w:t>
      </w:r>
      <w:r w:rsidR="006C2238">
        <w:t>а, че страните постига</w:t>
      </w:r>
      <w:r w:rsidR="000F0151">
        <w:t>т</w:t>
      </w:r>
      <w:r w:rsidR="006C2238">
        <w:t xml:space="preserve"> споразумение, „че въпросната намеса е „предвидена от закона“, </w:t>
      </w:r>
      <w:r w:rsidR="00325628">
        <w:t xml:space="preserve">като </w:t>
      </w:r>
      <w:r w:rsidR="006C2238">
        <w:t>мерките, наложени от Конституционния съд</w:t>
      </w:r>
      <w:r w:rsidR="00325628">
        <w:t>,</w:t>
      </w:r>
      <w:r w:rsidR="006C2238">
        <w:t xml:space="preserve"> са основани на членове 68, 69 и 84 от Конституцията и </w:t>
      </w:r>
      <w:r w:rsidR="00325628">
        <w:t xml:space="preserve">на раздели </w:t>
      </w:r>
      <w:r w:rsidR="006C2238">
        <w:t>101 и 107 от Закон № 2820 за политическите партии“.</w:t>
      </w:r>
    </w:p>
    <w:p w:rsidR="00C63CF3" w:rsidRDefault="006C2238">
      <w:pPr>
        <w:pStyle w:val="JuPara"/>
      </w:pPr>
      <w:r>
        <w:t xml:space="preserve">Въпреки това Съдът изтъква, че „делото“, отнесено до Голямата камара, обхваща по принцип всички аспекти на жалбата, разгледана преди това от </w:t>
      </w:r>
      <w:r w:rsidR="00C33400">
        <w:t xml:space="preserve">състава </w:t>
      </w:r>
      <w:r>
        <w:t xml:space="preserve">в решението </w:t>
      </w:r>
      <w:r w:rsidR="00C33400">
        <w:t>му</w:t>
      </w:r>
      <w:r>
        <w:t xml:space="preserve">, като обхвата на юрисдикцията му по „делото“ е ограничен само до решението </w:t>
      </w:r>
      <w:r w:rsidR="00574CCC">
        <w:rPr>
          <w:lang w:val="en-US"/>
        </w:rPr>
        <w:t xml:space="preserve">на състава </w:t>
      </w:r>
      <w:r>
        <w:t xml:space="preserve">за допустимост. Това не изключва възможността за отхвърляне, когато някоя от страните наруши </w:t>
      </w:r>
      <w:r w:rsidR="00574CCC">
        <w:t>добросъвестното си поведение</w:t>
      </w:r>
      <w:r>
        <w:t xml:space="preserve">, като промени радикално позицията си. Все пак това не се случва в настоящото дело, тъй като жалбоподателите представят в първоначалните си жалби основните </w:t>
      </w:r>
      <w:r w:rsidR="00C9195D">
        <w:t>си аргументации</w:t>
      </w:r>
      <w:r>
        <w:t xml:space="preserve"> по тази точка. Следователно те </w:t>
      </w:r>
      <w:r w:rsidR="00C9195D">
        <w:t>н</w:t>
      </w:r>
      <w:r>
        <w:t xml:space="preserve">е са възпрепятствани да повдигнат въпроса сега (вж., </w:t>
      </w:r>
      <w:r>
        <w:rPr>
          <w:i/>
        </w:rPr>
        <w:t>mutatis mutandis</w:t>
      </w:r>
      <w:r>
        <w:t xml:space="preserve">, </w:t>
      </w:r>
      <w:r>
        <w:rPr>
          <w:i/>
        </w:rPr>
        <w:t xml:space="preserve">K. and T. v. Finland </w:t>
      </w:r>
      <w:r>
        <w:t>[</w:t>
      </w:r>
      <w:r w:rsidR="00C9195D">
        <w:t>ГО</w:t>
      </w:r>
      <w:r>
        <w:t xml:space="preserve">], № 25702/94, §§ 139-41, ЕСПЧ 2001-VII; </w:t>
      </w:r>
      <w:r>
        <w:rPr>
          <w:i/>
        </w:rPr>
        <w:t>Kingsley v. the United Kingdom</w:t>
      </w:r>
      <w:r>
        <w:t xml:space="preserve"> [</w:t>
      </w:r>
      <w:r w:rsidR="00C9195D">
        <w:t>ГО</w:t>
      </w:r>
      <w:r>
        <w:t xml:space="preserve">], № 35605/97, § 34, ЕСПЧ 2002-IV; и </w:t>
      </w:r>
      <w:r>
        <w:rPr>
          <w:i/>
        </w:rPr>
        <w:t>Göç v. Turkey</w:t>
      </w:r>
      <w:r>
        <w:t xml:space="preserve"> [</w:t>
      </w:r>
      <w:r w:rsidR="00C9195D">
        <w:t>ГО</w:t>
      </w:r>
      <w:r>
        <w:t>], № 36590/97, §§ 35-37, ЕСПЧ 2002-V).</w:t>
      </w:r>
    </w:p>
    <w:p w:rsidR="00C63CF3" w:rsidRDefault="00AF2D4B">
      <w:pPr>
        <w:pStyle w:val="JuPara"/>
      </w:pPr>
      <w:fldSimple w:instr=" SEQ level0 \*arabic ">
        <w:r w:rsidR="006C2238">
          <w:rPr>
            <w:noProof/>
          </w:rPr>
          <w:t>57</w:t>
        </w:r>
      </w:fldSimple>
      <w:r w:rsidR="006C2238">
        <w:t>.  По отношение на достъпността на въпросните разпоредби и предвидимостта на тях</w:t>
      </w:r>
      <w:r w:rsidR="005B5451">
        <w:t>ното действие</w:t>
      </w:r>
      <w:r w:rsidR="006C2238">
        <w:t xml:space="preserve">, Съдът изтъква отново, че изразът „предвиден от закона“ изисква на първо място оспорваната мярка да бъде основана на вътрешен закон. Той се </w:t>
      </w:r>
      <w:r w:rsidR="005B5451">
        <w:t xml:space="preserve">позовава </w:t>
      </w:r>
      <w:r w:rsidR="006C2238">
        <w:t xml:space="preserve">също и </w:t>
      </w:r>
      <w:r w:rsidR="005B5451">
        <w:t>на</w:t>
      </w:r>
      <w:r w:rsidR="006C2238">
        <w:t xml:space="preserve"> качеството на въпросния закон, който трябва да бъде достъпен за съответните лица и формулиран достатъчно прецизно, да за им позволи — при необходимост с подходящи </w:t>
      </w:r>
      <w:r w:rsidR="00591419">
        <w:t>препоръки</w:t>
      </w:r>
      <w:r w:rsidR="006C2238">
        <w:t xml:space="preserve"> — да предвидят, до степен, основателна при обстоятелствата, последиците, до които </w:t>
      </w:r>
      <w:r w:rsidR="00591419">
        <w:t xml:space="preserve">може да доведе </w:t>
      </w:r>
      <w:r w:rsidR="006C2238">
        <w:t>определено действие. Опитът показва обаче, че е невъзможно да се постигне абсолютна прецизност при изготвянето на законите, особено в сфери, в които ситуацията се променя според развитието на общественото мнение. Закон, който предоставя право на преценка, не е сам по себе си несъвместим с това изискване, при условие че обхват</w:t>
      </w:r>
      <w:r w:rsidR="00E848BC">
        <w:t>ът</w:t>
      </w:r>
      <w:r w:rsidR="006C2238">
        <w:t xml:space="preserve"> на преценката и начинът, по който е направена, са достатъчно ясни, </w:t>
      </w:r>
      <w:r w:rsidR="00E848BC">
        <w:t xml:space="preserve">като </w:t>
      </w:r>
      <w:r w:rsidR="00E848BC">
        <w:lastRenderedPageBreak/>
        <w:t>се има</w:t>
      </w:r>
      <w:r w:rsidR="006C2238">
        <w:t xml:space="preserve"> предвид въпросната законна цел, за да се гарантира адекватна индивидуална закрила срещу произволна намеса (вж. </w:t>
      </w:r>
      <w:r w:rsidR="006C2238">
        <w:rPr>
          <w:i/>
        </w:rPr>
        <w:t>Müller and Others v. Switzerland</w:t>
      </w:r>
      <w:r w:rsidR="006C2238">
        <w:t>,</w:t>
      </w:r>
      <w:r w:rsidR="006C2238">
        <w:rPr>
          <w:i/>
        </w:rPr>
        <w:t xml:space="preserve"> </w:t>
      </w:r>
      <w:r w:rsidR="006C2238">
        <w:t>решение от 24 май 1988 г.</w:t>
      </w:r>
      <w:r w:rsidR="006C2238">
        <w:rPr>
          <w:i/>
        </w:rPr>
        <w:t xml:space="preserve">, </w:t>
      </w:r>
      <w:r w:rsidR="006C2238">
        <w:t xml:space="preserve">Серия A № 133, стр. 20, § 29; </w:t>
      </w:r>
      <w:r w:rsidR="006C2238">
        <w:rPr>
          <w:i/>
        </w:rPr>
        <w:t>Ezelin v. France</w:t>
      </w:r>
      <w:r w:rsidR="006C2238">
        <w:t xml:space="preserve">, решение от 26 април 1991 г., Серия A № 202, страници 21-22, § 45; и </w:t>
      </w:r>
      <w:r w:rsidR="006C2238">
        <w:rPr>
          <w:i/>
        </w:rPr>
        <w:t>Margareta and Roger Andersson v. Sweden</w:t>
      </w:r>
      <w:r w:rsidR="006C2238">
        <w:t>, решение от 25 февруари 1992 г., Серия A № 226-A, стр. 25, § 75). Съдът приема също, че нивото на прецизност, изисквано от вътрешното законодателство — което не може в никакъв случай да предви</w:t>
      </w:r>
      <w:r w:rsidR="004449ED">
        <w:t>ди</w:t>
      </w:r>
      <w:r w:rsidR="006C2238">
        <w:t xml:space="preserve"> всяка възможност — зависи до голяма степен от съдържанието на въпросния инструмент, сферата, която трябва да обхваща</w:t>
      </w:r>
      <w:r w:rsidR="004449ED">
        <w:t>,</w:t>
      </w:r>
      <w:r w:rsidR="006C2238">
        <w:t xml:space="preserve"> и статута на тези, за които е предназначен. Освен това на първо място националните власти следва да тълкуват и прилагат вътрешното </w:t>
      </w:r>
      <w:r w:rsidR="004449ED">
        <w:t xml:space="preserve">право </w:t>
      </w:r>
      <w:r w:rsidR="006C2238">
        <w:t xml:space="preserve">(вж. </w:t>
      </w:r>
      <w:r w:rsidR="006C2238">
        <w:rPr>
          <w:i/>
        </w:rPr>
        <w:t>Vogt v. Germany</w:t>
      </w:r>
      <w:r w:rsidR="006C2238">
        <w:t>, 26 септември 1995 г., Серия A № 323, стр. 24, § 48).</w:t>
      </w:r>
    </w:p>
    <w:p w:rsidR="00C63CF3" w:rsidRDefault="00AF2D4B">
      <w:pPr>
        <w:pStyle w:val="JuPara"/>
      </w:pPr>
      <w:fldSimple w:instr=" SEQ level0 \*arabic ">
        <w:r w:rsidR="006C2238">
          <w:rPr>
            <w:noProof/>
          </w:rPr>
          <w:t>58</w:t>
        </w:r>
      </w:fldSimple>
      <w:r w:rsidR="006C2238">
        <w:t xml:space="preserve">.  В настоящия случай Съдът отбелязва, че полемиката съгласно вътрешното законодателство се отнася до конституционалността на дейностите на политическа партия и попада под юрисдикцията на Конституционния съд. Писменото законодателство, което е най-близо до въпроса дали намесата е „предвидена </w:t>
      </w:r>
      <w:r w:rsidR="00277C18">
        <w:t>в</w:t>
      </w:r>
      <w:r w:rsidR="006C2238">
        <w:t xml:space="preserve"> закон</w:t>
      </w:r>
      <w:r w:rsidR="00277C18">
        <w:t>а</w:t>
      </w:r>
      <w:r w:rsidR="006C2238">
        <w:t>“, е Конституцията на Турция.</w:t>
      </w:r>
    </w:p>
    <w:p w:rsidR="00C63CF3" w:rsidRDefault="00AF2D4B">
      <w:pPr>
        <w:pStyle w:val="JuPara"/>
      </w:pPr>
      <w:fldSimple w:instr=" SEQ level0 \*arabic ">
        <w:r w:rsidR="006C2238">
          <w:rPr>
            <w:noProof/>
          </w:rPr>
          <w:t>59</w:t>
        </w:r>
      </w:fldSimple>
      <w:r w:rsidR="006C2238">
        <w:t xml:space="preserve">.  Страните не оспорват, че дейности, които противоречат на принципите на равнопоставеност и зачитане на демократичната и светска република, са </w:t>
      </w:r>
      <w:r w:rsidR="00277C18">
        <w:t>не</w:t>
      </w:r>
      <w:r w:rsidR="006C2238">
        <w:t>съмнено противоконституционни съгласно чл</w:t>
      </w:r>
      <w:r w:rsidR="00277C18">
        <w:t>.</w:t>
      </w:r>
      <w:r w:rsidR="006C2238">
        <w:t xml:space="preserve"> 68 от Конституцията. </w:t>
      </w:r>
      <w:r w:rsidR="00277C18">
        <w:t>Те не</w:t>
      </w:r>
      <w:r w:rsidR="006C2238">
        <w:t xml:space="preserve"> отричат</w:t>
      </w:r>
      <w:r w:rsidR="00277C18">
        <w:t xml:space="preserve"> също</w:t>
      </w:r>
      <w:r w:rsidR="006C2238">
        <w:t xml:space="preserve">, че Конституционният съд е единствено компетентен, по искане на главния прокурор, да разпусне политическа партия, която се е превърнала в </w:t>
      </w:r>
      <w:r w:rsidR="00FE3881">
        <w:t>средище</w:t>
      </w:r>
      <w:r w:rsidR="006C2238">
        <w:t xml:space="preserve"> на дейности, които противоречат на чл</w:t>
      </w:r>
      <w:r w:rsidR="00FE3881">
        <w:t>.</w:t>
      </w:r>
      <w:r w:rsidR="006C2238">
        <w:t xml:space="preserve"> 68 от Конституцията. Освен това чл</w:t>
      </w:r>
      <w:r w:rsidR="00FE3881">
        <w:t>.</w:t>
      </w:r>
      <w:r w:rsidR="006C2238">
        <w:t xml:space="preserve"> 69 от Конституцията (изменен през 1995 г.) изрично потвърждава, че </w:t>
      </w:r>
      <w:r w:rsidR="00FE3881">
        <w:t xml:space="preserve">само </w:t>
      </w:r>
      <w:r w:rsidR="006C2238">
        <w:t xml:space="preserve">Конституционният съд има право да определи дали </w:t>
      </w:r>
      <w:r w:rsidR="00FE3881">
        <w:t xml:space="preserve">дадена </w:t>
      </w:r>
      <w:r w:rsidR="006C2238">
        <w:t xml:space="preserve">политическа партия представлява </w:t>
      </w:r>
      <w:r w:rsidR="00D95721">
        <w:t xml:space="preserve">средище </w:t>
      </w:r>
      <w:r w:rsidR="006C2238">
        <w:t>на противоконституционни дейности. Съдът отбеляз</w:t>
      </w:r>
      <w:r w:rsidR="00D95721">
        <w:t>в</w:t>
      </w:r>
      <w:r w:rsidR="006C2238">
        <w:t>а, че народни представители от Refah са участвали в работата на въпросната парламентарна комисия и обсъжданията във Великото народно събрание относно промените в Конституцията от 1995 г. (вж. параграф 11 по-горе).</w:t>
      </w:r>
    </w:p>
    <w:p w:rsidR="00C63CF3" w:rsidRDefault="00AF2D4B">
      <w:pPr>
        <w:pStyle w:val="JuPara"/>
      </w:pPr>
      <w:fldSimple w:instr=" SEQ level0 \*arabic ">
        <w:r w:rsidR="006C2238">
          <w:rPr>
            <w:noProof/>
          </w:rPr>
          <w:t>60</w:t>
        </w:r>
      </w:fldSimple>
      <w:r w:rsidR="006C2238">
        <w:t xml:space="preserve">.  Освен това фактът, че на 12 април 1991 г. дейности, които противоречат на светския принцип, престават </w:t>
      </w:r>
      <w:r w:rsidR="00D95721">
        <w:t xml:space="preserve">да подлежат на </w:t>
      </w:r>
      <w:r w:rsidR="006C2238">
        <w:t>наказ</w:t>
      </w:r>
      <w:r w:rsidR="00D95721">
        <w:t>ателни санкции</w:t>
      </w:r>
      <w:r w:rsidR="006C2238">
        <w:t xml:space="preserve"> не е оспорен от страните. Съдът отбеляз</w:t>
      </w:r>
      <w:r w:rsidR="00E3678A">
        <w:t>в</w:t>
      </w:r>
      <w:r w:rsidR="006C2238">
        <w:t xml:space="preserve">а, че, както Конституционният съд на Турция обяснява в решението си от 9 януари 1998 г., това води до разделение между Закона за политическите партии и Конституцията във връзка с разпоредбата на </w:t>
      </w:r>
      <w:r w:rsidR="00E3678A">
        <w:t>раздел</w:t>
      </w:r>
      <w:r w:rsidR="006C2238">
        <w:t xml:space="preserve"> 103(2) от въпросния закон, според ко</w:t>
      </w:r>
      <w:r w:rsidR="00E3678A">
        <w:t>я</w:t>
      </w:r>
      <w:r w:rsidR="006C2238">
        <w:t>то за да представлява съответната партия „</w:t>
      </w:r>
      <w:r w:rsidR="00E3678A">
        <w:t xml:space="preserve">средище </w:t>
      </w:r>
      <w:r w:rsidR="006C2238">
        <w:t xml:space="preserve">на противоконституционни дейности“, тя трябва да е отказала да изключи тези свои членове, които са били обвинени в криминални престъпления, което заедно с измененията в Наказателния кодекс от 12 април 1991 г. е </w:t>
      </w:r>
      <w:r w:rsidR="0023424E">
        <w:t>лишило от съдържание</w:t>
      </w:r>
      <w:r w:rsidR="006C2238">
        <w:t xml:space="preserve"> правомощията на </w:t>
      </w:r>
      <w:r w:rsidR="006C2238">
        <w:lastRenderedPageBreak/>
        <w:t xml:space="preserve">Конституционния съд да разпуска политически партии, които представляват </w:t>
      </w:r>
      <w:r w:rsidR="0023424E">
        <w:t xml:space="preserve">средища </w:t>
      </w:r>
      <w:r w:rsidR="006C2238">
        <w:t xml:space="preserve">на дейности против светските принципи, </w:t>
      </w:r>
      <w:r w:rsidR="0023424E">
        <w:t>въпреки че</w:t>
      </w:r>
      <w:r w:rsidR="006C2238">
        <w:t xml:space="preserve"> тези правомощия са ясно предоставени от членове 68 § 4, 69 §§ 4 и 6 от Конституцията.</w:t>
      </w:r>
    </w:p>
    <w:p w:rsidR="00C63CF3" w:rsidRDefault="00AF2D4B">
      <w:pPr>
        <w:pStyle w:val="JuPara"/>
      </w:pPr>
      <w:fldSimple w:instr=" SEQ level0 \*arabic ">
        <w:r w:rsidR="006C2238">
          <w:rPr>
            <w:noProof/>
          </w:rPr>
          <w:t>61</w:t>
        </w:r>
      </w:fldSimple>
      <w:r w:rsidR="006C2238">
        <w:t xml:space="preserve">.  Остава да се определи дали жалбоподателите са били наясно с възможността за пряко приложение на Конституцията в техния случай и </w:t>
      </w:r>
      <w:r w:rsidR="000064C1">
        <w:t>дали по този начин</w:t>
      </w:r>
      <w:r w:rsidR="006C2238">
        <w:t xml:space="preserve"> са </w:t>
      </w:r>
      <w:r w:rsidR="000064C1">
        <w:t>можели</w:t>
      </w:r>
      <w:r w:rsidR="006C2238">
        <w:t xml:space="preserve"> да предвидят рисковете, произтичащи от противосветските дейности на партията им или от отказа им да се разграничат от подобен род дейности, без да се следва процедурата, заложена в </w:t>
      </w:r>
      <w:r w:rsidR="00A71E8F">
        <w:t>раздел</w:t>
      </w:r>
      <w:r w:rsidR="006C2238">
        <w:t xml:space="preserve"> 103(2) от Закона за политическите партии.</w:t>
      </w:r>
    </w:p>
    <w:p w:rsidR="00C63CF3" w:rsidRDefault="006C2238">
      <w:pPr>
        <w:pStyle w:val="JuPara"/>
      </w:pPr>
      <w:r>
        <w:t xml:space="preserve">За да отговори на този въпрос, Съдът първо трябва да разгледа </w:t>
      </w:r>
      <w:r w:rsidR="00A71E8F">
        <w:t xml:space="preserve">приложимите особености </w:t>
      </w:r>
      <w:r>
        <w:t xml:space="preserve">на правната рамка, </w:t>
      </w:r>
      <w:r w:rsidR="00A71E8F">
        <w:t xml:space="preserve">на фона на </w:t>
      </w:r>
      <w:r>
        <w:t xml:space="preserve">която са </w:t>
      </w:r>
      <w:r w:rsidR="00A71E8F">
        <w:t xml:space="preserve">се случили </w:t>
      </w:r>
      <w:r>
        <w:t xml:space="preserve">фактите по делото, </w:t>
      </w:r>
      <w:r w:rsidR="00A71E8F">
        <w:t xml:space="preserve">посочена в </w:t>
      </w:r>
      <w:r>
        <w:t>решението на Конституционния съд на Турция и неоспорен</w:t>
      </w:r>
      <w:r w:rsidR="00A71E8F">
        <w:t>а</w:t>
      </w:r>
      <w:r>
        <w:t xml:space="preserve"> от страните. Конституцията на Турция не може да бъде променяна с обикновено законодателство и има превес над </w:t>
      </w:r>
      <w:r w:rsidR="00B449A4">
        <w:t>статутното право</w:t>
      </w:r>
      <w:r>
        <w:t>; конфликти между разпоредбите на Конституцията и тези на обикновеното законодателство се решават в полза на Конституцията. Освен това Конституционният съд има правото и задължението да разгле</w:t>
      </w:r>
      <w:r w:rsidR="00B449A4">
        <w:t>ж</w:t>
      </w:r>
      <w:r>
        <w:t xml:space="preserve">да конституционалността на законодателството. Когато в конкретен случай е налице противоречие между разпоредбите на приложимото </w:t>
      </w:r>
      <w:r w:rsidR="00B449A4">
        <w:t xml:space="preserve">статутно </w:t>
      </w:r>
      <w:r>
        <w:t>право и тези на Конституцията, какъвто е настоящият</w:t>
      </w:r>
      <w:r w:rsidR="00B449A4">
        <w:t xml:space="preserve"> случай</w:t>
      </w:r>
      <w:r>
        <w:t xml:space="preserve">, Конституционният съд има ясното изискване да даде превес на разпоредбите на Конституцията, </w:t>
      </w:r>
      <w:r w:rsidR="00B449A4">
        <w:t xml:space="preserve">като </w:t>
      </w:r>
      <w:r>
        <w:t>пренебрег</w:t>
      </w:r>
      <w:r w:rsidR="00B449A4">
        <w:t>не</w:t>
      </w:r>
      <w:r>
        <w:t xml:space="preserve"> противоконституционните разпоредбите на съответното законодателство.</w:t>
      </w:r>
    </w:p>
    <w:p w:rsidR="00C63CF3" w:rsidRDefault="00AF2D4B">
      <w:pPr>
        <w:pStyle w:val="JuPara"/>
      </w:pPr>
      <w:fldSimple w:instr=" SEQ level0 \*arabic ">
        <w:r w:rsidR="006C2238">
          <w:rPr>
            <w:noProof/>
          </w:rPr>
          <w:t>62</w:t>
        </w:r>
      </w:fldSimple>
      <w:r w:rsidR="006C2238">
        <w:t xml:space="preserve">.  След това Съдът взема предвид статута на жалбоподателите като лица, към които са насочени съответните правни инструменти. Refah е голяма политическа партия, която има юридически </w:t>
      </w:r>
      <w:r w:rsidR="00722826">
        <w:t>съветници</w:t>
      </w:r>
      <w:r w:rsidR="006C2238">
        <w:t xml:space="preserve">, запознати с конституционното право и правилата за политическите партии. Г-н Necmettin Erbakan, г-н Şevket Kazan и г-н Ahmet Tekdal също са политици с опит. Като членове на парламента на Турция, те са вземали участие в парламентарни обсъждания и процедури във връзка с промени в Конституцията, по време на които </w:t>
      </w:r>
      <w:r w:rsidR="00B57088">
        <w:t>са</w:t>
      </w:r>
      <w:r w:rsidR="006C2238">
        <w:t xml:space="preserve"> засегнат</w:t>
      </w:r>
      <w:r w:rsidR="00B57088">
        <w:t>и</w:t>
      </w:r>
      <w:r w:rsidR="006C2238">
        <w:t xml:space="preserve"> право</w:t>
      </w:r>
      <w:r w:rsidR="00B57088">
        <w:t>мощие</w:t>
      </w:r>
      <w:r w:rsidR="006C2238">
        <w:t xml:space="preserve">то на Конституционния съд да постановява, че дадена партия се е превърнала в </w:t>
      </w:r>
      <w:r w:rsidR="00B57088">
        <w:t xml:space="preserve">средище </w:t>
      </w:r>
      <w:r w:rsidR="006C2238">
        <w:t>на противоконституционни дейности и различията между новия текст на Конституцията и Закон № 2820. Освен това</w:t>
      </w:r>
      <w:r w:rsidR="00B57088">
        <w:t xml:space="preserve"> </w:t>
      </w:r>
      <w:r w:rsidR="006C2238">
        <w:t>г-н Şevket Kazan и г-н Ahmet Tekdal са юристи по професия (вж. параграфи 10-11 по-горе)</w:t>
      </w:r>
    </w:p>
    <w:p w:rsidR="00C63CF3" w:rsidRDefault="00AF2D4B">
      <w:pPr>
        <w:pStyle w:val="JuPara"/>
      </w:pPr>
      <w:fldSimple w:instr=" SEQ level0 \*arabic ">
        <w:r w:rsidR="006C2238">
          <w:rPr>
            <w:noProof/>
          </w:rPr>
          <w:t>63</w:t>
        </w:r>
      </w:fldSimple>
      <w:r w:rsidR="006C2238">
        <w:t>.  При тези обстоятелства Съдът счита, че жалбоподателите основателно са могли да предвидят, че по</w:t>
      </w:r>
      <w:r w:rsidR="00B57088">
        <w:t>ем</w:t>
      </w:r>
      <w:r w:rsidR="006C2238">
        <w:t xml:space="preserve">ат риск от производство за разпускане на Refah, в случай че ръководителите и членовете на партията участват в дейности, които противоречат на светските принципи, както и че фактът, че мерките, заложени в </w:t>
      </w:r>
      <w:r w:rsidR="00EB52F4">
        <w:t>раздел</w:t>
      </w:r>
      <w:r w:rsidR="006C2238">
        <w:t xml:space="preserve"> 103(2) от Закон № 2820 не са предприети, поради неприложимост в резултат на </w:t>
      </w:r>
      <w:r w:rsidR="006C2238">
        <w:lastRenderedPageBreak/>
        <w:t xml:space="preserve">промените в Наказателния кодекс от 1991 г. по отношение на дейностите, които противоречат на светските принципи, не </w:t>
      </w:r>
      <w:r w:rsidR="00EB52F4">
        <w:t>може</w:t>
      </w:r>
      <w:r w:rsidR="006C2238">
        <w:t xml:space="preserve"> да предотврат</w:t>
      </w:r>
      <w:r w:rsidR="00EB52F4">
        <w:t>и</w:t>
      </w:r>
      <w:r w:rsidR="006C2238">
        <w:t xml:space="preserve"> изпълнението на процедурата по разпускане, наложена от Конституцията на Турция.</w:t>
      </w:r>
    </w:p>
    <w:p w:rsidR="00C63CF3" w:rsidRDefault="00AF2D4B">
      <w:pPr>
        <w:pStyle w:val="JuPara"/>
      </w:pPr>
      <w:fldSimple w:instr=" SEQ level0 \*arabic ">
        <w:r w:rsidR="006C2238">
          <w:rPr>
            <w:noProof/>
          </w:rPr>
          <w:t>64</w:t>
        </w:r>
      </w:fldSimple>
      <w:r w:rsidR="006C2238">
        <w:t>.  </w:t>
      </w:r>
      <w:r w:rsidR="00EB52F4">
        <w:t>Следователно</w:t>
      </w:r>
      <w:r w:rsidR="006C2238">
        <w:t xml:space="preserve"> намесата е „предвидена по закон“.</w:t>
      </w:r>
    </w:p>
    <w:p w:rsidR="00C63CF3" w:rsidRDefault="006C2238">
      <w:pPr>
        <w:pStyle w:val="JuH1"/>
        <w:rPr>
          <w:i w:val="0"/>
        </w:rPr>
      </w:pPr>
      <w:r>
        <w:t>2.  Законна цел</w:t>
      </w:r>
    </w:p>
    <w:p w:rsidR="00C63CF3" w:rsidRDefault="00AF2D4B">
      <w:pPr>
        <w:pStyle w:val="JuPara"/>
      </w:pPr>
      <w:fldSimple w:instr=" SEQ level0 \*arabic ">
        <w:r w:rsidR="006C2238">
          <w:rPr>
            <w:noProof/>
          </w:rPr>
          <w:t>65</w:t>
        </w:r>
      </w:fldSimple>
      <w:r w:rsidR="006C2238">
        <w:t>.  Правителството заяв</w:t>
      </w:r>
      <w:r w:rsidR="004B2EE1">
        <w:t>ява</w:t>
      </w:r>
      <w:r w:rsidR="006C2238">
        <w:t>, че въпросната намеса има няколко законни цели, а именно за</w:t>
      </w:r>
      <w:r w:rsidR="004B2EE1">
        <w:t>щит</w:t>
      </w:r>
      <w:r w:rsidR="006C2238">
        <w:t>а на обществената безопасност, националната сигурност и правата и свободите на другите, както и предотвратяването на престъпления.</w:t>
      </w:r>
    </w:p>
    <w:p w:rsidR="00C63CF3" w:rsidRDefault="00AF2D4B">
      <w:pPr>
        <w:pStyle w:val="JuPara"/>
      </w:pPr>
      <w:fldSimple w:instr=" SEQ level0 \*arabic ">
        <w:r w:rsidR="006C2238">
          <w:rPr>
            <w:noProof/>
          </w:rPr>
          <w:t>66</w:t>
        </w:r>
      </w:fldSimple>
      <w:r w:rsidR="006C2238">
        <w:t>.  Жалбоподателите прие</w:t>
      </w:r>
      <w:r w:rsidR="004B2EE1">
        <w:t>мат</w:t>
      </w:r>
      <w:r w:rsidR="006C2238">
        <w:t xml:space="preserve"> по принцип, че за</w:t>
      </w:r>
      <w:r w:rsidR="004B2EE1">
        <w:t>щит</w:t>
      </w:r>
      <w:r w:rsidR="006C2238">
        <w:t>ата на обществената безопасност и правата и свободите на другите, както и предотвратяването на престъпления може да зависи от за</w:t>
      </w:r>
      <w:r w:rsidR="004B2EE1">
        <w:t>щитата</w:t>
      </w:r>
      <w:r w:rsidR="006C2238">
        <w:t xml:space="preserve"> на принципа на светската държава. Въпреки това </w:t>
      </w:r>
      <w:r w:rsidR="005445F3">
        <w:t>т</w:t>
      </w:r>
      <w:r w:rsidR="006C2238">
        <w:t>е заяв</w:t>
      </w:r>
      <w:r w:rsidR="005445F3">
        <w:t>яват</w:t>
      </w:r>
      <w:r w:rsidR="006C2238">
        <w:t xml:space="preserve">, че с пледирането на тези цели Правителството се опитва да прикрие основните причини, довели до разпускането на Refah. В действителност </w:t>
      </w:r>
      <w:r w:rsidR="005445F3">
        <w:t xml:space="preserve">според тях </w:t>
      </w:r>
      <w:r w:rsidR="006C2238">
        <w:t xml:space="preserve">това е била целта на </w:t>
      </w:r>
      <w:r w:rsidR="005445F3">
        <w:t xml:space="preserve">големи </w:t>
      </w:r>
      <w:r w:rsidR="006C2238">
        <w:t>търговски концерни и военните, чиито интереси са били застрашени от икономическата политика на Refah, която включва намаляване на националния дълг до нула.</w:t>
      </w:r>
    </w:p>
    <w:p w:rsidR="00C63CF3" w:rsidRDefault="00AF2D4B">
      <w:pPr>
        <w:pStyle w:val="JuPara"/>
      </w:pPr>
      <w:fldSimple w:instr=" SEQ level0 \*arabic ">
        <w:r w:rsidR="006C2238">
          <w:rPr>
            <w:noProof/>
          </w:rPr>
          <w:t>67</w:t>
        </w:r>
      </w:fldSimple>
      <w:r w:rsidR="006C2238">
        <w:t xml:space="preserve">.  Съдът счита, че жалбоподателите не са представили достатъчно доказателства за </w:t>
      </w:r>
      <w:r w:rsidR="008A0D80">
        <w:t>това</w:t>
      </w:r>
      <w:r w:rsidR="006C2238">
        <w:t xml:space="preserve">, че Refah е разпусната поради причини, различни от цитираните от Конституционния съд. </w:t>
      </w:r>
      <w:r w:rsidR="008A0D80">
        <w:t>Като има</w:t>
      </w:r>
      <w:r w:rsidR="006C2238">
        <w:t xml:space="preserve"> предвид </w:t>
      </w:r>
      <w:r w:rsidR="008A0D80">
        <w:t xml:space="preserve">значението </w:t>
      </w:r>
      <w:r w:rsidR="006C2238">
        <w:t>на принципа на светската държава за демократичната система в Турция, Съдът счита, че разпускането на Refah има няколко законни цели, изброени в чл</w:t>
      </w:r>
      <w:r w:rsidR="008A0D80">
        <w:t>.</w:t>
      </w:r>
      <w:r w:rsidR="006C2238">
        <w:t xml:space="preserve"> 11, а именно за</w:t>
      </w:r>
      <w:r w:rsidR="008A0D80">
        <w:t>щита</w:t>
      </w:r>
      <w:r w:rsidR="006C2238">
        <w:t xml:space="preserve"> на националната сигурност и обществената безопасност, предотвратяване на безредици или престъпления, както и закрила на правата и свободите на другите.</w:t>
      </w:r>
    </w:p>
    <w:p w:rsidR="00C63CF3" w:rsidRDefault="006C2238">
      <w:pPr>
        <w:pStyle w:val="JuH1"/>
      </w:pPr>
      <w:r>
        <w:t xml:space="preserve">3.  „Необходима </w:t>
      </w:r>
      <w:r w:rsidR="008A0D80">
        <w:t>в едно</w:t>
      </w:r>
      <w:r>
        <w:t xml:space="preserve"> демократично общество“</w:t>
      </w:r>
    </w:p>
    <w:p w:rsidR="00C63CF3" w:rsidRDefault="006C2238">
      <w:pPr>
        <w:pStyle w:val="JuHa0"/>
      </w:pPr>
      <w:r>
        <w:t>(а)</w:t>
      </w:r>
      <w:r>
        <w:tab/>
        <w:t>Аргументи на страните</w:t>
      </w:r>
    </w:p>
    <w:p w:rsidR="00C63CF3" w:rsidRDefault="006C2238">
      <w:pPr>
        <w:pStyle w:val="JuHi"/>
      </w:pPr>
      <w:r>
        <w:t>(i)  Жалбоподателите</w:t>
      </w:r>
    </w:p>
    <w:p w:rsidR="00C63CF3" w:rsidRDefault="00AF2D4B">
      <w:pPr>
        <w:pStyle w:val="JuPara"/>
      </w:pPr>
      <w:fldSimple w:instr=" SEQ level0 \*arabic ">
        <w:r w:rsidR="006C2238">
          <w:rPr>
            <w:noProof/>
          </w:rPr>
          <w:t>68</w:t>
        </w:r>
      </w:fldSimple>
      <w:r w:rsidR="006C2238">
        <w:t>.  На първо място жалбоподателите заяв</w:t>
      </w:r>
      <w:r w:rsidR="00A56619">
        <w:t>яват</w:t>
      </w:r>
      <w:r w:rsidR="006C2238">
        <w:t xml:space="preserve">, че критиките, отправени към Refah въз основа на изказвания, направени преди няколко години, не са достатъчни </w:t>
      </w:r>
      <w:r w:rsidR="00A56619">
        <w:t>д</w:t>
      </w:r>
      <w:r w:rsidR="006C2238">
        <w:t>а дока</w:t>
      </w:r>
      <w:r w:rsidR="00A56619">
        <w:t>жат</w:t>
      </w:r>
      <w:r w:rsidR="006C2238">
        <w:t xml:space="preserve">, че партията представлява заплаха за секуларизма и демокрацията в Турция по времето, когато е образувано производството за разпускането </w:t>
      </w:r>
      <w:r w:rsidR="00A56619">
        <w:t>ѝ</w:t>
      </w:r>
      <w:r w:rsidR="006C2238">
        <w:t>.</w:t>
      </w:r>
    </w:p>
    <w:p w:rsidR="00C63CF3" w:rsidRDefault="00AF2D4B">
      <w:pPr>
        <w:pStyle w:val="JuPara"/>
      </w:pPr>
      <w:fldSimple w:instr=" SEQ level0 \*arabic ">
        <w:r w:rsidR="006C2238">
          <w:rPr>
            <w:noProof/>
          </w:rPr>
          <w:t>69</w:t>
        </w:r>
      </w:fldSimple>
      <w:r w:rsidR="006C2238">
        <w:t>.  Освен това те заяв</w:t>
      </w:r>
      <w:r w:rsidR="00A56619">
        <w:t>яват</w:t>
      </w:r>
      <w:r w:rsidR="006C2238">
        <w:t>, че Refah е дошла на власт тринадесет години след основаването</w:t>
      </w:r>
      <w:r w:rsidR="00A56619">
        <w:t xml:space="preserve"> си</w:t>
      </w:r>
      <w:r w:rsidR="006C2238">
        <w:t xml:space="preserve">. С милионите си членове тя има дългогодишен политически опит и е поела редица отговорности в местната и централната власт. За да определи дали е необходимо разпускането на партията, Съдът следва да </w:t>
      </w:r>
      <w:r w:rsidR="00C72871">
        <w:t>направи</w:t>
      </w:r>
      <w:r w:rsidR="006C2238">
        <w:t xml:space="preserve"> </w:t>
      </w:r>
      <w:r w:rsidR="00C72871">
        <w:t>о</w:t>
      </w:r>
      <w:r w:rsidR="006C2238">
        <w:t xml:space="preserve">ценка на всички </w:t>
      </w:r>
      <w:r w:rsidR="006C2238">
        <w:lastRenderedPageBreak/>
        <w:t>фактори, довели до решението</w:t>
      </w:r>
      <w:r w:rsidR="00C72871">
        <w:t>,</w:t>
      </w:r>
      <w:r w:rsidR="006C2238">
        <w:t xml:space="preserve"> и </w:t>
      </w:r>
      <w:r w:rsidR="00C72871">
        <w:t xml:space="preserve">на </w:t>
      </w:r>
      <w:r w:rsidR="006C2238">
        <w:t xml:space="preserve">всички дейности на партията от създаването </w:t>
      </w:r>
      <w:r w:rsidR="00C72871">
        <w:t>ѝ</w:t>
      </w:r>
      <w:r w:rsidR="006C2238">
        <w:t>.</w:t>
      </w:r>
    </w:p>
    <w:p w:rsidR="00C63CF3" w:rsidRDefault="00AF2D4B">
      <w:pPr>
        <w:pStyle w:val="JuPara"/>
      </w:pPr>
      <w:fldSimple w:instr=" SEQ level0 \*arabic ">
        <w:r w:rsidR="006C2238">
          <w:rPr>
            <w:noProof/>
          </w:rPr>
          <w:t>70</w:t>
        </w:r>
      </w:fldSimple>
      <w:r w:rsidR="006C2238">
        <w:t>.  </w:t>
      </w:r>
      <w:r w:rsidR="00C72871">
        <w:t>Ж</w:t>
      </w:r>
      <w:r w:rsidR="006C2238">
        <w:t>албоподателите подчерта</w:t>
      </w:r>
      <w:r w:rsidR="00C72871">
        <w:t>ват и</w:t>
      </w:r>
      <w:r w:rsidR="006C2238">
        <w:t xml:space="preserve"> факта, че Refah е била на власт една година</w:t>
      </w:r>
      <w:r w:rsidR="00C72871">
        <w:t xml:space="preserve"> –</w:t>
      </w:r>
      <w:r w:rsidR="006C2238">
        <w:t xml:space="preserve"> от юни 1996 г. до юли 1997 г.</w:t>
      </w:r>
      <w:r w:rsidR="00C72871">
        <w:t xml:space="preserve"> – </w:t>
      </w:r>
      <w:r w:rsidR="006C2238">
        <w:t xml:space="preserve">през който период тя е могла да внесе проект за законодателство за въвеждане на режим, основан на ислямските закони. Но </w:t>
      </w:r>
      <w:r w:rsidR="00DA6040">
        <w:t>не е направила такова нещо</w:t>
      </w:r>
      <w:r w:rsidR="006C2238">
        <w:t>. Жалбоподателите заяв</w:t>
      </w:r>
      <w:r w:rsidR="00DA6040">
        <w:t>яв</w:t>
      </w:r>
      <w:r w:rsidR="006C2238">
        <w:t>а</w:t>
      </w:r>
      <w:r w:rsidR="00DA6040">
        <w:t>т</w:t>
      </w:r>
      <w:r w:rsidR="006C2238">
        <w:t>, че „строг“ европейск</w:t>
      </w:r>
      <w:r w:rsidR="00DA6040">
        <w:t>и</w:t>
      </w:r>
      <w:r w:rsidR="006C2238">
        <w:t xml:space="preserve"> </w:t>
      </w:r>
      <w:r w:rsidR="00DA6040">
        <w:t>надзор</w:t>
      </w:r>
      <w:r w:rsidR="006C2238">
        <w:t xml:space="preserve"> от страна на Съда </w:t>
      </w:r>
      <w:r w:rsidR="00DA6040">
        <w:t>е щял да покаже</w:t>
      </w:r>
      <w:r w:rsidR="006C2238">
        <w:t>, че Refah е спазвала демократичните принципи</w:t>
      </w:r>
    </w:p>
    <w:p w:rsidR="00C63CF3" w:rsidRDefault="00AF2D4B">
      <w:pPr>
        <w:pStyle w:val="JuPara"/>
      </w:pPr>
      <w:fldSimple w:instr=" SEQ level0 \*arabic ">
        <w:r w:rsidR="006C2238">
          <w:rPr>
            <w:noProof/>
          </w:rPr>
          <w:t>71</w:t>
        </w:r>
      </w:fldSimple>
      <w:r w:rsidR="006C2238">
        <w:t xml:space="preserve">.  Във връзка с </w:t>
      </w:r>
      <w:r w:rsidR="00155F5A">
        <w:t>приписа</w:t>
      </w:r>
      <w:r w:rsidR="006C2238">
        <w:t>н</w:t>
      </w:r>
      <w:r w:rsidR="00155F5A">
        <w:t>ите</w:t>
      </w:r>
      <w:r w:rsidR="006C2238">
        <w:t xml:space="preserve"> </w:t>
      </w:r>
      <w:r w:rsidR="00155F5A">
        <w:t>на</w:t>
      </w:r>
      <w:r w:rsidR="006C2238">
        <w:t xml:space="preserve"> Refah изявления и постъпки, цитирани в решението за разпускане, жалбоподателите твърдят, че поради факта, че тези постъпки и изказвания са на членове, които са изключени от партията, Refah не може да носи отговорност за т</w:t>
      </w:r>
      <w:r w:rsidR="00155F5A">
        <w:t>ях</w:t>
      </w:r>
      <w:r w:rsidR="006C2238">
        <w:t xml:space="preserve">. Коментарите на председателя на Refah г-н Necmettin Erbakan трябва да се тълкуват в контекст </w:t>
      </w:r>
      <w:r w:rsidR="00CF0667">
        <w:t xml:space="preserve">и </w:t>
      </w:r>
      <w:r w:rsidR="006C2238">
        <w:t xml:space="preserve">предвид пълния текст на изявленията, от които са взети. В тези изказвания </w:t>
      </w:r>
      <w:r w:rsidR="00CF0667">
        <w:t xml:space="preserve">не се защитава </w:t>
      </w:r>
      <w:r w:rsidR="006C2238">
        <w:t>насилие</w:t>
      </w:r>
      <w:r w:rsidR="00CF0667">
        <w:t>то</w:t>
      </w:r>
      <w:r w:rsidR="006C2238">
        <w:t>.</w:t>
      </w:r>
    </w:p>
    <w:p w:rsidR="00C63CF3" w:rsidRDefault="00AF2D4B">
      <w:pPr>
        <w:pStyle w:val="JuPara"/>
      </w:pPr>
      <w:fldSimple w:instr=" SEQ level0 \*arabic ">
        <w:r w:rsidR="006C2238">
          <w:rPr>
            <w:noProof/>
          </w:rPr>
          <w:t>72</w:t>
        </w:r>
      </w:fldSimple>
      <w:r w:rsidR="006C2238">
        <w:t>.  Във връзка с теорията за мно</w:t>
      </w:r>
      <w:r w:rsidR="00007B3D">
        <w:t>жествеността</w:t>
      </w:r>
      <w:r w:rsidR="006C2238">
        <w:t xml:space="preserve"> </w:t>
      </w:r>
      <w:r w:rsidR="00007B3D">
        <w:t>на</w:t>
      </w:r>
      <w:r w:rsidR="006C2238">
        <w:t xml:space="preserve"> правни</w:t>
      </w:r>
      <w:r w:rsidR="00007B3D">
        <w:t>те</w:t>
      </w:r>
      <w:r w:rsidR="006C2238">
        <w:t xml:space="preserve"> системи, жалбоподателите изтък</w:t>
      </w:r>
      <w:r w:rsidR="00007B3D">
        <w:t>ват</w:t>
      </w:r>
      <w:r w:rsidR="006C2238">
        <w:t xml:space="preserve">, че изказванията на г-н Necmettin Erbakan по този въпрос са единичен случай и са направени през 1993 г. Не е политика на Refah, като политическа партия, да въвежда многообразие от правни системи, но във всички случаи това, което г-н Necmettin Erbakan е предложил, е само въвеждане на „гражданскоправна“ система, основана на свободата на договаряне, което не би засегнало </w:t>
      </w:r>
      <w:r w:rsidR="001B221F">
        <w:t xml:space="preserve">общата </w:t>
      </w:r>
      <w:r w:rsidR="006C2238">
        <w:t>сфера на публичното право. О</w:t>
      </w:r>
      <w:r w:rsidR="001B221F">
        <w:t>суетя</w:t>
      </w:r>
      <w:r w:rsidR="006C2238">
        <w:t xml:space="preserve">ването на подобна политика в името на специалната роля на секуларизма в Турция </w:t>
      </w:r>
      <w:r w:rsidR="001B221F">
        <w:t>представлява</w:t>
      </w:r>
      <w:r w:rsidR="006C2238">
        <w:t xml:space="preserve"> дискриминация </w:t>
      </w:r>
      <w:r w:rsidR="001B221F">
        <w:t>на</w:t>
      </w:r>
      <w:r w:rsidR="006C2238">
        <w:t xml:space="preserve"> мюсюлманите, които желаят да живеят собствения си живот според правилата, определени от тяхната религия.</w:t>
      </w:r>
    </w:p>
    <w:p w:rsidR="00C63CF3" w:rsidRDefault="00AF2D4B">
      <w:pPr>
        <w:pStyle w:val="JuPara"/>
      </w:pPr>
      <w:fldSimple w:instr=" SEQ level0 \*arabic ">
        <w:r w:rsidR="006C2238">
          <w:rPr>
            <w:noProof/>
          </w:rPr>
          <w:t>73</w:t>
        </w:r>
      </w:fldSimple>
      <w:r w:rsidR="006C2238">
        <w:t>.  </w:t>
      </w:r>
      <w:r w:rsidR="001B221F">
        <w:t xml:space="preserve">По </w:t>
      </w:r>
      <w:r w:rsidR="006C2238">
        <w:t xml:space="preserve">въпроса дали Refah </w:t>
      </w:r>
      <w:r w:rsidR="001B221F">
        <w:t xml:space="preserve">има за </w:t>
      </w:r>
      <w:r w:rsidR="006C2238">
        <w:t xml:space="preserve">цел </w:t>
      </w:r>
      <w:r w:rsidR="00F7502A">
        <w:t xml:space="preserve">да </w:t>
      </w:r>
      <w:r w:rsidR="006C2238">
        <w:t>въве</w:t>
      </w:r>
      <w:r w:rsidR="00F7502A">
        <w:t>де</w:t>
      </w:r>
      <w:r w:rsidR="006C2238">
        <w:t xml:space="preserve"> режим, основан на шериата, жалбоподателите отбеляз</w:t>
      </w:r>
      <w:r w:rsidR="00F7502A">
        <w:t>ват</w:t>
      </w:r>
      <w:r w:rsidR="006C2238">
        <w:t xml:space="preserve"> на първо място, че в устава или програмата на Refah </w:t>
      </w:r>
      <w:r w:rsidR="00F7502A">
        <w:t>не се</w:t>
      </w:r>
      <w:r w:rsidR="006C2238">
        <w:t xml:space="preserve"> </w:t>
      </w:r>
      <w:r w:rsidR="00F7502A">
        <w:t>споменават</w:t>
      </w:r>
      <w:r w:rsidR="006C2238">
        <w:t xml:space="preserve"> шериат</w:t>
      </w:r>
      <w:r w:rsidR="00F7502A">
        <w:t>а</w:t>
      </w:r>
      <w:r w:rsidR="006C2238">
        <w:t xml:space="preserve"> и ислям</w:t>
      </w:r>
      <w:r w:rsidR="00F7502A">
        <w:t>а</w:t>
      </w:r>
      <w:r w:rsidR="006C2238">
        <w:t xml:space="preserve">. На второ място те </w:t>
      </w:r>
      <w:r w:rsidR="00F7502A">
        <w:t>отбелязват</w:t>
      </w:r>
      <w:r w:rsidR="006C2238">
        <w:t xml:space="preserve">, че анализът на изказванията, направени от ръководителите на Refah, не </w:t>
      </w:r>
      <w:r w:rsidR="00960C2F">
        <w:t>показва</w:t>
      </w:r>
      <w:r w:rsidR="006C2238">
        <w:t xml:space="preserve">, че въвеждането на шериата в Турция е политика на партията. Желанието шериата </w:t>
      </w:r>
      <w:r w:rsidR="00960C2F">
        <w:t xml:space="preserve">да бъде </w:t>
      </w:r>
      <w:r w:rsidR="006C2238">
        <w:t>въведен в Турция, изразено от някои народни представители, които впоследствие са изключени от Refah, не може да се приписва на партията като цяло. Във всички случаи предложението за въвеждане на шериата и плана за установяване на мно</w:t>
      </w:r>
      <w:r w:rsidR="00960C2F">
        <w:t>жество</w:t>
      </w:r>
      <w:r w:rsidR="006C2238">
        <w:t xml:space="preserve"> от правни системи са несъвместими, като Конституционният съд е направил грешка </w:t>
      </w:r>
      <w:r w:rsidR="00960C2F">
        <w:t xml:space="preserve">като </w:t>
      </w:r>
      <w:r w:rsidR="006C2238">
        <w:t>обвин</w:t>
      </w:r>
      <w:r w:rsidR="00CC0C68">
        <w:t>ява</w:t>
      </w:r>
      <w:r w:rsidR="006C2238">
        <w:t xml:space="preserve"> Refah</w:t>
      </w:r>
      <w:r w:rsidR="00CC0C68">
        <w:t>, че</w:t>
      </w:r>
      <w:r w:rsidR="006C2238">
        <w:t xml:space="preserve"> подкреп</w:t>
      </w:r>
      <w:r w:rsidR="00CC0C68">
        <w:t>я</w:t>
      </w:r>
      <w:r w:rsidR="006C2238">
        <w:t xml:space="preserve"> едновременно и на двете предложения.</w:t>
      </w:r>
    </w:p>
    <w:p w:rsidR="00C63CF3" w:rsidRDefault="00AF2D4B">
      <w:pPr>
        <w:pStyle w:val="JuPara"/>
      </w:pPr>
      <w:fldSimple w:instr=" SEQ level0 \*arabic ">
        <w:r w:rsidR="006C2238">
          <w:rPr>
            <w:noProof/>
          </w:rPr>
          <w:t>74</w:t>
        </w:r>
      </w:fldSimple>
      <w:r w:rsidR="006C2238">
        <w:t xml:space="preserve">.  Освен това </w:t>
      </w:r>
      <w:r w:rsidR="00CC0C68">
        <w:t>според</w:t>
      </w:r>
      <w:r w:rsidR="006C2238">
        <w:t xml:space="preserve"> из</w:t>
      </w:r>
      <w:r w:rsidR="00CC0C68">
        <w:t>ложе</w:t>
      </w:r>
      <w:r w:rsidR="006C2238">
        <w:t xml:space="preserve">нията на жалбоподателите </w:t>
      </w:r>
      <w:r w:rsidR="00CC0C68">
        <w:t>понятието</w:t>
      </w:r>
      <w:r w:rsidR="006C2238">
        <w:t xml:space="preserve"> „справедлив ред“, спомена</w:t>
      </w:r>
      <w:r w:rsidR="00CC0C68">
        <w:t>то</w:t>
      </w:r>
      <w:r w:rsidR="006C2238">
        <w:t xml:space="preserve"> в изказвания на членове на партията, не </w:t>
      </w:r>
      <w:r w:rsidR="003A0457">
        <w:t xml:space="preserve">се отнася за </w:t>
      </w:r>
      <w:r w:rsidR="006C2238">
        <w:t xml:space="preserve">религиозен ред, </w:t>
      </w:r>
      <w:r w:rsidR="003A0457">
        <w:t xml:space="preserve">противно </w:t>
      </w:r>
      <w:r w:rsidR="006C2238">
        <w:t xml:space="preserve">на изложеното в решението на </w:t>
      </w:r>
      <w:r w:rsidR="003A0457">
        <w:t>състава</w:t>
      </w:r>
      <w:r w:rsidR="006C2238">
        <w:t xml:space="preserve">. Много теоретици използват същия термин, за да опишат идеалното според тях общество, без </w:t>
      </w:r>
      <w:r w:rsidR="003A0457">
        <w:t>да му придават религиозен оттенък</w:t>
      </w:r>
      <w:r w:rsidR="006C2238">
        <w:t>.</w:t>
      </w:r>
    </w:p>
    <w:p w:rsidR="00C63CF3" w:rsidRDefault="00AF2D4B">
      <w:pPr>
        <w:pStyle w:val="JuPara"/>
      </w:pPr>
      <w:fldSimple w:instr=" SEQ level0 \*arabic ">
        <w:r w:rsidR="006C2238">
          <w:rPr>
            <w:noProof/>
          </w:rPr>
          <w:t>75</w:t>
        </w:r>
      </w:fldSimple>
      <w:r w:rsidR="006C2238">
        <w:t>.  По-нататък жалбоподателите оспор</w:t>
      </w:r>
      <w:r w:rsidR="00B23E4C">
        <w:t>ват</w:t>
      </w:r>
      <w:r w:rsidR="006C2238">
        <w:t xml:space="preserve"> изложението в параграф 72 от решението на </w:t>
      </w:r>
      <w:r w:rsidR="00137348">
        <w:t>състава</w:t>
      </w:r>
      <w:r w:rsidR="006C2238">
        <w:t>, че „Е трудно човек да се обявява за за</w:t>
      </w:r>
      <w:r w:rsidR="00137348">
        <w:t>чита</w:t>
      </w:r>
      <w:r w:rsidR="006C2238">
        <w:t>не на демокрацията и човешките права, като в същото време подкрепя режим, основан на шериата ...“. Те заяв</w:t>
      </w:r>
      <w:r w:rsidR="00137348">
        <w:t>яват</w:t>
      </w:r>
      <w:r w:rsidR="006C2238">
        <w:t>, че подобно изявление може да доведе до разделение между „</w:t>
      </w:r>
      <w:r w:rsidR="00137348">
        <w:t>х</w:t>
      </w:r>
      <w:r w:rsidR="006C2238">
        <w:t>ристияндемократите“ и „</w:t>
      </w:r>
      <w:r w:rsidR="00137348">
        <w:t>д</w:t>
      </w:r>
      <w:r w:rsidR="006C2238">
        <w:t>емократите мюсюлмани“ и представлява дискриминация срещу 150</w:t>
      </w:r>
      <w:r w:rsidR="00137348">
        <w:t>-те милиона</w:t>
      </w:r>
      <w:r w:rsidR="006C2238">
        <w:t xml:space="preserve"> мюсюлмани от общо 800 милиона население на Европа. Във всеки случай те считат, че въпросът не </w:t>
      </w:r>
      <w:r w:rsidR="009506FB">
        <w:t>е от компетентността</w:t>
      </w:r>
      <w:r w:rsidR="006C2238">
        <w:t xml:space="preserve"> на Съда.</w:t>
      </w:r>
    </w:p>
    <w:p w:rsidR="00C63CF3" w:rsidRDefault="00AF2D4B">
      <w:pPr>
        <w:pStyle w:val="JuPara"/>
      </w:pPr>
      <w:fldSimple w:instr=" SEQ level0 \*arabic ">
        <w:r w:rsidR="006C2238">
          <w:rPr>
            <w:noProof/>
          </w:rPr>
          <w:t>76</w:t>
        </w:r>
      </w:fldSimple>
      <w:r w:rsidR="006C2238">
        <w:t xml:space="preserve">.  По въпроса за прибягването </w:t>
      </w:r>
      <w:r w:rsidR="009506FB">
        <w:t xml:space="preserve">до </w:t>
      </w:r>
      <w:r w:rsidR="006C2238">
        <w:t xml:space="preserve">сила, жалбоподателите твърдят, че </w:t>
      </w:r>
      <w:r w:rsidR="009506FB">
        <w:t xml:space="preserve">макар </w:t>
      </w:r>
      <w:r w:rsidR="006C2238">
        <w:t xml:space="preserve">някои членове на Refah да са споменали подобна възможност в изказванията си, </w:t>
      </w:r>
      <w:r w:rsidR="005B64A5">
        <w:t>нейни</w:t>
      </w:r>
      <w:r w:rsidR="006C2238">
        <w:t xml:space="preserve"> членове никога не </w:t>
      </w:r>
      <w:r w:rsidR="005B64A5">
        <w:t xml:space="preserve">са </w:t>
      </w:r>
      <w:r w:rsidR="006C2238">
        <w:t>се опитвал</w:t>
      </w:r>
      <w:r w:rsidR="005B64A5">
        <w:t>и</w:t>
      </w:r>
      <w:r w:rsidR="006C2238">
        <w:t xml:space="preserve"> да използва</w:t>
      </w:r>
      <w:r w:rsidR="005B64A5">
        <w:t>т</w:t>
      </w:r>
      <w:r w:rsidR="006C2238">
        <w:t xml:space="preserve"> сила. Неизбежното заключение е, че подложените на критика в тази връзка постъпки и изказвания не представлява</w:t>
      </w:r>
      <w:r w:rsidR="005B64A5">
        <w:t>т</w:t>
      </w:r>
      <w:r w:rsidR="006C2238">
        <w:t xml:space="preserve"> реална опасност за принципа на светската държава в Турция по времето, когато партията е разпусната. Някои членове, които са направили подобни изявления, са изключени от Refah. На един от тях е повдигнато обвинение точно преди разпускането, така че Refah не е имала достатъчно време да го изключи, преди да бъде разпусната. Другите изявления, за които ръководителите на Refah са подложени на критика, са направени преди партията да дойде на власт.</w:t>
      </w:r>
    </w:p>
    <w:p w:rsidR="00C63CF3" w:rsidRDefault="00AF2D4B">
      <w:pPr>
        <w:pStyle w:val="JuPara"/>
      </w:pPr>
      <w:fldSimple w:instr=" SEQ level0 \*arabic ">
        <w:r w:rsidR="006C2238">
          <w:rPr>
            <w:noProof/>
          </w:rPr>
          <w:t>77</w:t>
        </w:r>
      </w:fldSimple>
      <w:r w:rsidR="006C2238">
        <w:t>.  На последно място жалбоподателите заяв</w:t>
      </w:r>
      <w:r w:rsidR="005B64A5">
        <w:t>яват</w:t>
      </w:r>
      <w:r w:rsidR="006C2238">
        <w:t>, че въпросната намеса не е пропорционална на преследваните цели. Те акцент</w:t>
      </w:r>
      <w:r w:rsidR="003F15E9">
        <w:t>ират конкретно</w:t>
      </w:r>
      <w:r w:rsidR="006C2238">
        <w:t xml:space="preserve"> върху строгата санкция, изразяваща се в разпускане на политическа партия</w:t>
      </w:r>
      <w:r w:rsidR="003F15E9">
        <w:t>,</w:t>
      </w:r>
      <w:r w:rsidR="006C2238">
        <w:t xml:space="preserve"> заради изявления, направени от някои нейни членове, мащаб</w:t>
      </w:r>
      <w:r w:rsidR="003F15E9">
        <w:t>а</w:t>
      </w:r>
      <w:r w:rsidR="006C2238">
        <w:t xml:space="preserve"> на политическите ограничения, наложени върху тримата жалбоподатели г-н Necmettin Erbakan, г-н Şevket Kazan и г-н Ahmet Tekdal, както и сериозните финансови загуби, понесени от Refah след разпускането </w:t>
      </w:r>
      <w:r w:rsidR="003F15E9">
        <w:t>ѝ</w:t>
      </w:r>
      <w:r w:rsidR="006C2238">
        <w:t>.</w:t>
      </w:r>
      <w:r w:rsidR="002171CA">
        <w:t xml:space="preserve"> </w:t>
      </w:r>
    </w:p>
    <w:p w:rsidR="00C63CF3" w:rsidRDefault="006C2238">
      <w:pPr>
        <w:pStyle w:val="JuHi"/>
      </w:pPr>
      <w:r>
        <w:t>(ii)  Правителството</w:t>
      </w:r>
    </w:p>
    <w:p w:rsidR="00C63CF3" w:rsidRDefault="00AF2D4B">
      <w:pPr>
        <w:pStyle w:val="JuPara"/>
      </w:pPr>
      <w:fldSimple w:instr=" SEQ level0 \*arabic ">
        <w:r w:rsidR="006C2238">
          <w:rPr>
            <w:noProof/>
          </w:rPr>
          <w:t>78</w:t>
        </w:r>
      </w:fldSimple>
      <w:r w:rsidR="006C2238">
        <w:t>.  На въпроса дали Refah представлява опасност по времето на разпускането си, Правителството отбеляз</w:t>
      </w:r>
      <w:r w:rsidR="002171CA">
        <w:t>в</w:t>
      </w:r>
      <w:r w:rsidR="006C2238">
        <w:t>а, че партията никога не е била на власт еднолично и следователно никога не е имала възможност да приведе в действие плана си за установяване на теократична държава на практика. Правителството заяв</w:t>
      </w:r>
      <w:r w:rsidR="002171CA">
        <w:t>ява</w:t>
      </w:r>
      <w:r w:rsidR="006C2238">
        <w:t>, че ако Refah е била еднолично на власт, тя е щяла да има пълната възможност да осъществи политиката си, като по този начин сложи край на демокрацията.</w:t>
      </w:r>
    </w:p>
    <w:p w:rsidR="00C63CF3" w:rsidRDefault="00AF2D4B">
      <w:pPr>
        <w:pStyle w:val="JuPara"/>
      </w:pPr>
      <w:fldSimple w:instr=" SEQ level0 \*arabic ">
        <w:r w:rsidR="006C2238">
          <w:rPr>
            <w:noProof/>
          </w:rPr>
          <w:t>79</w:t>
        </w:r>
      </w:fldSimple>
      <w:r w:rsidR="006C2238">
        <w:t>.  Правителството заяв</w:t>
      </w:r>
      <w:r w:rsidR="002171CA">
        <w:t>ява още</w:t>
      </w:r>
      <w:r w:rsidR="006C2238">
        <w:t xml:space="preserve">, че изявленията, подложени на критика от Конституционния съд, могат да се </w:t>
      </w:r>
      <w:r w:rsidR="00C02499">
        <w:t>припишат на</w:t>
      </w:r>
      <w:r w:rsidR="006C2238">
        <w:t xml:space="preserve"> Refah. Правителството изтък</w:t>
      </w:r>
      <w:r w:rsidR="00C02499">
        <w:t>в</w:t>
      </w:r>
      <w:r w:rsidR="006C2238">
        <w:t>а, че чл</w:t>
      </w:r>
      <w:r w:rsidR="00C02499">
        <w:t>.</w:t>
      </w:r>
      <w:r w:rsidR="006C2238">
        <w:t xml:space="preserve"> 4 от устава на партията предвижда изключване на членове, отговорн</w:t>
      </w:r>
      <w:r w:rsidR="00C02499">
        <w:t>и</w:t>
      </w:r>
      <w:r w:rsidR="006C2238">
        <w:t xml:space="preserve"> за постъпки, противоречащи на решенията на изпълнителните </w:t>
      </w:r>
      <w:r w:rsidR="00C02499">
        <w:t xml:space="preserve">ѝ </w:t>
      </w:r>
      <w:r w:rsidR="006C2238">
        <w:t>органи; съгласно чл</w:t>
      </w:r>
      <w:r w:rsidR="00C02499">
        <w:t>.</w:t>
      </w:r>
      <w:r w:rsidR="006C2238">
        <w:t xml:space="preserve"> 5 от устава членове, които извършат постъпки в противоречие </w:t>
      </w:r>
      <w:r w:rsidR="00C02499">
        <w:t>с</w:t>
      </w:r>
      <w:r w:rsidR="006C2238">
        <w:t xml:space="preserve"> устава и програмата на партията, подлежат на същата санкция. Правителството </w:t>
      </w:r>
      <w:r w:rsidR="006C2238">
        <w:lastRenderedPageBreak/>
        <w:t>изтък</w:t>
      </w:r>
      <w:r w:rsidR="00C02499">
        <w:t>в</w:t>
      </w:r>
      <w:r w:rsidR="006C2238">
        <w:t xml:space="preserve">а, че тези разпоредби никога не са прилагани </w:t>
      </w:r>
      <w:r w:rsidR="001635BE">
        <w:t xml:space="preserve">по отношение на </w:t>
      </w:r>
      <w:r w:rsidR="006C2238">
        <w:t>членове</w:t>
      </w:r>
      <w:r w:rsidR="001635BE">
        <w:t>те</w:t>
      </w:r>
      <w:r w:rsidR="006C2238">
        <w:t xml:space="preserve"> на Refah, виновни за противозаконни</w:t>
      </w:r>
      <w:r w:rsidR="001635BE">
        <w:t>те</w:t>
      </w:r>
      <w:r w:rsidR="006C2238">
        <w:t xml:space="preserve"> постъпки и изявления.</w:t>
      </w:r>
    </w:p>
    <w:p w:rsidR="00C63CF3" w:rsidRDefault="00AF2D4B">
      <w:pPr>
        <w:pStyle w:val="JuPara"/>
      </w:pPr>
      <w:fldSimple w:instr=" SEQ level0 \*arabic ">
        <w:r w:rsidR="006C2238">
          <w:rPr>
            <w:noProof/>
          </w:rPr>
          <w:t>80</w:t>
        </w:r>
      </w:fldSimple>
      <w:r w:rsidR="006C2238">
        <w:t>.  Освен това планът за въвеждане на мно</w:t>
      </w:r>
      <w:r w:rsidR="001635BE">
        <w:t>жественост</w:t>
      </w:r>
      <w:r w:rsidR="006C2238">
        <w:t xml:space="preserve"> от правни системи, от който Refah никога не се е отказвала, е явно несъвместим с принципа на недискриминация, който е заложен в Конвенцията и е един от основните принципи на демокрацията.</w:t>
      </w:r>
    </w:p>
    <w:p w:rsidR="00C63CF3" w:rsidRDefault="00AF2D4B">
      <w:pPr>
        <w:pStyle w:val="JuPara"/>
      </w:pPr>
      <w:fldSimple w:instr=" SEQ level0 \*arabic ">
        <w:r w:rsidR="006C2238">
          <w:rPr>
            <w:noProof/>
          </w:rPr>
          <w:t>81</w:t>
        </w:r>
      </w:fldSimple>
      <w:r w:rsidR="006C2238">
        <w:t>.  Във връзка с въпроса дали Refah подкрепя въвеждането на шериата в Турция, Правителството отбеляз</w:t>
      </w:r>
      <w:r w:rsidR="009E2A1F">
        <w:t>в</w:t>
      </w:r>
      <w:r w:rsidR="006C2238">
        <w:t>а, че не официалната програма на партията е проблем, а факт</w:t>
      </w:r>
      <w:r w:rsidR="009E2A1F">
        <w:t>ът</w:t>
      </w:r>
      <w:r w:rsidR="006C2238">
        <w:t xml:space="preserve">, че </w:t>
      </w:r>
      <w:r w:rsidR="009E2A1F">
        <w:t xml:space="preserve">някои </w:t>
      </w:r>
      <w:r w:rsidR="006C2238">
        <w:t>аспекти на дейностите и изявленията на ръководители на Refah недвусмислено показват, че партията ще се бори за въвеждането на шериата, ако поеме еднолично властта. От Правителството изтък</w:t>
      </w:r>
      <w:r w:rsidR="009E2A1F">
        <w:t>ват</w:t>
      </w:r>
      <w:r w:rsidR="006C2238">
        <w:t>, че концепцията за „справедлив ред“, цитирана от Refah, е била</w:t>
      </w:r>
      <w:r w:rsidR="009E2A1F">
        <w:t xml:space="preserve"> в</w:t>
      </w:r>
      <w:r w:rsidR="006C2238">
        <w:t xml:space="preserve"> основа</w:t>
      </w:r>
      <w:r w:rsidR="009E2A1F">
        <w:t>та</w:t>
      </w:r>
      <w:r w:rsidR="006C2238">
        <w:t xml:space="preserve"> на кампанията им по време на общите избори през 1995 г. </w:t>
      </w:r>
      <w:r w:rsidR="0069483C">
        <w:t xml:space="preserve">Като са </w:t>
      </w:r>
      <w:r w:rsidR="006C2238">
        <w:t>обясн</w:t>
      </w:r>
      <w:r w:rsidR="0069483C">
        <w:t>или</w:t>
      </w:r>
      <w:r w:rsidR="006C2238">
        <w:t xml:space="preserve"> концепцията за „справедлив ред“ в контекста на тази пропаганда, ръководителите на Refah ясно са се позовавали на ред, основан на шериата.</w:t>
      </w:r>
    </w:p>
    <w:p w:rsidR="00C63CF3" w:rsidRDefault="00AF2D4B">
      <w:pPr>
        <w:pStyle w:val="JuPara"/>
      </w:pPr>
      <w:fldSimple w:instr=" SEQ level0 \*arabic ">
        <w:r w:rsidR="006C2238">
          <w:rPr>
            <w:noProof/>
          </w:rPr>
          <w:t>82</w:t>
        </w:r>
      </w:fldSimple>
      <w:r w:rsidR="006C2238">
        <w:t>.  Правителството прие</w:t>
      </w:r>
      <w:r w:rsidR="0069483C">
        <w:t>ма</w:t>
      </w:r>
      <w:r w:rsidR="006C2238">
        <w:t xml:space="preserve"> становището, изразено от Конституционния съд и в параграф 72 от решението на </w:t>
      </w:r>
      <w:r w:rsidR="0069483C">
        <w:t>състава</w:t>
      </w:r>
      <w:r w:rsidR="006C2238">
        <w:t>, че е трудно шериат</w:t>
      </w:r>
      <w:r w:rsidR="0069483C">
        <w:t>ът</w:t>
      </w:r>
      <w:r w:rsidR="006C2238">
        <w:t xml:space="preserve"> да съществува мирно в рамките на демокрацията и системата на Конвенцията. Теократичната държава не може да бъде демократична държава, както </w:t>
      </w:r>
      <w:r w:rsidR="0069483C">
        <w:t>е видно</w:t>
      </w:r>
      <w:r w:rsidR="006C2238">
        <w:t xml:space="preserve"> от историята на Турция по време на О</w:t>
      </w:r>
      <w:r w:rsidR="00A214F2">
        <w:t>с</w:t>
      </w:r>
      <w:r w:rsidR="006C2238">
        <w:t xml:space="preserve">манската империя </w:t>
      </w:r>
      <w:r w:rsidR="002F3720">
        <w:t>и от</w:t>
      </w:r>
      <w:r w:rsidR="006C2238">
        <w:t xml:space="preserve"> други примери. Правителството посоч</w:t>
      </w:r>
      <w:r w:rsidR="002F3720">
        <w:t>в</w:t>
      </w:r>
      <w:r w:rsidR="006C2238">
        <w:t>а редица примери на несъвместимост между основните правила на шериата и правата и свободите, гарантирани от Конвенцията.</w:t>
      </w:r>
    </w:p>
    <w:p w:rsidR="00C63CF3" w:rsidRDefault="00AF2D4B">
      <w:pPr>
        <w:pStyle w:val="JuPara"/>
      </w:pPr>
      <w:fldSimple w:instr=" SEQ level0 \*arabic ">
        <w:r w:rsidR="006C2238">
          <w:rPr>
            <w:noProof/>
          </w:rPr>
          <w:t>83</w:t>
        </w:r>
      </w:fldSimple>
      <w:r w:rsidR="006C2238">
        <w:t xml:space="preserve">.  Правителството не вярва, че Refah </w:t>
      </w:r>
      <w:r w:rsidR="00EF661C">
        <w:t>е удовлетворена</w:t>
      </w:r>
      <w:r w:rsidR="006C2238">
        <w:t xml:space="preserve"> да тълкува по различен начин принципа на светската държава. </w:t>
      </w:r>
      <w:r w:rsidR="00EF661C">
        <w:t>По негово мнение</w:t>
      </w:r>
      <w:r w:rsidR="006C2238">
        <w:t xml:space="preserve"> партията </w:t>
      </w:r>
      <w:r w:rsidR="005F0A67">
        <w:t>иска</w:t>
      </w:r>
      <w:r w:rsidR="006C2238">
        <w:t xml:space="preserve"> </w:t>
      </w:r>
      <w:r w:rsidR="005F0A67">
        <w:t>да изкорени</w:t>
      </w:r>
      <w:r w:rsidR="006C2238">
        <w:t xml:space="preserve"> този принцип. Това е очевидно от изявленията, направени от името на Refah по време на последните обсъждания във връзка с промените в Конституцията, тъй като Refah много ясно предла</w:t>
      </w:r>
      <w:r w:rsidR="002F5FE6">
        <w:t>га</w:t>
      </w:r>
      <w:r w:rsidR="006C2238">
        <w:t xml:space="preserve"> заличаването на принципа на светската държава от основния закон на държавата.</w:t>
      </w:r>
    </w:p>
    <w:p w:rsidR="00C63CF3" w:rsidRDefault="00AF2D4B">
      <w:pPr>
        <w:pStyle w:val="JuPara"/>
      </w:pPr>
      <w:fldSimple w:instr=" SEQ level0 \*arabic ">
        <w:r w:rsidR="006C2238">
          <w:rPr>
            <w:noProof/>
          </w:rPr>
          <w:t>84</w:t>
        </w:r>
      </w:fldSimple>
      <w:r w:rsidR="006C2238">
        <w:t>.  Във връзка с възможността за използването на сила като метод на политическа борба, Правителството цитира изявления</w:t>
      </w:r>
      <w:r w:rsidR="00D82713">
        <w:t>та</w:t>
      </w:r>
      <w:r w:rsidR="006C2238">
        <w:t xml:space="preserve"> на членове на Refah, които се обявяват в защита на използването на сила, за противопоставя</w:t>
      </w:r>
      <w:r w:rsidR="00D82713">
        <w:t>не</w:t>
      </w:r>
      <w:r w:rsidR="006C2238">
        <w:t xml:space="preserve"> на определени държавни политики или </w:t>
      </w:r>
      <w:r w:rsidR="00D82713">
        <w:t>за</w:t>
      </w:r>
      <w:r w:rsidR="006C2238">
        <w:t xml:space="preserve"> завзема</w:t>
      </w:r>
      <w:r w:rsidR="00D82713">
        <w:t>не</w:t>
      </w:r>
      <w:r w:rsidR="006C2238">
        <w:t xml:space="preserve"> и задържа</w:t>
      </w:r>
      <w:r w:rsidR="00D82713">
        <w:t>не на</w:t>
      </w:r>
      <w:r w:rsidR="006C2238">
        <w:t xml:space="preserve"> властта. От Правителството заяв</w:t>
      </w:r>
      <w:r w:rsidR="00D82713">
        <w:t>яв</w:t>
      </w:r>
      <w:r w:rsidR="006C2238">
        <w:t>а</w:t>
      </w:r>
      <w:r w:rsidR="00D82713">
        <w:t>т</w:t>
      </w:r>
      <w:r w:rsidR="006C2238">
        <w:t>, че редица действия и изказвания на членове на Refah представляват подбуждане към народно въстание и насилието като цяло, характеризиращо всяка „свещена война“.</w:t>
      </w:r>
    </w:p>
    <w:p w:rsidR="00C63CF3" w:rsidRDefault="00AF2D4B">
      <w:pPr>
        <w:pStyle w:val="JuPara"/>
      </w:pPr>
      <w:fldSimple w:instr=" SEQ level0 \*arabic ">
        <w:r w:rsidR="006C2238">
          <w:rPr>
            <w:noProof/>
          </w:rPr>
          <w:t>85</w:t>
        </w:r>
      </w:fldSimple>
      <w:r w:rsidR="006C2238">
        <w:t>.  По-нататък Правителството отбеляз</w:t>
      </w:r>
      <w:r w:rsidR="006C6A50">
        <w:t>в</w:t>
      </w:r>
      <w:r w:rsidR="006C2238">
        <w:t>а, че по това време радикални ислямистки групировки</w:t>
      </w:r>
      <w:r w:rsidR="006C6A50">
        <w:t>,</w:t>
      </w:r>
      <w:r w:rsidR="006C2238">
        <w:t xml:space="preserve"> като например Хизбула, извършват многобройни терористични актове в Турция. Също по това време </w:t>
      </w:r>
      <w:r w:rsidR="00837BD4">
        <w:t xml:space="preserve">в </w:t>
      </w:r>
      <w:r w:rsidR="00837BD4">
        <w:lastRenderedPageBreak/>
        <w:t xml:space="preserve">изказванията си </w:t>
      </w:r>
      <w:r w:rsidR="006C2238">
        <w:t>членове</w:t>
      </w:r>
      <w:r w:rsidR="006C6A50">
        <w:t>те</w:t>
      </w:r>
      <w:r w:rsidR="006C2238">
        <w:t xml:space="preserve"> на Refah се застъпват за ислямския фундаментализъм, пример </w:t>
      </w:r>
      <w:r w:rsidR="00837BD4">
        <w:t xml:space="preserve">за което </w:t>
      </w:r>
      <w:r w:rsidR="006C2238">
        <w:t>е посещението на един от жалбоподателите, г-н Şevket Kazan, министър на правосъдието по това време, при кмет, който е задържан за организиране на „Йерусалимска вечер“ в стая, украсена с плакати, изобразяващи ръководителите на терористичните организации Хамас и Хизбула.</w:t>
      </w:r>
    </w:p>
    <w:p w:rsidR="00C63CF3" w:rsidRDefault="006C2238">
      <w:pPr>
        <w:pStyle w:val="JuHa0"/>
      </w:pPr>
      <w:r>
        <w:t>(б) Преценка</w:t>
      </w:r>
      <w:r w:rsidR="00837BD4">
        <w:t>та</w:t>
      </w:r>
      <w:r>
        <w:t xml:space="preserve"> на Съда</w:t>
      </w:r>
    </w:p>
    <w:p w:rsidR="00C63CF3" w:rsidRDefault="006C2238">
      <w:pPr>
        <w:pStyle w:val="JuHi"/>
      </w:pPr>
      <w:r>
        <w:t>(i) Общи принципи</w:t>
      </w:r>
    </w:p>
    <w:p w:rsidR="00C63CF3" w:rsidRDefault="006C2238">
      <w:pPr>
        <w:pStyle w:val="JuHalpha"/>
      </w:pPr>
      <w:r>
        <w:t>(α)  Демокрацията и политическите партии в системата на Конвенцията</w:t>
      </w:r>
    </w:p>
    <w:p w:rsidR="00C63CF3" w:rsidRDefault="00AF2D4B">
      <w:pPr>
        <w:pStyle w:val="JuPara"/>
      </w:pPr>
      <w:fldSimple w:instr=" SEQ level0 \*arabic ">
        <w:r w:rsidR="006C2238">
          <w:rPr>
            <w:noProof/>
          </w:rPr>
          <w:t>86</w:t>
        </w:r>
      </w:fldSimple>
      <w:r w:rsidR="006C2238">
        <w:t>.  </w:t>
      </w:r>
      <w:r w:rsidR="00837BD4">
        <w:t xml:space="preserve">По </w:t>
      </w:r>
      <w:r w:rsidR="006C2238">
        <w:t>въпроса за връзката между демокрацията и Конвенцията, Съдът вече</w:t>
      </w:r>
      <w:r w:rsidR="00837BD4">
        <w:t xml:space="preserve"> е</w:t>
      </w:r>
      <w:r w:rsidR="006C2238">
        <w:t xml:space="preserve"> постанови</w:t>
      </w:r>
      <w:r w:rsidR="00837BD4">
        <w:t>л</w:t>
      </w:r>
      <w:r w:rsidR="006C2238">
        <w:t xml:space="preserve"> в </w:t>
      </w:r>
      <w:r w:rsidR="006C2238">
        <w:rPr>
          <w:i/>
        </w:rPr>
        <w:t>United Communist Party of Turkey and Others v. Turkey</w:t>
      </w:r>
      <w:r w:rsidR="006C2238">
        <w:t xml:space="preserve"> (решение от 30 януари 1998 г., </w:t>
      </w:r>
      <w:r w:rsidR="006C2238">
        <w:rPr>
          <w:i/>
        </w:rPr>
        <w:t xml:space="preserve">Доклади от съдебни постановления и решения </w:t>
      </w:r>
      <w:r w:rsidR="006C2238">
        <w:t>1998-I, страници 21-22, § 45) след</w:t>
      </w:r>
      <w:r w:rsidR="00893AFF">
        <w:t>ното</w:t>
      </w:r>
      <w:r w:rsidR="006C2238">
        <w:t>:</w:t>
      </w:r>
    </w:p>
    <w:p w:rsidR="00C63CF3" w:rsidRDefault="006C2238">
      <w:pPr>
        <w:pStyle w:val="JuQuot"/>
      </w:pPr>
      <w:r>
        <w:t>„</w:t>
      </w:r>
      <w:r w:rsidR="00893AFF">
        <w:t xml:space="preserve">Несъмнено </w:t>
      </w:r>
      <w:r>
        <w:t>демокрацията представлява основен елемент от европейския обществен ред ...</w:t>
      </w:r>
    </w:p>
    <w:p w:rsidR="00C63CF3" w:rsidRDefault="006C2238">
      <w:pPr>
        <w:pStyle w:val="JuQuot"/>
      </w:pPr>
      <w:r>
        <w:t xml:space="preserve">Това е очевидно </w:t>
      </w:r>
      <w:r w:rsidR="00893AFF">
        <w:t xml:space="preserve">на </w:t>
      </w:r>
      <w:r>
        <w:t>първо</w:t>
      </w:r>
      <w:r w:rsidR="00893AFF">
        <w:t xml:space="preserve"> място</w:t>
      </w:r>
      <w:r>
        <w:t xml:space="preserve"> от Преамбюла на Конвенцията, който  установява изключително ясна връзка между Конвенцията и демокрацията, </w:t>
      </w:r>
      <w:r w:rsidR="00893AFF">
        <w:t>и</w:t>
      </w:r>
      <w:r>
        <w:t xml:space="preserve"> гласи, че зачитането и по-нататъшното прилагане на правата на човека и основните свободи </w:t>
      </w:r>
      <w:r w:rsidR="00893AFF">
        <w:t>се гарантират най-добре</w:t>
      </w:r>
      <w:r>
        <w:t xml:space="preserve"> от една страна по пътя на </w:t>
      </w:r>
      <w:r w:rsidR="00103DC5">
        <w:t>ефективната</w:t>
      </w:r>
      <w:r>
        <w:t xml:space="preserve"> политическа демокрация, а от друга</w:t>
      </w:r>
      <w:r w:rsidR="00103DC5">
        <w:t xml:space="preserve"> – </w:t>
      </w:r>
      <w:r>
        <w:t xml:space="preserve">чрез общо разбиране и спазване на правата на човека ... Преамбюлът продължава с уверението, че европейските страни </w:t>
      </w:r>
      <w:r w:rsidR="00103DC5">
        <w:t xml:space="preserve">споделят </w:t>
      </w:r>
      <w:r>
        <w:t>общо наследство от политически традиции, иде</w:t>
      </w:r>
      <w:r w:rsidR="00103DC5">
        <w:t>ал</w:t>
      </w:r>
      <w:r>
        <w:t>и, свобод</w:t>
      </w:r>
      <w:r w:rsidR="00103DC5">
        <w:t>и</w:t>
      </w:r>
      <w:r>
        <w:t xml:space="preserve"> и върховенство на закона. Съдът </w:t>
      </w:r>
      <w:r w:rsidR="00103DC5">
        <w:t xml:space="preserve">е </w:t>
      </w:r>
      <w:r>
        <w:t>отбеляза</w:t>
      </w:r>
      <w:r w:rsidR="00103DC5">
        <w:t>л</w:t>
      </w:r>
      <w:r>
        <w:t xml:space="preserve">, че това общо наследство </w:t>
      </w:r>
      <w:r w:rsidR="001F2969">
        <w:rPr>
          <w:lang w:val="en-US"/>
        </w:rPr>
        <w:t>съдържа</w:t>
      </w:r>
      <w:r>
        <w:t xml:space="preserve"> основополагащите ценности на Конвенцията ...; Съдът </w:t>
      </w:r>
      <w:r w:rsidR="001F2969">
        <w:t xml:space="preserve">неколкократно е </w:t>
      </w:r>
      <w:r>
        <w:t>изтък</w:t>
      </w:r>
      <w:r w:rsidR="001F2969">
        <w:t>в</w:t>
      </w:r>
      <w:r>
        <w:t>а</w:t>
      </w:r>
      <w:r w:rsidR="001F2969">
        <w:t>л</w:t>
      </w:r>
      <w:r>
        <w:t xml:space="preserve">, че Конвенцията </w:t>
      </w:r>
      <w:r w:rsidR="001F2969">
        <w:t>има за цел</w:t>
      </w:r>
      <w:r>
        <w:t xml:space="preserve"> да поддържа и провъзгласява идеалите и ценностите на демократичното общество ...</w:t>
      </w:r>
    </w:p>
    <w:p w:rsidR="00C63CF3" w:rsidRDefault="006C2238">
      <w:pPr>
        <w:pStyle w:val="JuQuot"/>
      </w:pPr>
      <w:r>
        <w:t xml:space="preserve">Освен това членове 8, 9, 10 и 11 от Конвенцията гласят, че намесата в упражняването на правата, които те гарантират, трябва да се оценява </w:t>
      </w:r>
      <w:r w:rsidR="00C9485A">
        <w:t>според</w:t>
      </w:r>
      <w:r>
        <w:t xml:space="preserve"> това какво е „необходимо в едно демократично общество“. Единствената необходимост, която може да оправдае намеса в някое от тези права</w:t>
      </w:r>
      <w:r w:rsidR="00C9485A">
        <w:t>,</w:t>
      </w:r>
      <w:r>
        <w:t xml:space="preserve"> следователно </w:t>
      </w:r>
      <w:r w:rsidR="00C9485A">
        <w:t xml:space="preserve">е </w:t>
      </w:r>
      <w:r>
        <w:t xml:space="preserve">тази, която </w:t>
      </w:r>
      <w:r w:rsidR="00C9485A">
        <w:t xml:space="preserve">може да заяви, че </w:t>
      </w:r>
      <w:r>
        <w:t>води началото си от „демократично общество“. Така демокрацията се явява единствения</w:t>
      </w:r>
      <w:r w:rsidR="00B211A0">
        <w:t>т</w:t>
      </w:r>
      <w:r>
        <w:t xml:space="preserve"> политически модел, предвиден в Конвенцията</w:t>
      </w:r>
      <w:r w:rsidR="00B211A0">
        <w:t>,</w:t>
      </w:r>
      <w:r>
        <w:t xml:space="preserve"> и съответно единствен</w:t>
      </w:r>
      <w:r w:rsidR="00B211A0">
        <w:t>ият</w:t>
      </w:r>
      <w:r>
        <w:t xml:space="preserve"> съвместима с нея.“</w:t>
      </w:r>
    </w:p>
    <w:p w:rsidR="00C63CF3" w:rsidRDefault="00AF2D4B">
      <w:pPr>
        <w:pStyle w:val="JuPara"/>
      </w:pPr>
      <w:fldSimple w:instr=" SEQ level0 \*arabic ">
        <w:r w:rsidR="006C2238">
          <w:rPr>
            <w:noProof/>
          </w:rPr>
          <w:t>87</w:t>
        </w:r>
      </w:fldSimple>
      <w:r w:rsidR="006C2238">
        <w:t xml:space="preserve">.  Съдът </w:t>
      </w:r>
      <w:r w:rsidR="00B211A0">
        <w:t xml:space="preserve">многократно е </w:t>
      </w:r>
      <w:r w:rsidR="006C2238">
        <w:t>потвър</w:t>
      </w:r>
      <w:r w:rsidR="00B211A0">
        <w:t>ждавал</w:t>
      </w:r>
      <w:r w:rsidR="006C2238">
        <w:t xml:space="preserve"> фундаменталната роля </w:t>
      </w:r>
      <w:r w:rsidR="008134F8">
        <w:t>в демократичния режим</w:t>
      </w:r>
      <w:r w:rsidR="008134F8" w:rsidDel="00B211A0">
        <w:t xml:space="preserve"> </w:t>
      </w:r>
      <w:r w:rsidR="00B211A0">
        <w:t xml:space="preserve">на </w:t>
      </w:r>
      <w:r w:rsidR="006C2238">
        <w:t xml:space="preserve">политическите партии, </w:t>
      </w:r>
      <w:r w:rsidR="008134F8">
        <w:t xml:space="preserve">които се </w:t>
      </w:r>
      <w:r w:rsidR="006C2238">
        <w:t>ползва</w:t>
      </w:r>
      <w:r w:rsidR="008134F8">
        <w:t>т</w:t>
      </w:r>
      <w:r w:rsidR="006C2238">
        <w:t xml:space="preserve"> от свободите и правата, залегнали в чл</w:t>
      </w:r>
      <w:r w:rsidR="008134F8">
        <w:t>.</w:t>
      </w:r>
      <w:r w:rsidR="006C2238">
        <w:t xml:space="preserve"> 11 и чл</w:t>
      </w:r>
      <w:r w:rsidR="008134F8">
        <w:t>.</w:t>
      </w:r>
      <w:r w:rsidR="006C2238">
        <w:t xml:space="preserve"> 10 от Конвенцията.</w:t>
      </w:r>
    </w:p>
    <w:p w:rsidR="00C63CF3" w:rsidRDefault="00CE35D5">
      <w:pPr>
        <w:pStyle w:val="JuPara"/>
      </w:pPr>
      <w:r>
        <w:t>В р</w:t>
      </w:r>
      <w:r w:rsidR="006C2238">
        <w:t xml:space="preserve">ешението </w:t>
      </w:r>
      <w:r w:rsidR="006C2238">
        <w:rPr>
          <w:i/>
        </w:rPr>
        <w:t>United Communist Party of Turkey and Others</w:t>
      </w:r>
      <w:r w:rsidR="006C2238">
        <w:t xml:space="preserve">, цитирано по-горе, </w:t>
      </w:r>
      <w:r>
        <w:t>Съдът констатира,</w:t>
      </w:r>
      <w:r w:rsidR="006C2238">
        <w:t xml:space="preserve"> че </w:t>
      </w:r>
      <w:r>
        <w:t xml:space="preserve">намира за още по-убедителен от текста на чл. 11 факта, </w:t>
      </w:r>
      <w:r w:rsidR="006C2238">
        <w:t xml:space="preserve">че политическите партии са форма на сдружение, което е от значение за правилното функциониране на демокрацията (стр. 17, § 25). Предвид ролята, която играят политическите партии, всички мерки, предприети срещу тях, засягат свободата на сдружаване и </w:t>
      </w:r>
      <w:r w:rsidR="00923127">
        <w:t>следователно</w:t>
      </w:r>
      <w:r w:rsidR="006C2238">
        <w:t xml:space="preserve"> демокрацията в съответната държава (стр. 18, § 31).</w:t>
      </w:r>
    </w:p>
    <w:p w:rsidR="00C63CF3" w:rsidRDefault="006C2238">
      <w:pPr>
        <w:pStyle w:val="JuPara"/>
      </w:pPr>
      <w:r>
        <w:lastRenderedPageBreak/>
        <w:t xml:space="preserve">Същността на ролята, която играят политическите партии, е, че са единствените органи, които могат да дойдат на власт </w:t>
      </w:r>
      <w:r w:rsidR="00923127">
        <w:t xml:space="preserve">и </w:t>
      </w:r>
      <w:r>
        <w:t xml:space="preserve">могат да окажат влияние върху режима на своите държави като цяло. С предложенията за цялостен </w:t>
      </w:r>
      <w:r w:rsidR="00A1055C">
        <w:t xml:space="preserve">обществен </w:t>
      </w:r>
      <w:r>
        <w:t>модел, ко</w:t>
      </w:r>
      <w:r w:rsidR="00A1055C">
        <w:t>и</w:t>
      </w:r>
      <w:r>
        <w:t>то представят на електората</w:t>
      </w:r>
      <w:r w:rsidR="00A1055C">
        <w:t>,</w:t>
      </w:r>
      <w:r>
        <w:t xml:space="preserve"> и с възможността си да ги осъществят след като дойдат на власт, политическите партии се различават от други организации, които вземат участие в политиката.</w:t>
      </w:r>
    </w:p>
    <w:p w:rsidR="00C63CF3" w:rsidRDefault="00AF2D4B">
      <w:pPr>
        <w:pStyle w:val="JuPara"/>
      </w:pPr>
      <w:fldSimple w:instr=" SEQ level0 \*arabic ">
        <w:r w:rsidR="006C2238">
          <w:rPr>
            <w:noProof/>
          </w:rPr>
          <w:t>88</w:t>
        </w:r>
      </w:fldSimple>
      <w:r w:rsidR="006C2238">
        <w:t xml:space="preserve">.  Освен това Съдът </w:t>
      </w:r>
      <w:r w:rsidR="00A1055C">
        <w:t xml:space="preserve">и </w:t>
      </w:r>
      <w:r w:rsidR="006C2238">
        <w:t xml:space="preserve">преди </w:t>
      </w:r>
      <w:r w:rsidR="00A1055C">
        <w:t>е</w:t>
      </w:r>
      <w:r w:rsidR="006C2238">
        <w:t xml:space="preserve"> отбеляз</w:t>
      </w:r>
      <w:r w:rsidR="00A1055C">
        <w:t>в</w:t>
      </w:r>
      <w:r w:rsidR="006C2238">
        <w:t>а</w:t>
      </w:r>
      <w:r w:rsidR="00A1055C">
        <w:t>л</w:t>
      </w:r>
      <w:r w:rsidR="006C2238">
        <w:t>, че отстояването на гледни точки и свободата на изразяването им по смисъла на чл</w:t>
      </w:r>
      <w:r w:rsidR="00A1055C">
        <w:t>.</w:t>
      </w:r>
      <w:r w:rsidR="006C2238">
        <w:t xml:space="preserve"> 10 от Конвенцията е една от целите на свободите на събиране и сдружаване, залегнали в чл</w:t>
      </w:r>
      <w:r w:rsidR="00A1055C">
        <w:t>.</w:t>
      </w:r>
      <w:r w:rsidR="006C2238">
        <w:t xml:space="preserve"> 11. Това </w:t>
      </w:r>
      <w:r w:rsidR="00C044F7">
        <w:t>е още по-валидно</w:t>
      </w:r>
      <w:r w:rsidR="006C2238">
        <w:t xml:space="preserve"> във връзка с политически</w:t>
      </w:r>
      <w:r w:rsidR="00C044F7">
        <w:t>те</w:t>
      </w:r>
      <w:r w:rsidR="006C2238">
        <w:t xml:space="preserve"> партии предвид тяхната съществена роля в гарантирането на плурализма и правилното функциониране на демокрацията (пак там, страници 20-21, §§ 42-43).</w:t>
      </w:r>
    </w:p>
    <w:p w:rsidR="00C63CF3" w:rsidRDefault="00AF2D4B">
      <w:pPr>
        <w:pStyle w:val="JuPara"/>
      </w:pPr>
      <w:fldSimple w:instr=" SEQ level0 \*arabic ">
        <w:r w:rsidR="006C2238">
          <w:rPr>
            <w:noProof/>
          </w:rPr>
          <w:t>89</w:t>
        </w:r>
      </w:fldSimple>
      <w:r w:rsidR="006C2238">
        <w:t>.  Съдът счита, че не може да има демокрация без плурализъм. Поради тази причина свободата на изразяване, залегнала в чл</w:t>
      </w:r>
      <w:r w:rsidR="00C044F7">
        <w:t>.</w:t>
      </w:r>
      <w:r w:rsidR="006C2238">
        <w:t xml:space="preserve"> 10, е приложима пр</w:t>
      </w:r>
      <w:r w:rsidR="00C044F7">
        <w:t>и условията на ал.</w:t>
      </w:r>
      <w:r w:rsidR="006C2238">
        <w:t xml:space="preserve"> 2 не само за „информация“ и „идеи“, които са посрещнати благосклонно</w:t>
      </w:r>
      <w:r w:rsidR="008A6B12">
        <w:t>,</w:t>
      </w:r>
      <w:r w:rsidR="006C2238">
        <w:t xml:space="preserve"> </w:t>
      </w:r>
      <w:r w:rsidR="008A6B12">
        <w:t>като не</w:t>
      </w:r>
      <w:r w:rsidR="006C2238">
        <w:t xml:space="preserve">нарушаващи закона или </w:t>
      </w:r>
      <w:r w:rsidR="008A6B12">
        <w:t>с безразличие</w:t>
      </w:r>
      <w:r w:rsidR="006C2238">
        <w:t xml:space="preserve">, но също и за такива, които отправят обиди, скандализират или внасят безпокойство (вж., наред с много други дела, </w:t>
      </w:r>
      <w:r w:rsidR="006C2238">
        <w:rPr>
          <w:i/>
        </w:rPr>
        <w:t>Handyside v. the United Kingdom</w:t>
      </w:r>
      <w:r w:rsidR="006C2238">
        <w:t xml:space="preserve">, решение от 7 декември 1976 г., Серия A № 24, стр. 23, § 49, и </w:t>
      </w:r>
      <w:r w:rsidR="006C2238">
        <w:rPr>
          <w:i/>
        </w:rPr>
        <w:t>Jersild v. Denmark</w:t>
      </w:r>
      <w:r w:rsidR="006C2238">
        <w:t>, решение от 23 септември 1994 г., Серия A № 298, стр. 26, § 37). Доколкото дейностите им формират част от общо упражняване на правото на изразяване, политическите партии също имат правото да търсят закрила по чл</w:t>
      </w:r>
      <w:r w:rsidR="00E75F50">
        <w:t>.</w:t>
      </w:r>
      <w:r w:rsidR="006C2238">
        <w:t xml:space="preserve"> 10 от Конвенцията (вж. </w:t>
      </w:r>
      <w:r w:rsidR="006C2238">
        <w:rPr>
          <w:i/>
        </w:rPr>
        <w:t>United Communist Party of Turkey and Others</w:t>
      </w:r>
      <w:r w:rsidR="006C2238">
        <w:t>, цитирано по-горе, стр</w:t>
      </w:r>
      <w:r w:rsidR="00E75F50">
        <w:t>.</w:t>
      </w:r>
      <w:r w:rsidR="006C2238">
        <w:t xml:space="preserve"> 20-21, § 43).</w:t>
      </w:r>
    </w:p>
    <w:p w:rsidR="00C63CF3" w:rsidRDefault="006C2238">
      <w:pPr>
        <w:pStyle w:val="JuHalpha"/>
      </w:pPr>
      <w:r>
        <w:t>(β)  Демокрацията и религията в системата на Конвенцията</w:t>
      </w:r>
    </w:p>
    <w:p w:rsidR="00C63CF3" w:rsidRDefault="00AF2D4B">
      <w:pPr>
        <w:pStyle w:val="JuPara"/>
      </w:pPr>
      <w:fldSimple w:instr=" SEQ level0 \*arabic ">
        <w:r w:rsidR="006C2238">
          <w:rPr>
            <w:noProof/>
          </w:rPr>
          <w:t>90</w:t>
        </w:r>
      </w:fldSimple>
      <w:r w:rsidR="006C2238">
        <w:t>.  За целите на настоящото дело Съдът се позовава също на съдебн</w:t>
      </w:r>
      <w:r w:rsidR="00E75F50">
        <w:t>а</w:t>
      </w:r>
      <w:r w:rsidR="006C2238">
        <w:t>т</w:t>
      </w:r>
      <w:r w:rsidR="00E75F50">
        <w:t>а</w:t>
      </w:r>
      <w:r w:rsidR="006C2238">
        <w:t xml:space="preserve"> си практик</w:t>
      </w:r>
      <w:r w:rsidR="00E75F50">
        <w:t>а</w:t>
      </w:r>
      <w:r w:rsidR="006C2238">
        <w:t xml:space="preserve"> във връзка с мястото на религията в демократичното общество и демократичната държава. Съдът подчертава отново, че гарантирана от член 9, свободата на мисълта, съзнанието и религията е една от основите на „демократичното общество“ по смисъла на Конвенцията. В религиозен аспект това е един от най-важните елементи, който осмисля </w:t>
      </w:r>
      <w:r w:rsidR="00E75F50">
        <w:t>само</w:t>
      </w:r>
      <w:r w:rsidR="006C2238">
        <w:t xml:space="preserve">личността на вярващите и разбиранията им за живота, но е и безценен актив за атеистите, агностиците, скептиците и незаинтересованите. Неделимостта на плурализма от демократичното общество, която е </w:t>
      </w:r>
      <w:r w:rsidR="00A1487F">
        <w:t>извоювана на висока цена</w:t>
      </w:r>
      <w:r w:rsidR="006C2238">
        <w:t xml:space="preserve"> през вековете, зависи от него. Тази свобода включва, </w:t>
      </w:r>
      <w:r w:rsidR="006C2238" w:rsidRPr="005C2DB2">
        <w:t>наред с другото</w:t>
      </w:r>
      <w:r w:rsidR="006C2238" w:rsidRPr="00A1487F">
        <w:t>,</w:t>
      </w:r>
      <w:r w:rsidR="006C2238">
        <w:t xml:space="preserve"> свободата на изповядване или неизповядване на религиозни убеждения и </w:t>
      </w:r>
      <w:r w:rsidR="00A76733">
        <w:t xml:space="preserve">практикуване </w:t>
      </w:r>
      <w:r w:rsidR="006C2238">
        <w:t>или непр</w:t>
      </w:r>
      <w:r w:rsidR="00A76733">
        <w:t>актикуване</w:t>
      </w:r>
      <w:r w:rsidR="006C2238">
        <w:t xml:space="preserve"> </w:t>
      </w:r>
      <w:r w:rsidR="00A76733">
        <w:t>на</w:t>
      </w:r>
      <w:r w:rsidR="006C2238">
        <w:t xml:space="preserve"> определена религия (вж. </w:t>
      </w:r>
      <w:r w:rsidR="006C2238">
        <w:rPr>
          <w:i/>
        </w:rPr>
        <w:t>Kokkinakis v. Greece</w:t>
      </w:r>
      <w:r w:rsidR="006C2238">
        <w:t xml:space="preserve">, решение от 25 май 1993 г., Серия A № 260-A, </w:t>
      </w:r>
      <w:r w:rsidR="006C2238">
        <w:lastRenderedPageBreak/>
        <w:t xml:space="preserve">стр. 17, § 31 и </w:t>
      </w:r>
      <w:r w:rsidR="006C2238">
        <w:rPr>
          <w:i/>
        </w:rPr>
        <w:t>Buscarini and Others v. San Marino</w:t>
      </w:r>
      <w:r w:rsidR="006C2238">
        <w:t xml:space="preserve"> [</w:t>
      </w:r>
      <w:r w:rsidR="00A76733">
        <w:t>ГО</w:t>
      </w:r>
      <w:r w:rsidR="006C2238">
        <w:t>], № 24645/94, § 34, ЕСПЧ 1999-I).</w:t>
      </w:r>
    </w:p>
    <w:p w:rsidR="00C63CF3" w:rsidRDefault="00AF2D4B">
      <w:pPr>
        <w:pStyle w:val="JuPara"/>
      </w:pPr>
      <w:fldSimple w:instr=" SEQ level0 \*arabic ">
        <w:r w:rsidR="006C2238">
          <w:rPr>
            <w:noProof/>
          </w:rPr>
          <w:t>91</w:t>
        </w:r>
      </w:fldSimple>
      <w:r w:rsidR="006C2238">
        <w:t xml:space="preserve">.  Освен това в демократичните общества, в които съжителстват няколко религии, изповядвани от едно и също население, може да се наложи налагането на ограничения на тази свобода, за да се </w:t>
      </w:r>
      <w:r w:rsidR="004B7F22">
        <w:t xml:space="preserve">съгласуват </w:t>
      </w:r>
      <w:r w:rsidR="006C2238">
        <w:t xml:space="preserve">интересите на различните групи и да се гарантира зачитането на убежденията на всеки (вж. </w:t>
      </w:r>
      <w:r w:rsidR="006C2238">
        <w:rPr>
          <w:i/>
        </w:rPr>
        <w:t>Kokkinakis</w:t>
      </w:r>
      <w:r w:rsidR="006C2238">
        <w:t xml:space="preserve">, цитирано по-горе, стр. 18, § 33). Съдът често </w:t>
      </w:r>
      <w:r w:rsidR="004B7F22">
        <w:t xml:space="preserve">е </w:t>
      </w:r>
      <w:r w:rsidR="006C2238">
        <w:t>подчертава</w:t>
      </w:r>
      <w:r w:rsidR="004B7F22">
        <w:t>л</w:t>
      </w:r>
      <w:r w:rsidR="006C2238">
        <w:t xml:space="preserve"> ролята на държавата като неутрален и безпристрастен организатор на изповядването на различни религии, вероизповедания и убеждения и </w:t>
      </w:r>
      <w:r w:rsidR="004B7F22">
        <w:t xml:space="preserve">е </w:t>
      </w:r>
      <w:r w:rsidR="006C2238">
        <w:t>заявява</w:t>
      </w:r>
      <w:r w:rsidR="004B7F22">
        <w:t>л</w:t>
      </w:r>
      <w:r w:rsidR="006C2238">
        <w:t xml:space="preserve">, че тази роля </w:t>
      </w:r>
      <w:r w:rsidR="00EE104A">
        <w:t>допринася</w:t>
      </w:r>
      <w:r w:rsidR="006C2238">
        <w:t xml:space="preserve"> за обществения ред, хармонията </w:t>
      </w:r>
      <w:r w:rsidR="00EE104A">
        <w:t xml:space="preserve">и търпимостта </w:t>
      </w:r>
      <w:r w:rsidR="006C2238">
        <w:t xml:space="preserve">между религиите в демократичното общество. Съдът счита също така, че задължението на държавата да бъде неутрална и безпристрастна е несъвместимо с правомощията </w:t>
      </w:r>
      <w:r w:rsidR="00EE104A">
        <w:t>ѝ</w:t>
      </w:r>
      <w:r w:rsidR="006C2238">
        <w:t xml:space="preserve"> да извършва оценка на законността на религиозните убеждения (вж., </w:t>
      </w:r>
      <w:r w:rsidR="006C2238">
        <w:rPr>
          <w:i/>
        </w:rPr>
        <w:t>mutatis mutandis</w:t>
      </w:r>
      <w:r w:rsidR="006C2238">
        <w:t xml:space="preserve">, </w:t>
      </w:r>
      <w:r w:rsidR="006C2238">
        <w:rPr>
          <w:i/>
        </w:rPr>
        <w:t xml:space="preserve">Cha’are Shalom Ve Tsedek v. France </w:t>
      </w:r>
      <w:r w:rsidR="006C2238">
        <w:t>[</w:t>
      </w:r>
      <w:r w:rsidR="00EE104A">
        <w:t>ГО</w:t>
      </w:r>
      <w:r w:rsidR="006C2238">
        <w:t xml:space="preserve">], № 27417/95, § 84, ЕСПЧ 2000-VII) и често налага държавата да гарантира взаимна търпимост между противопоставящите се групи (вж., </w:t>
      </w:r>
      <w:r w:rsidR="006C2238">
        <w:rPr>
          <w:i/>
        </w:rPr>
        <w:t>mutatis mutandis</w:t>
      </w:r>
      <w:r w:rsidR="006C2238">
        <w:t xml:space="preserve">, </w:t>
      </w:r>
      <w:r w:rsidR="006C2238">
        <w:rPr>
          <w:i/>
        </w:rPr>
        <w:t>Metropolitan Church of Bessarabia and Others v. Moldova</w:t>
      </w:r>
      <w:r w:rsidR="006C2238">
        <w:t>,</w:t>
      </w:r>
      <w:r w:rsidR="006C2238">
        <w:rPr>
          <w:i/>
        </w:rPr>
        <w:t xml:space="preserve"> </w:t>
      </w:r>
      <w:r w:rsidR="006C2238">
        <w:t>№ 45701/99, § 123, ЕСПЧ 2001-XII).</w:t>
      </w:r>
      <w:r w:rsidR="00EE104A">
        <w:t xml:space="preserve"> </w:t>
      </w:r>
    </w:p>
    <w:p w:rsidR="00C63CF3" w:rsidRDefault="00AF2D4B">
      <w:pPr>
        <w:pStyle w:val="JuPara"/>
      </w:pPr>
      <w:fldSimple w:instr=" SEQ level0 \*arabic ">
        <w:r w:rsidR="006C2238">
          <w:rPr>
            <w:noProof/>
          </w:rPr>
          <w:t>92</w:t>
        </w:r>
      </w:fldSimple>
      <w:r w:rsidR="006C2238">
        <w:t>.  Установен</w:t>
      </w:r>
      <w:r w:rsidR="004E329F">
        <w:t>а</w:t>
      </w:r>
      <w:r w:rsidR="006C2238">
        <w:t>т</w:t>
      </w:r>
      <w:r w:rsidR="004E329F">
        <w:t>а</w:t>
      </w:r>
      <w:r w:rsidR="006C2238">
        <w:t xml:space="preserve"> съдебн</w:t>
      </w:r>
      <w:r w:rsidR="004E329F">
        <w:t>а</w:t>
      </w:r>
      <w:r w:rsidR="006C2238">
        <w:t xml:space="preserve"> практик</w:t>
      </w:r>
      <w:r w:rsidR="004E329F">
        <w:t>а</w:t>
      </w:r>
      <w:r w:rsidR="006C2238">
        <w:t xml:space="preserve"> на Съда потвърждава тази функция на държавата. </w:t>
      </w:r>
      <w:r w:rsidR="004E329F">
        <w:t>Тя е посочвала,</w:t>
      </w:r>
      <w:r w:rsidR="006C2238">
        <w:t xml:space="preserve"> че в демократичното общество държавата има право да ограничи свободата на изповядване на религия, например чрез носенето на ислямска забрадка, ако упражняването на тази свобода влиза в противоречие със закрилата на правата и свободите на другите, обществения ред и сигурност (вж. </w:t>
      </w:r>
      <w:r w:rsidR="006C2238">
        <w:rPr>
          <w:i/>
        </w:rPr>
        <w:t xml:space="preserve">Dahlab v. Switzerland </w:t>
      </w:r>
      <w:r w:rsidR="006C2238">
        <w:t>(</w:t>
      </w:r>
      <w:r w:rsidR="008E3ABB">
        <w:t>РД</w:t>
      </w:r>
      <w:r w:rsidR="006C2238">
        <w:t xml:space="preserve">), № 42393/98, ЕСПЧ 2001-V). </w:t>
      </w:r>
    </w:p>
    <w:p w:rsidR="00C63CF3" w:rsidRDefault="008E3ABB">
      <w:pPr>
        <w:pStyle w:val="JuPara"/>
      </w:pPr>
      <w:r>
        <w:t xml:space="preserve">Макар че </w:t>
      </w:r>
      <w:r w:rsidR="006C2238">
        <w:t xml:space="preserve">свободата на религията е преди всичко въпрос на индивидуален избор, тя също така включва свободата </w:t>
      </w:r>
      <w:r>
        <w:t>н</w:t>
      </w:r>
      <w:r w:rsidR="006C2238">
        <w:t>а изповядва</w:t>
      </w:r>
      <w:r>
        <w:t>не</w:t>
      </w:r>
      <w:r w:rsidR="006C2238">
        <w:t xml:space="preserve"> </w:t>
      </w:r>
      <w:r>
        <w:t xml:space="preserve">на </w:t>
      </w:r>
      <w:r w:rsidR="006C2238">
        <w:t xml:space="preserve">дадена религия </w:t>
      </w:r>
      <w:r w:rsidR="00324780">
        <w:t>индивидуално</w:t>
      </w:r>
      <w:r w:rsidR="006C2238">
        <w:t xml:space="preserve"> или </w:t>
      </w:r>
      <w:r w:rsidR="00324780">
        <w:t>колективно</w:t>
      </w:r>
      <w:r w:rsidR="006C2238">
        <w:t>, публично и</w:t>
      </w:r>
      <w:r w:rsidR="00324780">
        <w:t>ли</w:t>
      </w:r>
      <w:r w:rsidR="006C2238">
        <w:t xml:space="preserve"> в кръга на тези, чиито религиозни убеждения </w:t>
      </w:r>
      <w:r w:rsidR="00324780">
        <w:t xml:space="preserve">се </w:t>
      </w:r>
      <w:r w:rsidR="006C2238">
        <w:t>споделя</w:t>
      </w:r>
      <w:r w:rsidR="00324780">
        <w:t>т</w:t>
      </w:r>
      <w:r w:rsidR="006C2238">
        <w:t xml:space="preserve">. Член 9 изброява редица форми на проява на религия или убеждения, а именно богослужение, </w:t>
      </w:r>
      <w:r w:rsidR="00324780">
        <w:t>преподаване</w:t>
      </w:r>
      <w:r w:rsidR="006C2238">
        <w:t xml:space="preserve">, </w:t>
      </w:r>
      <w:r w:rsidR="00A12323">
        <w:t xml:space="preserve">практикуване </w:t>
      </w:r>
      <w:r w:rsidR="006C2238">
        <w:t xml:space="preserve">и </w:t>
      </w:r>
      <w:r w:rsidR="00A12323">
        <w:t xml:space="preserve">спазване на </w:t>
      </w:r>
      <w:r w:rsidR="006C2238">
        <w:t xml:space="preserve">ритуали. Въпреки това той не осигурява закрила на всяка постъпка, мотивирана или повлияна от религия или убеждение (вж. </w:t>
      </w:r>
      <w:r w:rsidR="006C2238">
        <w:rPr>
          <w:i/>
        </w:rPr>
        <w:t>Kalaç v. Turkey</w:t>
      </w:r>
      <w:r w:rsidR="006C2238">
        <w:t xml:space="preserve">, решение от 1 юли 1997 г., </w:t>
      </w:r>
      <w:r w:rsidR="006C2238">
        <w:rPr>
          <w:i/>
        </w:rPr>
        <w:t>Доклади</w:t>
      </w:r>
      <w:r w:rsidR="006C2238">
        <w:t xml:space="preserve"> 1997-IV, стр. 1209, § 27).</w:t>
      </w:r>
    </w:p>
    <w:p w:rsidR="00C63CF3" w:rsidRDefault="006C2238">
      <w:pPr>
        <w:pStyle w:val="JuPara"/>
      </w:pPr>
      <w:r>
        <w:t xml:space="preserve">Задължението на </w:t>
      </w:r>
      <w:r w:rsidR="00A12323">
        <w:t>преподавател</w:t>
      </w:r>
      <w:r>
        <w:t xml:space="preserve"> да спазва обичайното работно време, което той счита за несъвместимо с участията му в молитви, </w:t>
      </w:r>
      <w:r w:rsidR="003E7DE3">
        <w:t xml:space="preserve">може да </w:t>
      </w:r>
      <w:r>
        <w:t xml:space="preserve">е съвместимо със свободата на религията (вж. </w:t>
      </w:r>
      <w:r>
        <w:rPr>
          <w:i/>
        </w:rPr>
        <w:t>X v. the United Kingdom</w:t>
      </w:r>
      <w:r>
        <w:t xml:space="preserve">, № 8160/78, решение на Комисията от 12 март 1981 г., Решения и доклади (DR) 22, стр. 27), каквото е и задължението например мотоциклетистът да носи предпазна каска, което според него не отговаря на религиозните му убеждения (вж. </w:t>
      </w:r>
      <w:r>
        <w:rPr>
          <w:i/>
        </w:rPr>
        <w:t>X v. the United Kingdom</w:t>
      </w:r>
      <w:r>
        <w:t>, № 7992/77, решение на Комисията от 12 юли 1978 г., DR 14, стр. 234).</w:t>
      </w:r>
    </w:p>
    <w:p w:rsidR="00C63CF3" w:rsidRDefault="00AF2D4B">
      <w:pPr>
        <w:pStyle w:val="JuPara"/>
      </w:pPr>
      <w:fldSimple w:instr=" SEQ level0 \*arabic ">
        <w:r w:rsidR="006C2238">
          <w:rPr>
            <w:noProof/>
          </w:rPr>
          <w:t>93</w:t>
        </w:r>
      </w:fldSimple>
      <w:r w:rsidR="006C2238">
        <w:t xml:space="preserve">.  При прилагане на посочените по-горе принципи </w:t>
      </w:r>
      <w:r w:rsidR="003E7DE3">
        <w:t>по отношение на</w:t>
      </w:r>
      <w:r w:rsidR="006C2238">
        <w:t xml:space="preserve"> Турция институциите на Конвенцията </w:t>
      </w:r>
      <w:r w:rsidR="003E7DE3">
        <w:t xml:space="preserve">са </w:t>
      </w:r>
      <w:r w:rsidR="006C2238">
        <w:t>изразява</w:t>
      </w:r>
      <w:r w:rsidR="003E7DE3">
        <w:t>ли</w:t>
      </w:r>
      <w:r w:rsidR="006C2238">
        <w:t xml:space="preserve"> становището, че принципът на светската държава със сигурност</w:t>
      </w:r>
      <w:r w:rsidR="003E7DE3">
        <w:t xml:space="preserve"> е</w:t>
      </w:r>
      <w:r w:rsidR="006C2238">
        <w:t xml:space="preserve"> един от основните принципи на държавата, ко</w:t>
      </w:r>
      <w:r w:rsidR="003E7DE3">
        <w:t>и</w:t>
      </w:r>
      <w:r w:rsidR="006C2238">
        <w:t xml:space="preserve">то </w:t>
      </w:r>
      <w:r w:rsidR="003E7DE3">
        <w:t>са</w:t>
      </w:r>
      <w:r w:rsidR="006C2238">
        <w:t xml:space="preserve"> в хармония с върховенството на закона и зачитането на човешките права и демокрацията. Отношение, което не зачита този принцип, не е </w:t>
      </w:r>
      <w:r w:rsidR="00E34653">
        <w:t>задължително</w:t>
      </w:r>
      <w:r w:rsidR="006C2238">
        <w:t xml:space="preserve"> да се приеме като предмет на свободата на изразяване на религия и не се ползва от закрилата на чл</w:t>
      </w:r>
      <w:r w:rsidR="00E34653">
        <w:t>.</w:t>
      </w:r>
      <w:r w:rsidR="006C2238">
        <w:t xml:space="preserve"> 9 от Конвенцията (вж. становище</w:t>
      </w:r>
      <w:r w:rsidR="00E34653">
        <w:t>то</w:t>
      </w:r>
      <w:r w:rsidR="006C2238">
        <w:t xml:space="preserve"> на Комисията, изложено в неин доклад от 27 февруари 1996 г. по делото </w:t>
      </w:r>
      <w:r w:rsidR="006C2238">
        <w:rPr>
          <w:i/>
        </w:rPr>
        <w:t>Kalaç</w:t>
      </w:r>
      <w:r w:rsidR="006C2238">
        <w:t xml:space="preserve">, цитирано по-горе, стр. 1215, § 44, и, </w:t>
      </w:r>
      <w:r w:rsidR="006C2238">
        <w:rPr>
          <w:i/>
        </w:rPr>
        <w:t>mutatis mutandis</w:t>
      </w:r>
      <w:r w:rsidR="006C2238">
        <w:t>, стр. 1209, §§ 27-31).</w:t>
      </w:r>
    </w:p>
    <w:p w:rsidR="00C63CF3" w:rsidRDefault="00AF2D4B">
      <w:pPr>
        <w:pStyle w:val="JuPara"/>
      </w:pPr>
      <w:fldSimple w:instr=" SEQ level0 \*arabic ">
        <w:r w:rsidR="006C2238">
          <w:rPr>
            <w:noProof/>
          </w:rPr>
          <w:t>94</w:t>
        </w:r>
      </w:fldSimple>
      <w:r w:rsidR="006C2238">
        <w:t xml:space="preserve">.  За да изпълни ролята си на неутрален и безпристрастен организатор на изповядването на религиозните убеждения, държавата има право да реши </w:t>
      </w:r>
      <w:r w:rsidR="00E34653">
        <w:t>д</w:t>
      </w:r>
      <w:r w:rsidR="006C2238">
        <w:t xml:space="preserve">а наложи на </w:t>
      </w:r>
      <w:r w:rsidR="00346026">
        <w:t xml:space="preserve">настоящи </w:t>
      </w:r>
      <w:r w:rsidR="006C2238">
        <w:t xml:space="preserve">или бъдещи държавни служители, които следва да упражняват част от своята суверенна власт, задължението да се въздържат от вземане на участие в движения на ислямски фундаменталисти, чиито цели и планове за действия са </w:t>
      </w:r>
      <w:r w:rsidR="00BF7AFB">
        <w:t xml:space="preserve">свързани с </w:t>
      </w:r>
      <w:r w:rsidR="006C2238">
        <w:t>превъзходство</w:t>
      </w:r>
      <w:r w:rsidR="00BF7AFB">
        <w:t>то</w:t>
      </w:r>
      <w:r w:rsidR="006C2238">
        <w:t xml:space="preserve"> на религиозните правила (вж., </w:t>
      </w:r>
      <w:r w:rsidR="006C2238">
        <w:rPr>
          <w:i/>
        </w:rPr>
        <w:t>mutatis mutandis</w:t>
      </w:r>
      <w:r w:rsidR="006C2238">
        <w:t xml:space="preserve">, </w:t>
      </w:r>
      <w:r w:rsidR="006C2238">
        <w:rPr>
          <w:i/>
        </w:rPr>
        <w:t>Yanasik v. Turkey</w:t>
      </w:r>
      <w:r w:rsidR="006C2238">
        <w:t xml:space="preserve">, no. 14524/89, решение на Комисията от 6 януари 1993 г., DR 74, стр. 14 и </w:t>
      </w:r>
      <w:r w:rsidR="006C2238">
        <w:rPr>
          <w:i/>
        </w:rPr>
        <w:t>Kalaç</w:t>
      </w:r>
      <w:r w:rsidR="006C2238">
        <w:t>, цитирано по-горе, стр. 1209, § 28).</w:t>
      </w:r>
    </w:p>
    <w:p w:rsidR="00C63CF3" w:rsidRDefault="00AF2D4B">
      <w:pPr>
        <w:pStyle w:val="JuPara"/>
      </w:pPr>
      <w:fldSimple w:instr=" SEQ level0 \*arabic ">
        <w:r w:rsidR="006C2238">
          <w:rPr>
            <w:noProof/>
          </w:rPr>
          <w:t>95</w:t>
        </w:r>
      </w:fldSimple>
      <w:r w:rsidR="006C2238">
        <w:t>.  В държава като Турция, където голяма част от населението изповядва конкретна религия, мерките, предприети в университетите за недопускане на определени фундаменталистки религиозни движения да окажат натиск върху студенти, които не изповядват тази религия</w:t>
      </w:r>
      <w:r w:rsidR="00E53174">
        <w:t>,</w:t>
      </w:r>
      <w:r w:rsidR="006C2238">
        <w:t xml:space="preserve"> или на тези, които изповядват друга религия, </w:t>
      </w:r>
      <w:r w:rsidR="00E53174">
        <w:t>могат да бъдат</w:t>
      </w:r>
      <w:r w:rsidR="006C2238">
        <w:t xml:space="preserve"> оправдани по чл</w:t>
      </w:r>
      <w:r w:rsidR="00E53174">
        <w:t>.</w:t>
      </w:r>
      <w:r w:rsidR="006C2238">
        <w:t xml:space="preserve"> 9 § 2 от Конвенцията. В този контекст светските университети имат право да регулират употребата на ритуали и символи на въпросната религия чрез налагане на ограничения по отношение на мястото и начина на изразяване с цел гарантиране на мирно съжителство между студенти от различни вероизповедания, като по този начин се защитава обществения ред и убежденията на другите (вж. </w:t>
      </w:r>
      <w:r w:rsidR="006C2238">
        <w:rPr>
          <w:i/>
        </w:rPr>
        <w:t>Karaduman v. Turkey</w:t>
      </w:r>
      <w:r w:rsidR="006C2238">
        <w:t>, № 16278/90, решение на Комисията от 3 май 1993 г., DR 74, стр. 93).</w:t>
      </w:r>
    </w:p>
    <w:p w:rsidR="00C63CF3" w:rsidRDefault="006C2238">
      <w:pPr>
        <w:pStyle w:val="JuHalpha"/>
      </w:pPr>
      <w:r>
        <w:t>(γ)  Възможността за налагане на ограничения и строгия</w:t>
      </w:r>
      <w:r w:rsidR="00084F1D">
        <w:t>т</w:t>
      </w:r>
      <w:r>
        <w:t xml:space="preserve"> надзор от страна на Европа</w:t>
      </w:r>
    </w:p>
    <w:p w:rsidR="00C63CF3" w:rsidRDefault="00AF2D4B">
      <w:pPr>
        <w:pStyle w:val="JuPara"/>
      </w:pPr>
      <w:fldSimple w:instr=" SEQ level0 \*arabic ">
        <w:r w:rsidR="006C2238">
          <w:rPr>
            <w:noProof/>
          </w:rPr>
          <w:t>96</w:t>
        </w:r>
      </w:fldSimple>
      <w:r w:rsidR="006C2238">
        <w:t xml:space="preserve">.  Свободите, гарантирани </w:t>
      </w:r>
      <w:r w:rsidR="00084F1D">
        <w:t>в</w:t>
      </w:r>
      <w:r w:rsidR="006C2238">
        <w:t xml:space="preserve"> чл</w:t>
      </w:r>
      <w:r w:rsidR="00084F1D">
        <w:t>.</w:t>
      </w:r>
      <w:r w:rsidR="006C2238">
        <w:t xml:space="preserve"> 11 и членове 9 и 10 от Конвенцията</w:t>
      </w:r>
      <w:r w:rsidR="00084F1D">
        <w:t>,</w:t>
      </w:r>
      <w:r w:rsidR="006C2238">
        <w:t xml:space="preserve"> не могат да лишат властите в държава, в която сдружаването поради дейностт</w:t>
      </w:r>
      <w:r w:rsidR="00084F1D">
        <w:t>а</w:t>
      </w:r>
      <w:r w:rsidR="006C2238">
        <w:t xml:space="preserve"> си представлява заплаха за държавните институции, от правото да осигурява</w:t>
      </w:r>
      <w:r w:rsidR="00084F1D">
        <w:t>т</w:t>
      </w:r>
      <w:r w:rsidR="006C2238">
        <w:t xml:space="preserve"> закрила на тези институции. В тази връзка Съдът изтъква свои предишни </w:t>
      </w:r>
      <w:r w:rsidR="00CE50B7">
        <w:t>становища</w:t>
      </w:r>
      <w:r w:rsidR="006C2238">
        <w:t>, че компромиси</w:t>
      </w:r>
      <w:r w:rsidR="00CE50B7">
        <w:t>те</w:t>
      </w:r>
      <w:r w:rsidR="006C2238">
        <w:t xml:space="preserve"> между изискванията за гарантиране на демократичното общество и индивидуалните права са присъщи на системата на Конвенцията. За да има компромис от такъв тип, всяка намеса на властите </w:t>
      </w:r>
      <w:r w:rsidR="00CE50B7">
        <w:t>трябва</w:t>
      </w:r>
      <w:r w:rsidR="006C2238">
        <w:t xml:space="preserve"> да бъде в съответствие с </w:t>
      </w:r>
      <w:r w:rsidR="00CE50B7">
        <w:t xml:space="preserve">ал. </w:t>
      </w:r>
      <w:r w:rsidR="006C2238">
        <w:t>2 на чл</w:t>
      </w:r>
      <w:r w:rsidR="00CE50B7">
        <w:t>.</w:t>
      </w:r>
      <w:r w:rsidR="006C2238">
        <w:t xml:space="preserve"> 11 — въпрос, който Съдът разглежда по-долу. </w:t>
      </w:r>
      <w:r w:rsidR="006C2238">
        <w:lastRenderedPageBreak/>
        <w:t xml:space="preserve">Само след извършването на прегледа Съдът </w:t>
      </w:r>
      <w:r w:rsidR="00CE50B7">
        <w:t>може</w:t>
      </w:r>
      <w:r w:rsidR="006C2238">
        <w:t xml:space="preserve"> да вземе решение, предвид всички обстоятелства по делото, дали чл</w:t>
      </w:r>
      <w:r w:rsidR="00275D2F">
        <w:t>.</w:t>
      </w:r>
      <w:r w:rsidR="006C2238">
        <w:t xml:space="preserve"> 17 от Конвенцията следва да се приложи (вж. </w:t>
      </w:r>
      <w:r w:rsidR="006C2238">
        <w:rPr>
          <w:i/>
        </w:rPr>
        <w:t>United Communist Party of Turkey and Others</w:t>
      </w:r>
      <w:r w:rsidR="006C2238">
        <w:t xml:space="preserve">, цитирано по-горе, стр. 18, § 32). </w:t>
      </w:r>
    </w:p>
    <w:p w:rsidR="00C63CF3" w:rsidRDefault="00AF2D4B">
      <w:pPr>
        <w:pStyle w:val="JuPara"/>
      </w:pPr>
      <w:fldSimple w:instr=" SEQ level0 \*arabic ">
        <w:r w:rsidR="006C2238">
          <w:rPr>
            <w:noProof/>
          </w:rPr>
          <w:t>97</w:t>
        </w:r>
      </w:fldSimple>
      <w:r w:rsidR="006C2238">
        <w:t xml:space="preserve">.  Съдът </w:t>
      </w:r>
      <w:r w:rsidR="00275D2F">
        <w:t>е</w:t>
      </w:r>
      <w:r w:rsidR="006C2238">
        <w:t xml:space="preserve"> определ</w:t>
      </w:r>
      <w:r w:rsidR="00275D2F">
        <w:t xml:space="preserve">ил и следните </w:t>
      </w:r>
      <w:r w:rsidR="006C2238">
        <w:t>рамки, в които политическите организации могат да продължат да се ползват от закрилата на Конвенцията при извършване на дейностите си (пак там, стр. 27, § 57):</w:t>
      </w:r>
    </w:p>
    <w:p w:rsidR="00C63CF3" w:rsidRDefault="006C2238">
      <w:pPr>
        <w:pStyle w:val="JuQuot"/>
      </w:pPr>
      <w:r>
        <w:t xml:space="preserve">„... една от основните характеристики на демокрацията </w:t>
      </w:r>
      <w:r w:rsidR="00275D2F">
        <w:rPr>
          <w:lang w:val="en-US"/>
        </w:rPr>
        <w:t>[</w:t>
      </w:r>
      <w:r>
        <w:t>е</w:t>
      </w:r>
      <w:r w:rsidR="00275D2F">
        <w:rPr>
          <w:lang w:val="en-US"/>
        </w:rPr>
        <w:t>]</w:t>
      </w:r>
      <w:r>
        <w:t xml:space="preserve"> възможността, която предлага за решаването на държавните проблеми чрез диалог, без прибягване до насилие, дори когато те са от неособено приятно естество. Демокрацията почива върху свободата на изразяването. От тази гледна точка не може да има оправдание за възпрепятстване на определена политическа група</w:t>
      </w:r>
      <w:r w:rsidR="0017213A">
        <w:t>,</w:t>
      </w:r>
      <w:r>
        <w:t xml:space="preserve"> само защото се стреми към обществено обсъждане на ситуацията на част от населението на държавата и </w:t>
      </w:r>
      <w:r w:rsidR="0017213A">
        <w:t>към</w:t>
      </w:r>
      <w:r>
        <w:t xml:space="preserve"> участие в политическия живот на нацията, за да </w:t>
      </w:r>
      <w:r w:rsidR="0017213A">
        <w:t>намери</w:t>
      </w:r>
      <w:r>
        <w:t xml:space="preserve">, съгласно демократичните правила, решения, които могат да </w:t>
      </w:r>
      <w:r w:rsidR="0017213A">
        <w:t>удовлетворят</w:t>
      </w:r>
      <w:r>
        <w:t xml:space="preserve"> всички заинтересовани.“</w:t>
      </w:r>
    </w:p>
    <w:p w:rsidR="00C63CF3" w:rsidRDefault="00AF2D4B">
      <w:pPr>
        <w:pStyle w:val="JuPara"/>
      </w:pPr>
      <w:fldSimple w:instr=" SEQ level0 \*arabic ">
        <w:r w:rsidR="006C2238">
          <w:rPr>
            <w:noProof/>
          </w:rPr>
          <w:t>98</w:t>
        </w:r>
      </w:fldSimple>
      <w:r w:rsidR="006C2238">
        <w:t xml:space="preserve">.  Предвид това Съдът счита, че дадена политическа партия има право да прокламира промени в законодателството и </w:t>
      </w:r>
      <w:r w:rsidR="007476BB">
        <w:t>устройството</w:t>
      </w:r>
      <w:r w:rsidR="006C2238">
        <w:t xml:space="preserve"> на държавата при две условия: първо, </w:t>
      </w:r>
      <w:r w:rsidR="007476BB">
        <w:t xml:space="preserve">използваните за целта </w:t>
      </w:r>
      <w:r w:rsidR="006C2238">
        <w:t>начини, трябва да бъдат законни и демократични; второ, предлаганата промяна трябва сама по себе си да отговаря на основните демократични принципи. От това непременно следва, че политическа партия, чиито ръководители подтикват към насилие или прокарват политика, която не зачита демокрацията или която има за цел разрушаването на демокрацията и пренебрегване</w:t>
      </w:r>
      <w:r w:rsidR="00AC66AB">
        <w:t>то</w:t>
      </w:r>
      <w:r w:rsidR="006C2238">
        <w:t xml:space="preserve"> на правата и свободите, признати от демокрацията, не мо</w:t>
      </w:r>
      <w:r w:rsidR="00AC66AB">
        <w:t>же</w:t>
      </w:r>
      <w:r w:rsidR="006C2238">
        <w:t xml:space="preserve"> да </w:t>
      </w:r>
      <w:r w:rsidR="00AC66AB">
        <w:t>претендира</w:t>
      </w:r>
      <w:r w:rsidR="006C2238">
        <w:t xml:space="preserve"> закрилата на Конвенцията срещу санкции, наложени в тази връзка (вж. </w:t>
      </w:r>
      <w:r w:rsidR="006C2238">
        <w:rPr>
          <w:i/>
        </w:rPr>
        <w:t>Yazar and Others v. Turkey</w:t>
      </w:r>
      <w:r w:rsidR="006C2238">
        <w:t>,</w:t>
      </w:r>
      <w:r w:rsidR="006C2238">
        <w:rPr>
          <w:i/>
        </w:rPr>
        <w:t xml:space="preserve"> </w:t>
      </w:r>
      <w:r w:rsidR="006C2238">
        <w:t xml:space="preserve">номера 22723/93, 22724/93 и 22725/93, § 49, ЕСПЧ 2002-II, и, </w:t>
      </w:r>
      <w:r w:rsidR="006C2238">
        <w:rPr>
          <w:i/>
        </w:rPr>
        <w:t>mutatis mutandis</w:t>
      </w:r>
      <w:r w:rsidR="006C2238">
        <w:t xml:space="preserve">, следните решения: </w:t>
      </w:r>
      <w:r w:rsidR="006C2238">
        <w:rPr>
          <w:i/>
        </w:rPr>
        <w:t>Станков и ОМО Илинден срещу България</w:t>
      </w:r>
      <w:r w:rsidR="006C2238">
        <w:t xml:space="preserve">, номера 29221/95 и 29225/95, § 97, ЕСПЧ 2001-IX, и </w:t>
      </w:r>
      <w:r w:rsidR="006C2238">
        <w:rPr>
          <w:i/>
        </w:rPr>
        <w:t>Socialist Party and Others v. Turkey</w:t>
      </w:r>
      <w:r w:rsidR="006C2238">
        <w:t xml:space="preserve">, решение от 25 май 1998 г., </w:t>
      </w:r>
      <w:r w:rsidR="006C2238">
        <w:rPr>
          <w:i/>
        </w:rPr>
        <w:t xml:space="preserve">Доклади </w:t>
      </w:r>
      <w:r w:rsidR="006C2238">
        <w:t>1998-III, страници 1256-57, §§ 46-47).</w:t>
      </w:r>
    </w:p>
    <w:p w:rsidR="00C63CF3" w:rsidRDefault="00AF2D4B">
      <w:pPr>
        <w:pStyle w:val="JuPara"/>
      </w:pPr>
      <w:fldSimple w:instr=" SEQ level0 \*arabic ">
        <w:r w:rsidR="006C2238">
          <w:rPr>
            <w:noProof/>
          </w:rPr>
          <w:t>99</w:t>
        </w:r>
      </w:fldSimple>
      <w:r w:rsidR="006C2238">
        <w:t xml:space="preserve">.  Не може да се изключи възможността политическа партия, при пледиране </w:t>
      </w:r>
      <w:r w:rsidR="00CB0D96">
        <w:t xml:space="preserve">на </w:t>
      </w:r>
      <w:r w:rsidR="006C2238">
        <w:t>правата, залегнали в чл</w:t>
      </w:r>
      <w:r w:rsidR="00CB0D96">
        <w:t>.</w:t>
      </w:r>
      <w:r w:rsidR="006C2238">
        <w:t xml:space="preserve"> 11 и членове 9 и 10 от Конвенцията, да опита да извлече оттам правото да </w:t>
      </w:r>
      <w:r w:rsidR="00CB0D96">
        <w:t>из</w:t>
      </w:r>
      <w:r w:rsidR="006C2238">
        <w:t>върш</w:t>
      </w:r>
      <w:r w:rsidR="00CB0D96">
        <w:t>ва</w:t>
      </w:r>
      <w:r w:rsidR="006C2238">
        <w:t xml:space="preserve"> </w:t>
      </w:r>
      <w:r w:rsidR="00CB0D96">
        <w:t>дейности,</w:t>
      </w:r>
      <w:r w:rsidR="00CB0D96" w:rsidDel="00CB0D96">
        <w:t xml:space="preserve"> </w:t>
      </w:r>
      <w:r w:rsidR="00CB0D96">
        <w:t xml:space="preserve">които на практика </w:t>
      </w:r>
      <w:r w:rsidR="006C2238">
        <w:t>има</w:t>
      </w:r>
      <w:r w:rsidR="00CB0D96">
        <w:t>т</w:t>
      </w:r>
      <w:r w:rsidR="006C2238">
        <w:t xml:space="preserve"> за цел премахването на правата или свободите, заложени в Конвенцията</w:t>
      </w:r>
      <w:r w:rsidR="00CB0D96">
        <w:t>,</w:t>
      </w:r>
      <w:r w:rsidR="006C2238">
        <w:t xml:space="preserve"> </w:t>
      </w:r>
      <w:r w:rsidR="00CB0D96">
        <w:t xml:space="preserve">като по този начин </w:t>
      </w:r>
      <w:r w:rsidR="006C2238">
        <w:t xml:space="preserve">доведе до разрушаване на демокрацията (вж. </w:t>
      </w:r>
      <w:r w:rsidR="006C2238">
        <w:rPr>
          <w:i/>
        </w:rPr>
        <w:t>Communist Party (KPD) v. Germany</w:t>
      </w:r>
      <w:r w:rsidR="006C2238">
        <w:t xml:space="preserve">, № 250/57, решение на Комисията от 20 юли 1957 г., Годишник 1, стр. 222). Предвид пределно ясната връзка между Конвенцията и демокрацията (вж. параграфи 86-89 по-горе), никой няма право да се позовава на разпоредбите на Конвенцията, за да отслаби или разруши идеалите и ценностите на демократичното общество. Плурализмът и демокрацията са основани на компромис, който налага различни отстъпки от лица или групи лица, които понякога трябва да дадат съгласието си за </w:t>
      </w:r>
      <w:r w:rsidR="006C2238">
        <w:lastRenderedPageBreak/>
        <w:t xml:space="preserve">ограничаване на някои от свободите, от които се ползват, за да се гарантира по-голяма стабилност на държавата като цяло (вж., </w:t>
      </w:r>
      <w:r w:rsidR="006C2238">
        <w:rPr>
          <w:i/>
        </w:rPr>
        <w:t>mutatis mutandis</w:t>
      </w:r>
      <w:r w:rsidR="006C2238">
        <w:t xml:space="preserve">, </w:t>
      </w:r>
      <w:r w:rsidR="006C2238">
        <w:rPr>
          <w:i/>
        </w:rPr>
        <w:t>Petersen v. Germany</w:t>
      </w:r>
      <w:r w:rsidR="006C2238">
        <w:t xml:space="preserve"> (</w:t>
      </w:r>
      <w:r w:rsidR="00F867A7">
        <w:t>РД</w:t>
      </w:r>
      <w:r w:rsidR="006C2238">
        <w:t>), № 39793/98, ЕСПЧ 2001-XII).</w:t>
      </w:r>
    </w:p>
    <w:p w:rsidR="00C63CF3" w:rsidRDefault="006C2238">
      <w:pPr>
        <w:pStyle w:val="JuPara"/>
      </w:pPr>
      <w:r>
        <w:t xml:space="preserve">В този контекст Съдът счита, че изобщо не е </w:t>
      </w:r>
      <w:r w:rsidR="00F867A7">
        <w:t>изключено</w:t>
      </w:r>
      <w:r>
        <w:t xml:space="preserve"> тоталитарни движения, организирани под формата на политически партии, </w:t>
      </w:r>
      <w:r w:rsidR="00D149DB">
        <w:t xml:space="preserve">да </w:t>
      </w:r>
      <w:r>
        <w:t xml:space="preserve">могат да изкоренят демокрацията, след като просперират под демократичен режим, </w:t>
      </w:r>
      <w:r w:rsidR="00D149DB">
        <w:t>като</w:t>
      </w:r>
      <w:r>
        <w:t xml:space="preserve"> примери за това </w:t>
      </w:r>
      <w:r w:rsidR="00D149DB">
        <w:t xml:space="preserve">са налице </w:t>
      </w:r>
      <w:r>
        <w:t>в съвременната европейска история.</w:t>
      </w:r>
    </w:p>
    <w:p w:rsidR="00C63CF3" w:rsidRDefault="00AF2D4B">
      <w:pPr>
        <w:pStyle w:val="JuPara"/>
      </w:pPr>
      <w:fldSimple w:instr=" SEQ level0 \*arabic ">
        <w:r w:rsidR="006C2238">
          <w:rPr>
            <w:noProof/>
          </w:rPr>
          <w:t>100</w:t>
        </w:r>
      </w:fldSimple>
      <w:r w:rsidR="006C2238">
        <w:t xml:space="preserve">.  Съдът </w:t>
      </w:r>
      <w:r w:rsidR="00B42305">
        <w:t>обаче подчертава отново</w:t>
      </w:r>
      <w:r w:rsidR="006C2238">
        <w:t>, че изключенията, определени в чл</w:t>
      </w:r>
      <w:r w:rsidR="00B42305">
        <w:t>.</w:t>
      </w:r>
      <w:r w:rsidR="006C2238">
        <w:t xml:space="preserve"> 11</w:t>
      </w:r>
      <w:r w:rsidR="00B42305">
        <w:t>,</w:t>
      </w:r>
      <w:r w:rsidR="006C2238">
        <w:t xml:space="preserve"> в случаите, когато се касае за политически партии, </w:t>
      </w:r>
      <w:r w:rsidR="00B42305">
        <w:t xml:space="preserve">трябва </w:t>
      </w:r>
      <w:r w:rsidR="006C2238">
        <w:t xml:space="preserve">да се </w:t>
      </w:r>
      <w:r w:rsidR="00B42305">
        <w:t>тълкуват стриктно</w:t>
      </w:r>
      <w:r w:rsidR="006C2238">
        <w:t>; само убедителни и непреодолими причини могат да обосноват ограничения на свободата на сдружаване на тези парти</w:t>
      </w:r>
      <w:r w:rsidR="009C393E">
        <w:t>и</w:t>
      </w:r>
      <w:r w:rsidR="006C2238">
        <w:t>. При определяне</w:t>
      </w:r>
      <w:r w:rsidR="009C393E">
        <w:t>то</w:t>
      </w:r>
      <w:r w:rsidR="006C2238">
        <w:t xml:space="preserve"> на необходимост по смисъла на чл</w:t>
      </w:r>
      <w:r w:rsidR="009C393E">
        <w:t>.</w:t>
      </w:r>
      <w:r w:rsidR="006C2238">
        <w:t xml:space="preserve"> 11 § 2</w:t>
      </w:r>
      <w:r w:rsidR="009C393E">
        <w:t>,</w:t>
      </w:r>
      <w:r w:rsidR="006C2238">
        <w:t xml:space="preserve"> </w:t>
      </w:r>
      <w:r w:rsidR="009C393E">
        <w:t>Д</w:t>
      </w:r>
      <w:r w:rsidR="006C2238">
        <w:t xml:space="preserve">оговарящите държави разполагат само с ограничена свобода на преценка. Въпреки че Съдът няма право да заема мястото на националните власти, които са в по-добра позиция от международен съд да вземат решения например по отношение на подходящото време за намеса, той </w:t>
      </w:r>
      <w:r w:rsidR="009C393E">
        <w:t>трябва</w:t>
      </w:r>
      <w:r w:rsidR="006C2238">
        <w:t xml:space="preserve"> да упражнява строг надзор, който </w:t>
      </w:r>
      <w:r w:rsidR="00804E44">
        <w:t xml:space="preserve">обхваща </w:t>
      </w:r>
      <w:r w:rsidR="006C2238">
        <w:t xml:space="preserve">правото и решенията за прилагането му, включително тези, постановени от независими съдилища. Драстични мерки като разпускането на цяла политическа партия и </w:t>
      </w:r>
      <w:r w:rsidR="00804E44">
        <w:t xml:space="preserve">налагане на неправоспособност </w:t>
      </w:r>
      <w:r w:rsidR="006C2238">
        <w:t xml:space="preserve">на ръководителите </w:t>
      </w:r>
      <w:r w:rsidR="00804E44">
        <w:t>ѝ</w:t>
      </w:r>
      <w:r w:rsidR="006C2238">
        <w:t xml:space="preserve"> да упражняват </w:t>
      </w:r>
      <w:r w:rsidR="00804E44">
        <w:t xml:space="preserve">сходни </w:t>
      </w:r>
      <w:r w:rsidR="006C2238">
        <w:t xml:space="preserve">дейности за определен период от време, могат да бъдат предприети само в най-тежките случаи (вж. следните решения: </w:t>
      </w:r>
      <w:r w:rsidR="006C2238">
        <w:rPr>
          <w:i/>
        </w:rPr>
        <w:t>United Communist Party of Turkey and Others</w:t>
      </w:r>
      <w:r w:rsidR="006C2238">
        <w:t xml:space="preserve">, цитирано по-горе, стр. 22, § 46; </w:t>
      </w:r>
      <w:r w:rsidR="006C2238">
        <w:rPr>
          <w:i/>
        </w:rPr>
        <w:t>Socialist Party and Others</w:t>
      </w:r>
      <w:r w:rsidR="006C2238">
        <w:t xml:space="preserve">, цитирано по-горе, стр. 1258, § 50; и </w:t>
      </w:r>
      <w:r w:rsidR="006C2238">
        <w:rPr>
          <w:i/>
        </w:rPr>
        <w:t>Freedom and Democracy Party (ÖZDEP) v. Turkey</w:t>
      </w:r>
      <w:r w:rsidR="006C2238">
        <w:t xml:space="preserve"> [</w:t>
      </w:r>
      <w:r w:rsidR="00285412">
        <w:t>ГО</w:t>
      </w:r>
      <w:r w:rsidR="006C2238">
        <w:t xml:space="preserve">], № 23885/94, § 45, ЕСПЧ 1999-VIII). При условие че отговаря на условията, определени в параграф 98 по-горе, политическа партия, ръководена от морални ценности, наложени от религия, не може да се счита за неблагоприятна </w:t>
      </w:r>
      <w:r w:rsidR="00050F63">
        <w:t>по своята същност по отношение на</w:t>
      </w:r>
      <w:r w:rsidR="006C2238">
        <w:t xml:space="preserve"> основните принципи на демокрацията, предвиден</w:t>
      </w:r>
      <w:r w:rsidR="00050F63">
        <w:t>и</w:t>
      </w:r>
      <w:r w:rsidR="006C2238">
        <w:t xml:space="preserve"> в Конвенцията.</w:t>
      </w:r>
    </w:p>
    <w:p w:rsidR="00C63CF3" w:rsidRDefault="006C2238">
      <w:pPr>
        <w:pStyle w:val="JuHalpha"/>
      </w:pPr>
      <w:r>
        <w:t>(δ)  Отговорност на политическа партия за постъпките и изказванията на нейни членовете</w:t>
      </w:r>
    </w:p>
    <w:p w:rsidR="00C63CF3" w:rsidRDefault="00AF2D4B">
      <w:fldSimple w:instr=" SEQ level0 \*arabic ">
        <w:r w:rsidR="006C2238">
          <w:rPr>
            <w:noProof/>
          </w:rPr>
          <w:t>101</w:t>
        </w:r>
      </w:fldSimple>
      <w:r w:rsidR="006C2238">
        <w:t>.  Освен това Съдът счита, че устав</w:t>
      </w:r>
      <w:r w:rsidR="00050F63">
        <w:t>ът</w:t>
      </w:r>
      <w:r w:rsidR="006C2238">
        <w:t xml:space="preserve"> и програмата на дадена политическа партия не могат да се вземат предвид като единствен критерий за определяне на целите и намеренията </w:t>
      </w:r>
      <w:r w:rsidR="00050F63">
        <w:t>ѝ</w:t>
      </w:r>
      <w:r w:rsidR="006C2238">
        <w:t xml:space="preserve">. Политическият опит на </w:t>
      </w:r>
      <w:r w:rsidR="00050F63">
        <w:t>Д</w:t>
      </w:r>
      <w:r w:rsidR="006C2238">
        <w:t>оговарящите държави е показал, че в миналото политически партии, чиито цели са били в противоречие с основните принципи на демокрацията, не са разкривали подобни намерения в официалните си публикации до идва</w:t>
      </w:r>
      <w:r w:rsidR="00050F63">
        <w:t>нето си</w:t>
      </w:r>
      <w:r w:rsidR="006C2238">
        <w:t xml:space="preserve"> на власт. Поради това Съдът винаги </w:t>
      </w:r>
      <w:r w:rsidR="00290066">
        <w:t xml:space="preserve">е </w:t>
      </w:r>
      <w:r w:rsidR="006C2238">
        <w:t>изтъква</w:t>
      </w:r>
      <w:r w:rsidR="00290066">
        <w:t>л</w:t>
      </w:r>
      <w:r w:rsidR="006C2238">
        <w:t>, че политическите платформи на партиите могат да прикриват цели и намерения, различни от тези, които прокламират. За да се докаже обратното, съдържанието на програмата трябва да се съпостав</w:t>
      </w:r>
      <w:r w:rsidR="00290066">
        <w:t>и</w:t>
      </w:r>
      <w:r w:rsidR="006C2238">
        <w:t xml:space="preserve"> с </w:t>
      </w:r>
      <w:r w:rsidR="00290066">
        <w:lastRenderedPageBreak/>
        <w:t xml:space="preserve">действията </w:t>
      </w:r>
      <w:r w:rsidR="006C2238">
        <w:t xml:space="preserve">на ръководителите на партията и позициите, отстоявани от тях. Взети заедно, тези постъпки и позиции могат да бъдат от значение при производството за разпускане на дадена политическа партия, при условие че като цяло разкриват целите и намеренията </w:t>
      </w:r>
      <w:r w:rsidR="00290066">
        <w:t>ѝ</w:t>
      </w:r>
      <w:r w:rsidR="006C2238">
        <w:t xml:space="preserve"> (вж. </w:t>
      </w:r>
      <w:r w:rsidR="006C2238">
        <w:rPr>
          <w:i/>
        </w:rPr>
        <w:t>United Communist Party of Turkey and Others</w:t>
      </w:r>
      <w:r w:rsidR="006C2238">
        <w:t xml:space="preserve">, цитирано по-горе. 27, § 58 и </w:t>
      </w:r>
      <w:r w:rsidR="006C2238">
        <w:rPr>
          <w:i/>
        </w:rPr>
        <w:t>Socialist Party and Others</w:t>
      </w:r>
      <w:r w:rsidR="006C2238">
        <w:t>, цитирано по-горе, страници 1257-58, § 48).</w:t>
      </w:r>
    </w:p>
    <w:p w:rsidR="00C63CF3" w:rsidRDefault="006C2238">
      <w:pPr>
        <w:pStyle w:val="JuHalpha"/>
      </w:pPr>
      <w:r>
        <w:t>(ε)  Подходящ</w:t>
      </w:r>
      <w:r w:rsidR="00290066">
        <w:t>ият</w:t>
      </w:r>
      <w:r>
        <w:t xml:space="preserve"> момент за разпускане</w:t>
      </w:r>
    </w:p>
    <w:p w:rsidR="00C63CF3" w:rsidRDefault="00AF2D4B">
      <w:pPr>
        <w:pStyle w:val="JuPara"/>
      </w:pPr>
      <w:fldSimple w:instr=" SEQ level0 \*arabic ">
        <w:r w:rsidR="006C2238">
          <w:rPr>
            <w:noProof/>
          </w:rPr>
          <w:t>102</w:t>
        </w:r>
      </w:fldSimple>
      <w:r w:rsidR="006C2238">
        <w:t>.  Освен това Съдът счита, че от държавата не трябва да се иска да чака преди да се намеси, докато политическата партия дойде на власт и започ</w:t>
      </w:r>
      <w:r w:rsidR="00020FE8">
        <w:t>не</w:t>
      </w:r>
      <w:r w:rsidR="006C2238">
        <w:t xml:space="preserve"> предприемането на конкретни </w:t>
      </w:r>
      <w:r w:rsidR="00020FE8">
        <w:t xml:space="preserve">стъпки </w:t>
      </w:r>
      <w:r w:rsidR="006C2238">
        <w:t xml:space="preserve">за осъществяване на политика, която е несъвместима с нормите на Конвенцията и демокрацията, </w:t>
      </w:r>
      <w:r w:rsidR="00020FE8">
        <w:t>макар</w:t>
      </w:r>
      <w:r w:rsidR="006C2238">
        <w:t xml:space="preserve"> опасността, която тази политика представлява за демокрацията, </w:t>
      </w:r>
      <w:r w:rsidR="00020FE8">
        <w:t xml:space="preserve">да </w:t>
      </w:r>
      <w:r w:rsidR="006C2238">
        <w:t xml:space="preserve">е достатъчно </w:t>
      </w:r>
      <w:r w:rsidR="00020FE8">
        <w:t xml:space="preserve">доказана </w:t>
      </w:r>
      <w:r w:rsidR="006C2238">
        <w:t xml:space="preserve">и непосредствена. Съдът приема, че когато наличието на подобна опасност е установено от националните съдилища, след подробен преглед под строг европейски надзор, държавата има право „основателно да </w:t>
      </w:r>
      <w:r w:rsidR="005D4E84">
        <w:t xml:space="preserve">предотврати </w:t>
      </w:r>
      <w:r w:rsidR="006C2238">
        <w:t xml:space="preserve">провеждането на подобна политика, която е несъвместима с разпоредбите на Конвенцията, преди да е направен опит за осъществяването </w:t>
      </w:r>
      <w:r w:rsidR="005D4E84">
        <w:t>ѝ</w:t>
      </w:r>
      <w:r w:rsidR="006C2238">
        <w:t xml:space="preserve"> посредством конкретни стъпки, които могат да засегнат гражданския мир и демократичния режим в държавата“ (вж. решение</w:t>
      </w:r>
      <w:r w:rsidR="005D4E84">
        <w:t>то</w:t>
      </w:r>
      <w:r w:rsidR="006C2238">
        <w:t xml:space="preserve"> на </w:t>
      </w:r>
      <w:r w:rsidR="005D4E84">
        <w:t>състава</w:t>
      </w:r>
      <w:r w:rsidR="006C2238">
        <w:t>, § 81).</w:t>
      </w:r>
    </w:p>
    <w:p w:rsidR="00C63CF3" w:rsidRDefault="00AF2D4B">
      <w:pPr>
        <w:pStyle w:val="JuPara"/>
      </w:pPr>
      <w:fldSimple w:instr=" SEQ level0 \*arabic ">
        <w:r w:rsidR="006C2238">
          <w:rPr>
            <w:noProof/>
          </w:rPr>
          <w:t>103</w:t>
        </w:r>
      </w:fldSimple>
      <w:r w:rsidR="006C2238">
        <w:t xml:space="preserve">.  Съдът е на мнение, че подобно право на превантивна намеса от страна на държавата отговаря също така на позитивните задължения на </w:t>
      </w:r>
      <w:r w:rsidR="002A6299">
        <w:t>Д</w:t>
      </w:r>
      <w:r w:rsidR="006C2238">
        <w:t>оговарящите страни по чл</w:t>
      </w:r>
      <w:r w:rsidR="002A6299">
        <w:t>.</w:t>
      </w:r>
      <w:r w:rsidR="006C2238">
        <w:t xml:space="preserve"> 1 от Конвенцията за обезпечаване на правата и свободите на хората в рамките на своите компетенции. Тези задължения са свързани не само с намеса в резултат на действия или бездействия от страна на представители на държавата или които се случват в обществени </w:t>
      </w:r>
      <w:r w:rsidR="00162A32">
        <w:t>учреждения</w:t>
      </w:r>
      <w:r w:rsidR="006C2238">
        <w:t xml:space="preserve">, но също и с намеса по отношение на физически лица в рамките на неправителствени организации (вж. например, във връзка със задължението на държавата да изгради честни болнични заведения, предприеме мерки за закрила на живота, </w:t>
      </w:r>
      <w:r w:rsidR="006C2238">
        <w:rPr>
          <w:i/>
        </w:rPr>
        <w:t>Calvelli and Ciglio</w:t>
      </w:r>
      <w:r w:rsidR="006C2238">
        <w:t xml:space="preserve"> </w:t>
      </w:r>
      <w:r w:rsidR="006C2238">
        <w:rPr>
          <w:i/>
        </w:rPr>
        <w:t xml:space="preserve">v. Italy </w:t>
      </w:r>
      <w:r w:rsidR="006C2238">
        <w:t>[</w:t>
      </w:r>
      <w:r w:rsidR="00162A32">
        <w:t>ГО</w:t>
      </w:r>
      <w:r w:rsidR="006C2238">
        <w:t xml:space="preserve">], № 32967/96, § 49, ЕСПЧ 2002-I). </w:t>
      </w:r>
      <w:r w:rsidR="00162A32">
        <w:t xml:space="preserve">Договаряща </w:t>
      </w:r>
      <w:r w:rsidR="006C2238">
        <w:t>страна може да се обоснове съгласно позитивните си задължения при налагането на политически партии, които представляват органи, чиято</w:t>
      </w:r>
      <w:r w:rsidR="006C2238">
        <w:rPr>
          <w:i/>
        </w:rPr>
        <w:t xml:space="preserve"> </w:t>
      </w:r>
      <w:r w:rsidR="00747738" w:rsidRPr="00747738">
        <w:rPr>
          <w:i/>
          <w:lang w:val="en-GB"/>
        </w:rPr>
        <w:t>raison d’être</w:t>
      </w:r>
      <w:r w:rsidR="006C2238">
        <w:t xml:space="preserve"> е да придобият власт и да управляват дейността на значителна част от държавния апарат, задължението да зачитат и </w:t>
      </w:r>
      <w:r w:rsidR="00747738">
        <w:t xml:space="preserve">защитават </w:t>
      </w:r>
      <w:r w:rsidR="006C2238">
        <w:t>правата и свободите, гарантирани от Конвенцията</w:t>
      </w:r>
      <w:r w:rsidR="00747738">
        <w:t>,</w:t>
      </w:r>
      <w:r w:rsidR="006C2238">
        <w:t xml:space="preserve"> и задължението да не прокарват политическ</w:t>
      </w:r>
      <w:r w:rsidR="00747738">
        <w:t>и</w:t>
      </w:r>
      <w:r w:rsidR="006C2238">
        <w:t xml:space="preserve"> програм</w:t>
      </w:r>
      <w:r w:rsidR="00747738">
        <w:t>и</w:t>
      </w:r>
      <w:r w:rsidR="006C2238">
        <w:t xml:space="preserve"> </w:t>
      </w:r>
      <w:r w:rsidR="00747738">
        <w:t>в</w:t>
      </w:r>
      <w:r w:rsidR="006C2238">
        <w:t xml:space="preserve"> противоречи</w:t>
      </w:r>
      <w:r w:rsidR="00747738">
        <w:t>е</w:t>
      </w:r>
      <w:r w:rsidR="006C2238">
        <w:t xml:space="preserve"> </w:t>
      </w:r>
      <w:r w:rsidR="00747738">
        <w:t>с</w:t>
      </w:r>
      <w:r w:rsidR="006C2238">
        <w:t xml:space="preserve"> основните принципи на демокрацията.</w:t>
      </w:r>
    </w:p>
    <w:p w:rsidR="00C63CF3" w:rsidRDefault="006C2238">
      <w:pPr>
        <w:pStyle w:val="JuHalpha"/>
      </w:pPr>
      <w:r>
        <w:t>(ζ)  Цялостен преглед</w:t>
      </w:r>
    </w:p>
    <w:p w:rsidR="00C63CF3" w:rsidRDefault="00AF2D4B">
      <w:pPr>
        <w:pStyle w:val="JuPara"/>
      </w:pPr>
      <w:fldSimple w:instr=" SEQ level0 \*arabic ">
        <w:r w:rsidR="006C2238">
          <w:rPr>
            <w:noProof/>
          </w:rPr>
          <w:t>104</w:t>
        </w:r>
      </w:fldSimple>
      <w:r w:rsidR="006C2238">
        <w:t>.  С оглед на горните съображения, цялостния</w:t>
      </w:r>
      <w:r w:rsidR="00747738">
        <w:t>т</w:t>
      </w:r>
      <w:r w:rsidR="006C2238">
        <w:t xml:space="preserve"> преглед от страна на Съда на въпроса дали разпускането на политическа партия, която </w:t>
      </w:r>
      <w:r w:rsidR="006C2238">
        <w:lastRenderedPageBreak/>
        <w:t>излага на риск от заплаха на демократичните принципи, отговаря на „неотложн</w:t>
      </w:r>
      <w:r w:rsidR="00747738">
        <w:t>а</w:t>
      </w:r>
      <w:r w:rsidR="006C2238">
        <w:t xml:space="preserve"> социалн</w:t>
      </w:r>
      <w:r w:rsidR="00747738">
        <w:t>а</w:t>
      </w:r>
      <w:r w:rsidR="006C2238">
        <w:t xml:space="preserve"> потребност“ (вж. например </w:t>
      </w:r>
      <w:r w:rsidR="006C2238">
        <w:rPr>
          <w:i/>
        </w:rPr>
        <w:t>Socialist Party and Others</w:t>
      </w:r>
      <w:r w:rsidR="006C2238">
        <w:t xml:space="preserve">, цитирано по-горе, стр. 1258, § 49) </w:t>
      </w:r>
      <w:r w:rsidR="00B508A8">
        <w:t>трябва да се съсредоточи</w:t>
      </w:r>
      <w:r w:rsidR="006C2238">
        <w:t xml:space="preserve"> върху следните </w:t>
      </w:r>
      <w:r w:rsidR="00B508A8">
        <w:t>въпроси</w:t>
      </w:r>
      <w:r w:rsidR="006C2238">
        <w:t xml:space="preserve">: (i) </w:t>
      </w:r>
      <w:r w:rsidR="00B508A8">
        <w:t xml:space="preserve">дали е </w:t>
      </w:r>
      <w:r w:rsidR="006C2238">
        <w:t xml:space="preserve">налице правдоподобно доказателство, че рискът за демокрацията </w:t>
      </w:r>
      <w:r w:rsidR="00B508A8">
        <w:t>(</w:t>
      </w:r>
      <w:r w:rsidR="006C2238">
        <w:t xml:space="preserve">ако се предположи, че такъв </w:t>
      </w:r>
      <w:r w:rsidR="00B508A8">
        <w:t xml:space="preserve">доказано </w:t>
      </w:r>
      <w:r w:rsidR="006C2238">
        <w:t>съществува</w:t>
      </w:r>
      <w:r w:rsidR="00B508A8">
        <w:t>)</w:t>
      </w:r>
      <w:r w:rsidR="006C2238">
        <w:t xml:space="preserve"> е достатъчно непосредствен; (ii) дали </w:t>
      </w:r>
      <w:r w:rsidR="00B508A8">
        <w:t>действията</w:t>
      </w:r>
      <w:r w:rsidR="006C2238">
        <w:t xml:space="preserve"> и изказванията на ръководителите и членовете на политическа</w:t>
      </w:r>
      <w:r w:rsidR="00E0577E">
        <w:t>та</w:t>
      </w:r>
      <w:r w:rsidR="006C2238">
        <w:t xml:space="preserve"> партия могат да бъдат </w:t>
      </w:r>
      <w:r w:rsidR="006C5D26">
        <w:t>приписани на</w:t>
      </w:r>
      <w:r w:rsidR="006C2238">
        <w:t xml:space="preserve"> партията като цяло; и (iii) дали </w:t>
      </w:r>
      <w:r w:rsidR="006C5D26">
        <w:t xml:space="preserve">действията </w:t>
      </w:r>
      <w:r w:rsidR="006C2238">
        <w:t xml:space="preserve">и изказванията, които се </w:t>
      </w:r>
      <w:r w:rsidR="009B1F6C">
        <w:t>приписват на</w:t>
      </w:r>
      <w:r w:rsidR="006C2238">
        <w:t xml:space="preserve"> политическата партия, представляват цялостна </w:t>
      </w:r>
      <w:r w:rsidR="009B1F6C">
        <w:t xml:space="preserve">и </w:t>
      </w:r>
      <w:r w:rsidR="006C2238">
        <w:t xml:space="preserve">ясна картина </w:t>
      </w:r>
      <w:r w:rsidR="009B1F6C">
        <w:t>н</w:t>
      </w:r>
      <w:r w:rsidR="006C2238">
        <w:t xml:space="preserve">а </w:t>
      </w:r>
      <w:r w:rsidR="009B1F6C">
        <w:t xml:space="preserve">обществения </w:t>
      </w:r>
      <w:r w:rsidR="006C2238">
        <w:t>модел, замислен и застъпван от партията, който е несъвместим с концепцията за „демократично общество“.</w:t>
      </w:r>
    </w:p>
    <w:p w:rsidR="00C63CF3" w:rsidRDefault="00AF2D4B">
      <w:pPr>
        <w:pStyle w:val="JuPara"/>
      </w:pPr>
      <w:fldSimple w:instr=" SEQ level0 \*arabic ">
        <w:r w:rsidR="006C2238">
          <w:rPr>
            <w:noProof/>
          </w:rPr>
          <w:t>105</w:t>
        </w:r>
      </w:fldSimple>
      <w:r w:rsidR="006C2238">
        <w:t>.  Цялостния</w:t>
      </w:r>
      <w:r w:rsidR="009B1F6C">
        <w:t>т</w:t>
      </w:r>
      <w:r w:rsidR="006C2238">
        <w:t xml:space="preserve"> преглед на точките по-горе показва, че Съдът също така трябва да вземе под внимание историческия контекст, в който се осъществява разпускането на </w:t>
      </w:r>
      <w:r w:rsidR="008865C1">
        <w:t xml:space="preserve">въпросната </w:t>
      </w:r>
      <w:r w:rsidR="006C2238">
        <w:t>партия</w:t>
      </w:r>
      <w:r w:rsidR="008865C1">
        <w:t>,</w:t>
      </w:r>
      <w:r w:rsidR="006C2238">
        <w:t xml:space="preserve"> и общия интерес </w:t>
      </w:r>
      <w:r w:rsidR="008865C1">
        <w:t>при</w:t>
      </w:r>
      <w:r w:rsidR="006C2238">
        <w:t xml:space="preserve"> зачитането на принципа на секуларизма в </w:t>
      </w:r>
      <w:r w:rsidR="008865C1">
        <w:t xml:space="preserve">този </w:t>
      </w:r>
      <w:r w:rsidR="006C2238">
        <w:t xml:space="preserve">контекст </w:t>
      </w:r>
      <w:r w:rsidR="008865C1">
        <w:t xml:space="preserve">във въпросната държава с цел </w:t>
      </w:r>
      <w:r w:rsidR="006C2238">
        <w:t xml:space="preserve">гарантиране на правилното функциониране на „демократичното общество“ (вж., </w:t>
      </w:r>
      <w:r w:rsidR="006C2238">
        <w:rPr>
          <w:i/>
        </w:rPr>
        <w:t>mutatis mutandis</w:t>
      </w:r>
      <w:r w:rsidR="006C2238">
        <w:t xml:space="preserve">, </w:t>
      </w:r>
      <w:r w:rsidR="006C2238">
        <w:rPr>
          <w:i/>
        </w:rPr>
        <w:t>Petersen</w:t>
      </w:r>
      <w:r w:rsidR="006C2238">
        <w:t>, цитирано по-горе).</w:t>
      </w:r>
    </w:p>
    <w:p w:rsidR="00C63CF3" w:rsidRDefault="006C2238">
      <w:pPr>
        <w:pStyle w:val="JuHi"/>
      </w:pPr>
      <w:r>
        <w:t>(ii) Приложение на посочените по-горе принципи към настоящото дело</w:t>
      </w:r>
    </w:p>
    <w:p w:rsidR="00C63CF3" w:rsidRDefault="00AF2D4B">
      <w:pPr>
        <w:pStyle w:val="JuPara"/>
      </w:pPr>
      <w:fldSimple w:instr=" SEQ level0 \*arabic ">
        <w:r w:rsidR="006C2238">
          <w:rPr>
            <w:noProof/>
          </w:rPr>
          <w:t>106</w:t>
        </w:r>
      </w:fldSimple>
      <w:r w:rsidR="006C2238">
        <w:t xml:space="preserve">.  Съдът ще посвети първата част на прегледа си на въпроса дали разпускането на Refah и </w:t>
      </w:r>
      <w:r w:rsidR="00760C59">
        <w:t xml:space="preserve">второстепенните </w:t>
      </w:r>
      <w:r w:rsidR="006C2238">
        <w:t>санкции, наложени на другите жалбоподатели, отговаря</w:t>
      </w:r>
      <w:r w:rsidR="00760C59">
        <w:t>т</w:t>
      </w:r>
      <w:r w:rsidR="006C2238">
        <w:t xml:space="preserve"> на „неотложн</w:t>
      </w:r>
      <w:r w:rsidR="00760C59">
        <w:t>а</w:t>
      </w:r>
      <w:r w:rsidR="006C2238">
        <w:t xml:space="preserve"> социалн</w:t>
      </w:r>
      <w:r w:rsidR="00760C59">
        <w:t>а</w:t>
      </w:r>
      <w:r w:rsidR="006C2238">
        <w:t xml:space="preserve"> потребност“. След това Съдът ще определи, ако се наложи, дали тези санкции са „пропорционални на преследваните законни цели“.</w:t>
      </w:r>
    </w:p>
    <w:p w:rsidR="00C63CF3" w:rsidRDefault="006C2238">
      <w:pPr>
        <w:pStyle w:val="JuHalpha"/>
      </w:pPr>
      <w:r>
        <w:t>(α)  Неотложн</w:t>
      </w:r>
      <w:r w:rsidR="00760C59">
        <w:t>а</w:t>
      </w:r>
      <w:r>
        <w:t xml:space="preserve"> социалн</w:t>
      </w:r>
      <w:r w:rsidR="00760C59">
        <w:t>а</w:t>
      </w:r>
      <w:r>
        <w:t xml:space="preserve"> потребност</w:t>
      </w:r>
    </w:p>
    <w:p w:rsidR="00C63CF3" w:rsidRDefault="006C2238">
      <w:pPr>
        <w:pStyle w:val="JuH"/>
      </w:pPr>
      <w:r>
        <w:t>Подходящ</w:t>
      </w:r>
      <w:r w:rsidR="00760C59">
        <w:t>ият</w:t>
      </w:r>
      <w:r>
        <w:t xml:space="preserve"> момент за разпускане</w:t>
      </w:r>
    </w:p>
    <w:p w:rsidR="00C63CF3" w:rsidRDefault="00AF2D4B">
      <w:pPr>
        <w:pStyle w:val="JuPara"/>
      </w:pPr>
      <w:fldSimple w:instr=" SEQ level0 \*arabic ">
        <w:r w:rsidR="006C2238">
          <w:rPr>
            <w:noProof/>
          </w:rPr>
          <w:t>107</w:t>
        </w:r>
      </w:fldSimple>
      <w:r w:rsidR="006C2238">
        <w:t>.  Съдът първо ще реши дали Refah е представлявала заплаха за демократичния режим по времето, когато е разпусната.</w:t>
      </w:r>
    </w:p>
    <w:p w:rsidR="00C63CF3" w:rsidRDefault="006C2238">
      <w:pPr>
        <w:pStyle w:val="JuPara"/>
      </w:pPr>
      <w:r>
        <w:t xml:space="preserve">Съдът отбелязва в тази връзка, че Refah е основана през 1983 г., взела е участие в редица общи и местни изборни кампании и е получила близо 22% от гласовете на общите избори през 1995 г., което </w:t>
      </w:r>
      <w:r w:rsidR="00F86CF3">
        <w:t>ѝ</w:t>
      </w:r>
      <w:r>
        <w:t xml:space="preserve"> да</w:t>
      </w:r>
      <w:r w:rsidR="00F86CF3">
        <w:t>ва</w:t>
      </w:r>
      <w:r>
        <w:t xml:space="preserve"> 158 места във Великото народно събрание (от общо 450 към момента</w:t>
      </w:r>
      <w:r w:rsidR="00F86CF3">
        <w:t xml:space="preserve"> на настъпване на събитията</w:t>
      </w:r>
      <w:r>
        <w:t xml:space="preserve">). След споделяне на властта в коалиционно правителство Refah получава около 35% от гласовете на местните избори, проведени през ноември 1996 г. Според социологическо проучване, проведено през януари 1997 г., ако общите избори са </w:t>
      </w:r>
      <w:r w:rsidR="00F86CF3">
        <w:t xml:space="preserve">били </w:t>
      </w:r>
      <w:r>
        <w:t xml:space="preserve">проведени </w:t>
      </w:r>
      <w:r w:rsidR="00F86CF3">
        <w:t>по това време</w:t>
      </w:r>
      <w:r>
        <w:t xml:space="preserve">, Refah </w:t>
      </w:r>
      <w:r w:rsidR="00F86CF3">
        <w:t>е щяла да</w:t>
      </w:r>
      <w:r>
        <w:t xml:space="preserve"> получи 38% от гласовете. Според прогнозите на същото проучване, Refah </w:t>
      </w:r>
      <w:r w:rsidR="002A3F74">
        <w:t xml:space="preserve">е можела да </w:t>
      </w:r>
      <w:r>
        <w:t>получи 67% от гласовете на общите избори</w:t>
      </w:r>
      <w:r w:rsidR="002A3F74">
        <w:t>,</w:t>
      </w:r>
      <w:r>
        <w:t xml:space="preserve"> </w:t>
      </w:r>
      <w:r w:rsidR="002A3F74">
        <w:t>които вероятно са щели да се проведат близо</w:t>
      </w:r>
      <w:r>
        <w:t xml:space="preserve"> четири години по-късно (вж. параграф 11 по-горе). Независимо от </w:t>
      </w:r>
      <w:r>
        <w:lastRenderedPageBreak/>
        <w:t xml:space="preserve">несигурното естество на някои социологически проучвания, тези цифри показват значителното увеличение на влиянието на Refah като политическа партия и шансовете </w:t>
      </w:r>
      <w:r w:rsidR="002A3F74">
        <w:t>ѝ</w:t>
      </w:r>
      <w:r>
        <w:t xml:space="preserve"> еднолично да поеме властта.</w:t>
      </w:r>
    </w:p>
    <w:p w:rsidR="00C63CF3" w:rsidRDefault="00AF2D4B">
      <w:pPr>
        <w:pStyle w:val="JuPara"/>
      </w:pPr>
      <w:fldSimple w:instr=" SEQ level0 \*arabic ">
        <w:r w:rsidR="006C2238">
          <w:rPr>
            <w:noProof/>
          </w:rPr>
          <w:t>108</w:t>
        </w:r>
      </w:fldSimple>
      <w:r w:rsidR="006C2238">
        <w:t xml:space="preserve">.  Съответно Съдът счита, че по време на разпускането </w:t>
      </w:r>
      <w:r w:rsidR="002A3F74">
        <w:t>ѝ</w:t>
      </w:r>
      <w:r w:rsidR="006C2238">
        <w:t xml:space="preserve">, Refah има реален потенциал да вземе властта, без да </w:t>
      </w:r>
      <w:r w:rsidR="00AE697B">
        <w:t>бъде ограничена от</w:t>
      </w:r>
      <w:r w:rsidR="006C2238">
        <w:t xml:space="preserve"> компромисите, които са присъщи на една коалиция. </w:t>
      </w:r>
      <w:r w:rsidR="00AE697B">
        <w:t>Ако</w:t>
      </w:r>
      <w:r w:rsidR="006C2238">
        <w:t xml:space="preserve"> Refah </w:t>
      </w:r>
      <w:r w:rsidR="00AE697B">
        <w:t xml:space="preserve">беше </w:t>
      </w:r>
      <w:r w:rsidR="006C2238">
        <w:t>предложи</w:t>
      </w:r>
      <w:r w:rsidR="00AE697B">
        <w:t>ла</w:t>
      </w:r>
      <w:r w:rsidR="006C2238">
        <w:t xml:space="preserve"> програма, която противоречи на демократичните принципи, монополът </w:t>
      </w:r>
      <w:r w:rsidR="00AE697B">
        <w:t>ѝ</w:t>
      </w:r>
      <w:r w:rsidR="006C2238">
        <w:t xml:space="preserve"> по отношение на политическата власт </w:t>
      </w:r>
      <w:r w:rsidR="00AE697B">
        <w:t>щеше да ѝ</w:t>
      </w:r>
      <w:r w:rsidR="006C2238">
        <w:t xml:space="preserve"> позволи да установи </w:t>
      </w:r>
      <w:r w:rsidR="00AE697B">
        <w:t xml:space="preserve">обществения </w:t>
      </w:r>
      <w:r w:rsidR="006C2238">
        <w:t>модел, предвиден в нея.</w:t>
      </w:r>
    </w:p>
    <w:p w:rsidR="00C63CF3" w:rsidRDefault="00AF2D4B">
      <w:pPr>
        <w:pStyle w:val="JuPara"/>
      </w:pPr>
      <w:fldSimple w:instr=" SEQ level0 \*arabic ">
        <w:r w:rsidR="006C2238">
          <w:rPr>
            <w:noProof/>
          </w:rPr>
          <w:t>109</w:t>
        </w:r>
      </w:fldSimple>
      <w:r w:rsidR="006C2238">
        <w:t xml:space="preserve">.  По отношение на аргумента на жалбоподателите, че Refah е санкционирана заради изказвания на нейни членове, направени няколко години преди разпускането </w:t>
      </w:r>
      <w:r w:rsidR="00AE697B">
        <w:t>ѝ</w:t>
      </w:r>
      <w:r w:rsidR="006C2238">
        <w:t xml:space="preserve">, Съдът счита, че турските съдилища, при разглеждане на конституционалността на действията на партията, е могъл </w:t>
      </w:r>
      <w:r w:rsidR="00D22C2C">
        <w:t xml:space="preserve">основателно </w:t>
      </w:r>
      <w:r w:rsidR="006C2238">
        <w:t>да вземе предвид увеличението с времето на действителния риск, който представляват дейностите на Refah за принципите на демокрацията. Същото се отнася и за прегледа на спазването от страна на Refah на принципите, заложени в Конвенцията.</w:t>
      </w:r>
    </w:p>
    <w:p w:rsidR="00C63CF3" w:rsidRDefault="006C2238">
      <w:pPr>
        <w:pStyle w:val="JuPara"/>
        <w:rPr>
          <w:snapToGrid w:val="0"/>
        </w:rPr>
      </w:pPr>
      <w:r>
        <w:t xml:space="preserve">Първо, програмата и политиките на </w:t>
      </w:r>
      <w:r w:rsidR="00D22C2C">
        <w:t xml:space="preserve">една </w:t>
      </w:r>
      <w:r>
        <w:t xml:space="preserve">политическа партия могат да бъдат разяснени чрез </w:t>
      </w:r>
      <w:r w:rsidR="00D22C2C">
        <w:t xml:space="preserve">натрупване </w:t>
      </w:r>
      <w:r>
        <w:t>на дей</w:t>
      </w:r>
      <w:r w:rsidR="00144201">
        <w:t>ствия</w:t>
      </w:r>
      <w:r>
        <w:t xml:space="preserve"> и изказвания на нейните членове </w:t>
      </w:r>
      <w:r w:rsidR="00144201">
        <w:t xml:space="preserve">в </w:t>
      </w:r>
      <w:r>
        <w:t>сравнително дълъг период от време. Второ, съответната партия може</w:t>
      </w:r>
      <w:r w:rsidR="00144201">
        <w:t xml:space="preserve"> </w:t>
      </w:r>
      <w:r>
        <w:t>с годините да увеличи шансовете си за получаване на политическа власт и осъществяване на политиките си.</w:t>
      </w:r>
    </w:p>
    <w:p w:rsidR="00C63CF3" w:rsidRDefault="006C2238">
      <w:pPr>
        <w:pStyle w:val="JuPara"/>
        <w:rPr>
          <w:snapToGrid w:val="0"/>
        </w:rPr>
      </w:pPr>
      <w:r>
        <w:rPr>
          <w:snapToGrid w:val="0"/>
        </w:rPr>
        <w:fldChar w:fldCharType="begin"/>
      </w:r>
      <w:r>
        <w:rPr>
          <w:snapToGrid w:val="0"/>
        </w:rPr>
        <w:instrText xml:space="preserve"> SEQ level0 \*arabic </w:instrText>
      </w:r>
      <w:r>
        <w:rPr>
          <w:snapToGrid w:val="0"/>
        </w:rPr>
        <w:fldChar w:fldCharType="separate"/>
      </w:r>
      <w:r>
        <w:rPr>
          <w:noProof/>
          <w:snapToGrid w:val="0"/>
        </w:rPr>
        <w:t>110</w:t>
      </w:r>
      <w:r>
        <w:rPr>
          <w:snapToGrid w:val="0"/>
        </w:rPr>
        <w:fldChar w:fldCharType="end"/>
      </w:r>
      <w:r>
        <w:t xml:space="preserve">.  Тъй като </w:t>
      </w:r>
      <w:r w:rsidR="00144201">
        <w:t xml:space="preserve">в настоящия случай </w:t>
      </w:r>
      <w:r>
        <w:t xml:space="preserve">има основания да се смята, че политиките на Refah представляват опасност за правата и свободите, гарантирани от Конвенцията, реалните шансове партията да осъществи програмата си след поемане на властта, правят тази опасност по-осезаема и по-непосредствена. </w:t>
      </w:r>
      <w:r w:rsidR="00144201">
        <w:t>При това положение</w:t>
      </w:r>
      <w:r>
        <w:t xml:space="preserve"> Съдът не може да отправя критики към националните съдилища за това, че не са реагирали по-рано </w:t>
      </w:r>
      <w:r w:rsidR="00144201">
        <w:t xml:space="preserve">с </w:t>
      </w:r>
      <w:r>
        <w:t xml:space="preserve">риск </w:t>
      </w:r>
      <w:r w:rsidR="00F457FE">
        <w:t xml:space="preserve">да се намесят </w:t>
      </w:r>
      <w:r>
        <w:t>преждевременн</w:t>
      </w:r>
      <w:r w:rsidR="00F457FE">
        <w:t>о</w:t>
      </w:r>
      <w:r>
        <w:t xml:space="preserve"> и преди съответната опасност да се материализира и да </w:t>
      </w:r>
      <w:r w:rsidR="00F457FE">
        <w:t>стане</w:t>
      </w:r>
      <w:r>
        <w:t xml:space="preserve"> </w:t>
      </w:r>
      <w:r w:rsidR="00F457FE">
        <w:t>реална</w:t>
      </w:r>
      <w:r>
        <w:t>. Съд</w:t>
      </w:r>
      <w:r w:rsidR="00F457FE">
        <w:t>ът</w:t>
      </w:r>
      <w:r>
        <w:t xml:space="preserve"> </w:t>
      </w:r>
      <w:r w:rsidR="00F457FE">
        <w:t xml:space="preserve">не </w:t>
      </w:r>
      <w:r>
        <w:t>може да отправя критики към тях</w:t>
      </w:r>
      <w:r w:rsidR="00F457FE">
        <w:t xml:space="preserve"> и</w:t>
      </w:r>
      <w:r>
        <w:t xml:space="preserve"> за това, че не са изчакали, </w:t>
      </w:r>
      <w:r w:rsidR="00F457FE">
        <w:t>с</w:t>
      </w:r>
      <w:r>
        <w:t xml:space="preserve"> риск от поставяне на политическия режим и гражданския мир под заплаха, Refah да вземе властта и да пристъпи към действия, например чрез прокарване на законопроекти в Парламента, за да осъществи плановете си.</w:t>
      </w:r>
      <w:r w:rsidR="00144201">
        <w:t xml:space="preserve"> </w:t>
      </w:r>
    </w:p>
    <w:p w:rsidR="00C63CF3" w:rsidRDefault="006C2238">
      <w:pPr>
        <w:pStyle w:val="JuPara"/>
        <w:rPr>
          <w:snapToGrid w:val="0"/>
        </w:rPr>
      </w:pPr>
      <w:r>
        <w:t xml:space="preserve">Накратко Съдът счита, че </w:t>
      </w:r>
      <w:r w:rsidR="00602363">
        <w:t>при</w:t>
      </w:r>
      <w:r>
        <w:t xml:space="preserve"> избора си на </w:t>
      </w:r>
      <w:r w:rsidR="00602363">
        <w:t xml:space="preserve">момент на </w:t>
      </w:r>
      <w:r>
        <w:t xml:space="preserve">намеса в настоящия случай националните власти не са преминали границите на свободата на преценка, предоставена им </w:t>
      </w:r>
      <w:r w:rsidR="00602363">
        <w:t>по</w:t>
      </w:r>
      <w:r>
        <w:t xml:space="preserve"> Конвенцията.</w:t>
      </w:r>
    </w:p>
    <w:p w:rsidR="00C63CF3" w:rsidRDefault="006C2238">
      <w:pPr>
        <w:pStyle w:val="JuH"/>
      </w:pPr>
      <w:r>
        <w:t xml:space="preserve">Отговорност на Refah за </w:t>
      </w:r>
      <w:r w:rsidR="00602363">
        <w:t xml:space="preserve">действията </w:t>
      </w:r>
      <w:r>
        <w:t>и изказванията на нейни</w:t>
      </w:r>
      <w:r w:rsidR="00602363">
        <w:t>те</w:t>
      </w:r>
      <w:r>
        <w:t xml:space="preserve"> членовете</w:t>
      </w:r>
    </w:p>
    <w:p w:rsidR="00C63CF3" w:rsidRDefault="00AF2D4B">
      <w:pPr>
        <w:pStyle w:val="JuPara"/>
      </w:pPr>
      <w:fldSimple w:instr=" SEQ level0 \*arabic ">
        <w:r w:rsidR="006C2238">
          <w:rPr>
            <w:noProof/>
          </w:rPr>
          <w:t>111</w:t>
        </w:r>
      </w:fldSimple>
      <w:r w:rsidR="006C2238">
        <w:t>.  </w:t>
      </w:r>
      <w:r w:rsidR="00602363">
        <w:t xml:space="preserve">Страните пред </w:t>
      </w:r>
      <w:r w:rsidR="006C2238">
        <w:t>Съда с</w:t>
      </w:r>
      <w:r w:rsidR="00602363">
        <w:t>а</w:t>
      </w:r>
      <w:r w:rsidR="006C2238">
        <w:t xml:space="preserve"> съглас</w:t>
      </w:r>
      <w:r w:rsidR="00602363">
        <w:t>ни</w:t>
      </w:r>
      <w:r w:rsidR="006C2238">
        <w:t>, че нито в устава, нито в коалиционната програма, обсъждана с друга политическа партия</w:t>
      </w:r>
      <w:r w:rsidR="00436873">
        <w:t xml:space="preserve"> –</w:t>
      </w:r>
      <w:r w:rsidR="006C2238">
        <w:t xml:space="preserve"> Партията на верния път (Doğru Yol Partisi)</w:t>
      </w:r>
      <w:r w:rsidR="00436873">
        <w:t xml:space="preserve"> – </w:t>
      </w:r>
      <w:r w:rsidR="006C2238">
        <w:t xml:space="preserve">Refah не е предлагала </w:t>
      </w:r>
      <w:r w:rsidR="006C2238">
        <w:lastRenderedPageBreak/>
        <w:t xml:space="preserve">промяна на </w:t>
      </w:r>
      <w:r w:rsidR="00436873">
        <w:t xml:space="preserve">конституционната </w:t>
      </w:r>
      <w:r w:rsidR="006C2238">
        <w:t>уредба на Турция, ко</w:t>
      </w:r>
      <w:r w:rsidR="00056B89">
        <w:t>я</w:t>
      </w:r>
      <w:r w:rsidR="006C2238">
        <w:t>то би бил</w:t>
      </w:r>
      <w:r w:rsidR="00056B89">
        <w:t>а</w:t>
      </w:r>
      <w:r w:rsidR="006C2238">
        <w:t xml:space="preserve"> в противоречие с основните принципи на демокрацията. Refah е разпусната въз основа на направени</w:t>
      </w:r>
      <w:r w:rsidR="00056B89">
        <w:t>те</w:t>
      </w:r>
      <w:r w:rsidR="006C2238">
        <w:t xml:space="preserve"> изявления и приети</w:t>
      </w:r>
      <w:r w:rsidR="00056B89">
        <w:t>те</w:t>
      </w:r>
      <w:r w:rsidR="006C2238">
        <w:t xml:space="preserve"> позиции от страна на нейния председател и някои от членовете </w:t>
      </w:r>
      <w:r w:rsidR="00056B89">
        <w:t>ѝ</w:t>
      </w:r>
      <w:r w:rsidR="006C2238">
        <w:t xml:space="preserve">. </w:t>
      </w:r>
    </w:p>
    <w:p w:rsidR="00C63CF3" w:rsidRDefault="00AF2D4B">
      <w:pPr>
        <w:pStyle w:val="JuPara"/>
      </w:pPr>
      <w:fldSimple w:instr=" SEQ level0 \*arabic ">
        <w:r w:rsidR="006C2238">
          <w:rPr>
            <w:noProof/>
          </w:rPr>
          <w:t>112</w:t>
        </w:r>
      </w:fldSimple>
      <w:r w:rsidR="006C2238">
        <w:t xml:space="preserve">.  Тези изявления и позиции са направени или приети, според Конституционния съд, от седем водещи фигури в Refah, а именно </w:t>
      </w:r>
      <w:r w:rsidR="00056B89">
        <w:t xml:space="preserve">от </w:t>
      </w:r>
      <w:r w:rsidR="006C2238">
        <w:t xml:space="preserve">нейния председател г-н Necmettin Erbakan, </w:t>
      </w:r>
      <w:r w:rsidR="00056B89">
        <w:t xml:space="preserve">от </w:t>
      </w:r>
      <w:r w:rsidR="006C2238">
        <w:t xml:space="preserve">двамата </w:t>
      </w:r>
      <w:r w:rsidR="00056B89">
        <w:t>ѝ</w:t>
      </w:r>
      <w:r w:rsidR="006C2238">
        <w:t xml:space="preserve"> заместник-председатели г-н Şevket Kazan и г-н Ahmet Tekdal, </w:t>
      </w:r>
      <w:r w:rsidR="00056B89">
        <w:t xml:space="preserve">от </w:t>
      </w:r>
      <w:r w:rsidR="006C2238">
        <w:t xml:space="preserve">трима народни представители от Refah във Великото народно събрание, г-н Şevki Yılmaz, г-н Hasan Hüseyin Ceylan и г-н İbrahim Halil Çelik, както и </w:t>
      </w:r>
      <w:r w:rsidR="00056B89">
        <w:t xml:space="preserve">от </w:t>
      </w:r>
      <w:r w:rsidR="006C2238">
        <w:t>кмета на град Коня, г-н Recai Karatepe, избран с подкрепата на Refah.</w:t>
      </w:r>
    </w:p>
    <w:p w:rsidR="00C63CF3" w:rsidRDefault="00AF2D4B">
      <w:pPr>
        <w:pStyle w:val="JuPara"/>
      </w:pPr>
      <w:fldSimple w:instr=" SEQ level0 \*arabic ">
        <w:r w:rsidR="006C2238">
          <w:rPr>
            <w:noProof/>
          </w:rPr>
          <w:t>113</w:t>
        </w:r>
      </w:fldSimple>
      <w:r w:rsidR="006C2238">
        <w:t xml:space="preserve">.  Съдът счита, че изявленията и </w:t>
      </w:r>
      <w:r w:rsidR="00067EE7">
        <w:t xml:space="preserve">действията </w:t>
      </w:r>
      <w:r w:rsidR="006C2238">
        <w:t xml:space="preserve">на г-н Necmettin Erbakan в качеството му на председател на Refah или на министър-председател, избран предвид позицията му на ръководител на </w:t>
      </w:r>
      <w:r w:rsidR="00067EE7">
        <w:t xml:space="preserve">неговата </w:t>
      </w:r>
      <w:r w:rsidR="006C2238">
        <w:t xml:space="preserve">партия, могат безспорно да бъдат </w:t>
      </w:r>
      <w:r w:rsidR="00067EE7">
        <w:t>приписани на</w:t>
      </w:r>
      <w:r w:rsidR="006C2238">
        <w:t xml:space="preserve"> Refah. Ролята на председател, който често е емблематична фигура в партията, в този аспект се различава от тази на редов</w:t>
      </w:r>
      <w:r w:rsidR="00067EE7">
        <w:t>и</w:t>
      </w:r>
      <w:r w:rsidR="006C2238">
        <w:t xml:space="preserve"> член. Коментари по политически деликатни въпроси или позиции, направени от председател на дадена партия</w:t>
      </w:r>
      <w:r w:rsidR="009D091A">
        <w:t>,</w:t>
      </w:r>
      <w:r w:rsidR="006C2238">
        <w:t xml:space="preserve"> се възприемат от политически</w:t>
      </w:r>
      <w:r w:rsidR="009D091A">
        <w:t>те</w:t>
      </w:r>
      <w:r w:rsidR="006C2238">
        <w:t xml:space="preserve"> институции и от общественото мнение като </w:t>
      </w:r>
      <w:r w:rsidR="009D091A">
        <w:t>действия</w:t>
      </w:r>
      <w:r w:rsidR="006C2238">
        <w:t xml:space="preserve">, отразяващи гледната точка на партията, а не като лични мнения, освен ако </w:t>
      </w:r>
      <w:r w:rsidR="009D091A">
        <w:t>няма изрично уточнение, че това не е така</w:t>
      </w:r>
      <w:r w:rsidR="006C2238">
        <w:t>. Съдът отбелязва в тази връзка, че г-н Erbakan никога не е посочвал ясно, че изказванията и позициите му не отразяват политиката на Refah или че изразява собствено мнение.</w:t>
      </w:r>
    </w:p>
    <w:p w:rsidR="00C63CF3" w:rsidRDefault="00AF2D4B">
      <w:pPr>
        <w:pStyle w:val="JuPara"/>
      </w:pPr>
      <w:fldSimple w:instr=" SEQ level0 \*arabic ">
        <w:r w:rsidR="006C2238">
          <w:rPr>
            <w:noProof/>
          </w:rPr>
          <w:t>114</w:t>
        </w:r>
      </w:fldSimple>
      <w:r w:rsidR="006C2238">
        <w:t xml:space="preserve">.  Съдът счита, че изказванията и позициите на заместник-председателите на Refah може да се възприемат по същия начин като тези на председателя. Освен ако не е посочено друго, коментари на подобни лица по политически въпроси се </w:t>
      </w:r>
      <w:r w:rsidR="00AD3C44">
        <w:t>приписват на</w:t>
      </w:r>
      <w:r w:rsidR="006C2238">
        <w:t xml:space="preserve"> партията, която те представляват. </w:t>
      </w:r>
      <w:r w:rsidR="00AD3C44">
        <w:t>В настоящия случай т</w:t>
      </w:r>
      <w:r w:rsidR="006C2238">
        <w:t>ова се отнася за коментарите на г-н Şevket Kazan и г-н Ahmet Tekdal.</w:t>
      </w:r>
    </w:p>
    <w:p w:rsidR="00C63CF3" w:rsidRDefault="00AF2D4B">
      <w:pPr>
        <w:pStyle w:val="JuPara"/>
      </w:pPr>
      <w:fldSimple w:instr=" SEQ level0 \*arabic ">
        <w:r w:rsidR="006C2238">
          <w:rPr>
            <w:noProof/>
          </w:rPr>
          <w:t>115</w:t>
        </w:r>
      </w:fldSimple>
      <w:r w:rsidR="006C2238">
        <w:t xml:space="preserve">.  Освен това Съдът счита, че доколкото </w:t>
      </w:r>
      <w:r w:rsidR="00AD3C44">
        <w:t>действията</w:t>
      </w:r>
      <w:r w:rsidR="006C2238">
        <w:t xml:space="preserve"> и коментарите на другите членове на Refah, които са народни представители или заема</w:t>
      </w:r>
      <w:r w:rsidR="00AD3C44">
        <w:t>т</w:t>
      </w:r>
      <w:r w:rsidR="006C2238">
        <w:t xml:space="preserve"> длъжности в местната власт, образуват едно цяло, което разкрива целите и намеренията на партията и </w:t>
      </w:r>
      <w:r w:rsidR="00D756A7">
        <w:t>дава пример</w:t>
      </w:r>
      <w:r w:rsidR="006C2238">
        <w:t>, когато се разгле</w:t>
      </w:r>
      <w:r w:rsidR="00D756A7">
        <w:t>ж</w:t>
      </w:r>
      <w:r w:rsidR="006C2238">
        <w:t>д</w:t>
      </w:r>
      <w:r w:rsidR="00D756A7">
        <w:t>а</w:t>
      </w:r>
      <w:r w:rsidR="006C2238">
        <w:t xml:space="preserve"> </w:t>
      </w:r>
      <w:r w:rsidR="00D756A7">
        <w:t>в своята цялост</w:t>
      </w:r>
      <w:r w:rsidR="006C2238">
        <w:t xml:space="preserve">, </w:t>
      </w:r>
      <w:r w:rsidR="00D756A7">
        <w:t>за</w:t>
      </w:r>
      <w:r w:rsidR="006C2238">
        <w:t xml:space="preserve"> модел на </w:t>
      </w:r>
      <w:r w:rsidR="00D756A7">
        <w:t xml:space="preserve">желано </w:t>
      </w:r>
      <w:r w:rsidR="006C2238">
        <w:t>общество</w:t>
      </w:r>
      <w:r w:rsidR="00C737C6">
        <w:t xml:space="preserve"> – това </w:t>
      </w:r>
      <w:r w:rsidR="006C2238">
        <w:t xml:space="preserve">също може да бъде </w:t>
      </w:r>
      <w:r w:rsidR="00C737C6">
        <w:t>приписано на</w:t>
      </w:r>
      <w:r w:rsidR="006C2238">
        <w:t xml:space="preserve"> Refah. Тези </w:t>
      </w:r>
      <w:r w:rsidR="00C737C6">
        <w:t xml:space="preserve">действия </w:t>
      </w:r>
      <w:r w:rsidR="006C2238">
        <w:t>или коментари има вероятност да окажат влияние върху потенциалните гласоподаватели като подхранва</w:t>
      </w:r>
      <w:r w:rsidR="00C737C6">
        <w:t>т</w:t>
      </w:r>
      <w:r w:rsidR="006C2238">
        <w:t xml:space="preserve"> техните надежди, очаквания и</w:t>
      </w:r>
      <w:r w:rsidR="00C737C6">
        <w:t>ли</w:t>
      </w:r>
      <w:r w:rsidR="006C2238">
        <w:t xml:space="preserve"> страхове, не защото са дело на физически лица, а защото са били извършени или направени от името на Refah от народни представители и кмет, всички избрани с платформата на партията. Подобни </w:t>
      </w:r>
      <w:r w:rsidR="007C3290">
        <w:t xml:space="preserve">действия </w:t>
      </w:r>
      <w:r w:rsidR="006C2238">
        <w:t xml:space="preserve">и изказвания са потенциално по-ефективни от отвлечените понятия, написани в устава и програмата на партията </w:t>
      </w:r>
      <w:r w:rsidR="007C3290">
        <w:t>за</w:t>
      </w:r>
      <w:r w:rsidR="006C2238">
        <w:t xml:space="preserve"> постигане на незаконни </w:t>
      </w:r>
      <w:r w:rsidR="006C2238">
        <w:lastRenderedPageBreak/>
        <w:t xml:space="preserve">цели. Съдът счита, че подобни </w:t>
      </w:r>
      <w:r w:rsidR="007C3290">
        <w:t xml:space="preserve">действия </w:t>
      </w:r>
      <w:r w:rsidR="006C2238">
        <w:t>и изказвания с</w:t>
      </w:r>
      <w:r w:rsidR="007C3290">
        <w:t>е</w:t>
      </w:r>
      <w:r w:rsidR="006C2238">
        <w:t xml:space="preserve"> отнасят за дадена партия, освен ако тя не се разграничи от тях.</w:t>
      </w:r>
    </w:p>
    <w:p w:rsidR="00C63CF3" w:rsidRDefault="006C2238">
      <w:pPr>
        <w:pStyle w:val="JuPara"/>
      </w:pPr>
      <w:r>
        <w:t xml:space="preserve">Малко по-късно обаче Refah издига кандидатурите на отговорните за тези действия и изказвания за важни </w:t>
      </w:r>
      <w:r w:rsidR="007C3290">
        <w:t>постове</w:t>
      </w:r>
      <w:r>
        <w:t>, като например народен представител или кмет на голям град</w:t>
      </w:r>
      <w:r w:rsidR="0057555D">
        <w:t>,</w:t>
      </w:r>
      <w:r>
        <w:t xml:space="preserve"> и разпростран</w:t>
      </w:r>
      <w:r w:rsidR="0057555D">
        <w:t>ява</w:t>
      </w:r>
      <w:r>
        <w:t xml:space="preserve"> едно от незаконосъобразните изказвания </w:t>
      </w:r>
      <w:r w:rsidR="0057555D">
        <w:t>сред</w:t>
      </w:r>
      <w:r>
        <w:t xml:space="preserve"> местните си </w:t>
      </w:r>
      <w:r w:rsidR="0057555D">
        <w:t>структури</w:t>
      </w:r>
      <w:r>
        <w:t>, за да служ</w:t>
      </w:r>
      <w:r w:rsidR="0057555D">
        <w:t>и</w:t>
      </w:r>
      <w:r>
        <w:t xml:space="preserve"> като материал за политическо обучение на членовете. Преди да бъде образувано производството по разпускането на Refah</w:t>
      </w:r>
      <w:r w:rsidR="0057555D">
        <w:t>,</w:t>
      </w:r>
      <w:r>
        <w:t xml:space="preserve"> не </w:t>
      </w:r>
      <w:r w:rsidR="0057555D">
        <w:t>са</w:t>
      </w:r>
      <w:r>
        <w:t xml:space="preserve"> предприети </w:t>
      </w:r>
      <w:r w:rsidR="0057555D">
        <w:t xml:space="preserve">дисциплинарни действия </w:t>
      </w:r>
      <w:r>
        <w:t xml:space="preserve">в рамките на партията срещу авторите на изказванията във връзка с техните дейности или публични изявления, като Refah никога не е отправяла критики към коментарите им. Съдът приема заключението на Конституционния съд на Турция по този въпрос, че Refah е взела решение да изключи отговорните за въпросните действия и изказвания с надежда да избегне разпускането и че решението не е взето свободно, </w:t>
      </w:r>
      <w:r w:rsidR="007D2D9C">
        <w:t>както би трябвало да се взимат</w:t>
      </w:r>
      <w:r>
        <w:t xml:space="preserve"> решенията на ръководителите на сдружения, </w:t>
      </w:r>
      <w:r w:rsidR="00210F3D">
        <w:t>ако е необходимо да бъдат признати по</w:t>
      </w:r>
      <w:r>
        <w:t xml:space="preserve"> чл</w:t>
      </w:r>
      <w:r w:rsidR="00210F3D">
        <w:t>.</w:t>
      </w:r>
      <w:r>
        <w:t xml:space="preserve"> 11 (вж., </w:t>
      </w:r>
      <w:r>
        <w:rPr>
          <w:i/>
        </w:rPr>
        <w:t>mutatis mutandis</w:t>
      </w:r>
      <w:r>
        <w:t xml:space="preserve">, </w:t>
      </w:r>
      <w:r>
        <w:rPr>
          <w:i/>
        </w:rPr>
        <w:t>Freedom and Democracy Party (ÖZDEP)</w:t>
      </w:r>
      <w:r>
        <w:t>, цитирано по-горе, § 26).</w:t>
      </w:r>
    </w:p>
    <w:p w:rsidR="00C63CF3" w:rsidRDefault="006C2238">
      <w:pPr>
        <w:pStyle w:val="JuPara"/>
      </w:pPr>
      <w:r>
        <w:t>Съдът съответно стига до заключението, че действията и изказванията на членовете и ръководителите на Refah, цитирани от Конституционния съд в решението му за разпускане, се отнасят за цялата партия.</w:t>
      </w:r>
    </w:p>
    <w:p w:rsidR="00C63CF3" w:rsidRDefault="006C2238">
      <w:pPr>
        <w:pStyle w:val="JuH"/>
      </w:pPr>
      <w:r>
        <w:t>Основни</w:t>
      </w:r>
      <w:r w:rsidR="00210F3D">
        <w:t>те</w:t>
      </w:r>
      <w:r>
        <w:t xml:space="preserve"> съображения за разпускането, цитирани от Конституционния съд</w:t>
      </w:r>
    </w:p>
    <w:p w:rsidR="00C63CF3" w:rsidRDefault="00AF2D4B">
      <w:pPr>
        <w:pStyle w:val="JuPara"/>
      </w:pPr>
      <w:fldSimple w:instr=" SEQ level0 \*arabic ">
        <w:r w:rsidR="006C2238">
          <w:rPr>
            <w:noProof/>
          </w:rPr>
          <w:t>116</w:t>
        </w:r>
      </w:fldSimple>
      <w:r w:rsidR="006C2238">
        <w:t>.  </w:t>
      </w:r>
      <w:r w:rsidR="00FA68CF">
        <w:t xml:space="preserve">По този въпрос </w:t>
      </w:r>
      <w:r w:rsidR="006C2238">
        <w:t xml:space="preserve">Съдът счита, че измежду аргументите за разпускане, изложени от главния прокурор към Касационния съд, тези, които са цитирани от Конституционния съд като </w:t>
      </w:r>
      <w:r w:rsidR="00FA68CF">
        <w:t xml:space="preserve">мотиви </w:t>
      </w:r>
      <w:r w:rsidR="006C2238">
        <w:t>за констатаци</w:t>
      </w:r>
      <w:r w:rsidR="00FA68CF">
        <w:t>я</w:t>
      </w:r>
      <w:r w:rsidR="006C2238">
        <w:t>т</w:t>
      </w:r>
      <w:r w:rsidR="00FA68CF">
        <w:t>а</w:t>
      </w:r>
      <w:r w:rsidR="006C2238">
        <w:t xml:space="preserve"> му, че Refah се е превърнала в </w:t>
      </w:r>
      <w:r w:rsidR="00FA68CF">
        <w:t>средище</w:t>
      </w:r>
      <w:r w:rsidR="006C2238">
        <w:t xml:space="preserve"> на противоконституционни дейности, могат да бъдат класифицирани в три основни групи: (i) аргументите, че Refah има намерение да установи </w:t>
      </w:r>
      <w:r w:rsidR="00BC43EC">
        <w:t>множественост на</w:t>
      </w:r>
      <w:r w:rsidR="006C2238">
        <w:t xml:space="preserve"> правни</w:t>
      </w:r>
      <w:r w:rsidR="00BC43EC">
        <w:t>те</w:t>
      </w:r>
      <w:r w:rsidR="006C2238">
        <w:t xml:space="preserve"> системи, което води до дискриминация въз основа на религиозни убеждения; (ii) аргументите, че Refah възнамерява да наложи шериата във вътрешните и</w:t>
      </w:r>
      <w:r w:rsidR="002E4821">
        <w:t>ли</w:t>
      </w:r>
      <w:r w:rsidR="006C2238">
        <w:t xml:space="preserve"> външните отношения на мюсюлманската общност в контекста на това многообразие от правни системи; и (iii) аргументите, основани на изявления</w:t>
      </w:r>
      <w:r w:rsidR="002E4821">
        <w:t>та</w:t>
      </w:r>
      <w:r w:rsidR="006C2238">
        <w:t xml:space="preserve">, направени от членове на Refah </w:t>
      </w:r>
      <w:r w:rsidR="002E4821">
        <w:t xml:space="preserve">относно </w:t>
      </w:r>
      <w:r w:rsidR="006C2238">
        <w:t>възможността за използване на сила като политически метод. Следователно Съдът трябва да ограничи прегледа си до тези три групи аргументи, цитирани от Конституционния съд.</w:t>
      </w:r>
    </w:p>
    <w:p w:rsidR="00C63CF3" w:rsidRDefault="006C2238">
      <w:pPr>
        <w:pStyle w:val="JuH"/>
        <w:rPr>
          <w:i w:val="0"/>
        </w:rPr>
      </w:pPr>
      <w:r>
        <w:rPr>
          <w:i w:val="0"/>
        </w:rPr>
        <w:t>     (а)</w:t>
      </w:r>
      <w:r>
        <w:tab/>
      </w:r>
      <w:r>
        <w:rPr>
          <w:i w:val="0"/>
        </w:rPr>
        <w:t>План</w:t>
      </w:r>
      <w:r w:rsidR="002E4821">
        <w:rPr>
          <w:i w:val="0"/>
        </w:rPr>
        <w:t>ът</w:t>
      </w:r>
      <w:r>
        <w:rPr>
          <w:i w:val="0"/>
        </w:rPr>
        <w:t xml:space="preserve"> за установяване на многообразие от правни системи</w:t>
      </w:r>
    </w:p>
    <w:p w:rsidR="00C63CF3" w:rsidRDefault="00AF2D4B">
      <w:pPr>
        <w:pStyle w:val="JuPara"/>
      </w:pPr>
      <w:fldSimple w:instr=" SEQ level0 \*arabic ">
        <w:r w:rsidR="006C2238">
          <w:rPr>
            <w:noProof/>
          </w:rPr>
          <w:t>117</w:t>
        </w:r>
      </w:fldSimple>
      <w:r w:rsidR="006C2238">
        <w:t>.  Съдът отбелязва, че Конституционния</w:t>
      </w:r>
      <w:r w:rsidR="002E4821">
        <w:t>т</w:t>
      </w:r>
      <w:r w:rsidR="006C2238">
        <w:t xml:space="preserve"> съд е взел предвид в тази връзка две изявления на председателя на Refah г-н Necmettin Erbakan, направени на 23 март 1993 г. </w:t>
      </w:r>
      <w:r w:rsidR="00583EA3">
        <w:t xml:space="preserve">в парламента </w:t>
      </w:r>
      <w:r w:rsidR="006C2238">
        <w:t xml:space="preserve">и </w:t>
      </w:r>
      <w:r w:rsidR="00583EA3">
        <w:t xml:space="preserve">на </w:t>
      </w:r>
      <w:r w:rsidR="006C2238">
        <w:t xml:space="preserve">10 октомври </w:t>
      </w:r>
      <w:r w:rsidR="006C2238">
        <w:lastRenderedPageBreak/>
        <w:t xml:space="preserve">1993 г. по време на конференция на партията (вж. параграф 28 по-горе). Предвид съображенията по въпроса за подходящия момент за разпускането на партията (вж. параграфи 107-10 по-горе) и </w:t>
      </w:r>
      <w:r w:rsidR="001D7695">
        <w:t xml:space="preserve">за </w:t>
      </w:r>
      <w:r w:rsidR="006C2238">
        <w:t xml:space="preserve">отнасянето към Refah на изказванията на г-н Necmettin Erbakan (вж. параграф 113 по-горе), Съдът е на мнение, че тези две изказвания могат да се разглеждат като отразяващи една от политиките, </w:t>
      </w:r>
      <w:r w:rsidR="001D7695">
        <w:t>заложени в</w:t>
      </w:r>
      <w:r w:rsidR="006C2238">
        <w:t xml:space="preserve"> част от програмата на Refah, въпреки че уставът на партията не съдържа нищо по този въпрос.</w:t>
      </w:r>
    </w:p>
    <w:p w:rsidR="00C63CF3" w:rsidRDefault="00AF2D4B">
      <w:pPr>
        <w:pStyle w:val="JuPara"/>
      </w:pPr>
      <w:fldSimple w:instr=" SEQ level0 \*arabic ">
        <w:r w:rsidR="006C2238">
          <w:rPr>
            <w:noProof/>
          </w:rPr>
          <w:t>118</w:t>
        </w:r>
      </w:fldSimple>
      <w:r w:rsidR="006C2238">
        <w:t xml:space="preserve">.  Във връзка с аргумента на жалбоподателите, че когато Refah е на власт, никога не е предприемала конкретни мерки за осъществяване на идеята, стояща зад това предложение, Съдът счита, че не би било реалистично да се чака, докато Refah заеме позиция да включва подобни цели в коалиционната програма, договорена с </w:t>
      </w:r>
      <w:r w:rsidR="001D7695">
        <w:t>десноцентристка</w:t>
      </w:r>
      <w:r w:rsidR="006C2238">
        <w:t xml:space="preserve"> политическа партия. Съдът просто отбелязва, че многообразието от правни системи е политика, </w:t>
      </w:r>
      <w:r w:rsidR="00DF1A61">
        <w:t>заложена в</w:t>
      </w:r>
      <w:r w:rsidR="006C2238">
        <w:t xml:space="preserve"> част от програмата на Refah.</w:t>
      </w:r>
    </w:p>
    <w:p w:rsidR="00C63CF3" w:rsidRDefault="00AF2D4B">
      <w:pPr>
        <w:pStyle w:val="JuPara"/>
      </w:pPr>
      <w:fldSimple w:instr=" SEQ level0 \*arabic ">
        <w:r w:rsidR="006C2238">
          <w:rPr>
            <w:noProof/>
          </w:rPr>
          <w:t>119</w:t>
        </w:r>
      </w:fldSimple>
      <w:r w:rsidR="006C2238">
        <w:t xml:space="preserve">.  Съдът не вижда причини да се разграничи от заключението на </w:t>
      </w:r>
      <w:r w:rsidR="00DF1A61">
        <w:t>състава</w:t>
      </w:r>
      <w:r w:rsidR="006C2238">
        <w:t xml:space="preserve">, че </w:t>
      </w:r>
      <w:r w:rsidR="00DF1A61">
        <w:t>множествеността на</w:t>
      </w:r>
      <w:r w:rsidR="006C2238">
        <w:t xml:space="preserve"> правни</w:t>
      </w:r>
      <w:r w:rsidR="00DF1A61">
        <w:t>те</w:t>
      </w:r>
      <w:r w:rsidR="006C2238">
        <w:t xml:space="preserve"> системи, предложен</w:t>
      </w:r>
      <w:r w:rsidR="00DF1A61">
        <w:t>а</w:t>
      </w:r>
      <w:r w:rsidR="006C2238">
        <w:t xml:space="preserve"> от Refah, не може да се счита за съвместим</w:t>
      </w:r>
      <w:r w:rsidR="00DF1A61">
        <w:t>а</w:t>
      </w:r>
      <w:r w:rsidR="006C2238">
        <w:t xml:space="preserve"> със системата на Конвенцията. В своето решение </w:t>
      </w:r>
      <w:r w:rsidR="00DF1A61">
        <w:t xml:space="preserve">съставът </w:t>
      </w:r>
      <w:r w:rsidR="006C2238">
        <w:t xml:space="preserve">представя следните </w:t>
      </w:r>
      <w:r w:rsidR="00DF1A61">
        <w:t>мотиви</w:t>
      </w:r>
      <w:r w:rsidR="006C2238">
        <w:t>:</w:t>
      </w:r>
    </w:p>
    <w:p w:rsidR="00C63CF3" w:rsidRDefault="006C2238">
      <w:pPr>
        <w:pStyle w:val="JuQuot"/>
      </w:pPr>
      <w:r>
        <w:t>„70.  … Съдът счита, че предложението на Refah, според което трябва да се установи многообразие от правни системи, би въвело във всички правни взаимоотношения разграничение между хората въз основа на религия, би категоризирало всеки според религиозните му убеждения и би му гарантирало права и свободи не като физическо лице, а според принадлежността му към религиозно движение.</w:t>
      </w:r>
    </w:p>
    <w:p w:rsidR="00C63CF3" w:rsidRDefault="006C2238">
      <w:pPr>
        <w:pStyle w:val="JuQuot"/>
      </w:pPr>
      <w:r>
        <w:t>Съдът е на мнение, че подобен социален модел не може да се счита за съвместим със системата на Конвенцията по две причини:</w:t>
      </w:r>
    </w:p>
    <w:p w:rsidR="00C63CF3" w:rsidRDefault="006C2238">
      <w:pPr>
        <w:pStyle w:val="JuQuot"/>
      </w:pPr>
      <w:r>
        <w:t xml:space="preserve">Първо, той ще премахне ролята на държавата на гарант на индивидуалните права и свободи и безпристрастен организатор на дейността на различните вероизповедания и религии в демократичното общество, тъй като би задължил хората да спазват не правилата на държавата, определени при изпълнението от нейна страна на посочените по-горе функции, а </w:t>
      </w:r>
      <w:r w:rsidR="008B311B">
        <w:t>статични</w:t>
      </w:r>
      <w:r>
        <w:t xml:space="preserve"> правни норми, наложени от въпросната религия. </w:t>
      </w:r>
      <w:r w:rsidR="008B311B">
        <w:t xml:space="preserve">Но </w:t>
      </w:r>
      <w:r>
        <w:t xml:space="preserve">държавата има позитивното задължение да гарантира, че всеки под нейната юрисдикция се ползва изцяло, без право на отказ, от правата и свободите, гарантирани от Конвенцията (вж., </w:t>
      </w:r>
      <w:r>
        <w:rPr>
          <w:i/>
        </w:rPr>
        <w:t>mutatis mutandis</w:t>
      </w:r>
      <w:r>
        <w:t xml:space="preserve">, </w:t>
      </w:r>
      <w:r>
        <w:rPr>
          <w:i/>
        </w:rPr>
        <w:t>Airey v. Ireland</w:t>
      </w:r>
      <w:r>
        <w:t>,  решение от 9 октомври 1979 г., Серия A № 32, стр. 14, § 25).</w:t>
      </w:r>
    </w:p>
    <w:p w:rsidR="00C63CF3" w:rsidRDefault="006C2238">
      <w:pPr>
        <w:pStyle w:val="JuQuot"/>
      </w:pPr>
      <w:r>
        <w:t>Второ, подобна система безспорно би довела до нарушаване на принципа на недискриминация между хората по отношение на публичните свободи, от които те се ползват, което е един от основните принципи на демокрацията. Разликата в отношени</w:t>
      </w:r>
      <w:r w:rsidR="00CC2EE3">
        <w:t>ето към</w:t>
      </w:r>
      <w:r>
        <w:t xml:space="preserve"> хората във всички сфери на публичното и частното право </w:t>
      </w:r>
      <w:r w:rsidR="00CC2EE3">
        <w:t xml:space="preserve">в зависимост от тяхната </w:t>
      </w:r>
      <w:r>
        <w:t xml:space="preserve">религия или убеждения не може да бъде оправдана по Конвенцията и по-конкретно </w:t>
      </w:r>
      <w:r w:rsidR="00CC2EE3">
        <w:t xml:space="preserve">по </w:t>
      </w:r>
      <w:r>
        <w:t>чл</w:t>
      </w:r>
      <w:r w:rsidR="00CC2EE3">
        <w:t>.</w:t>
      </w:r>
      <w:r>
        <w:t xml:space="preserve"> 14 от нея, който забранява дискриминацията. Подобн</w:t>
      </w:r>
      <w:r w:rsidR="00CC2EE3">
        <w:t>о</w:t>
      </w:r>
      <w:r>
        <w:t xml:space="preserve"> разли</w:t>
      </w:r>
      <w:r w:rsidR="00CC2EE3">
        <w:t>чно</w:t>
      </w:r>
      <w:r>
        <w:t xml:space="preserve"> отношени</w:t>
      </w:r>
      <w:r w:rsidR="00CC2EE3">
        <w:t>е</w:t>
      </w:r>
      <w:r>
        <w:t xml:space="preserve"> не може да поддържа справедлив баланс между, от една страна, исканията на определени религиозни групи, които желаят да се ръководят от техни собствени правила и, от друга страна, интересите на обществото като цяло, които трябва да се основават на мир и търпимост между различните религии и убеждения (вж., </w:t>
      </w:r>
      <w:r>
        <w:rPr>
          <w:i/>
        </w:rPr>
        <w:t>mutatis mutandis</w:t>
      </w:r>
      <w:r>
        <w:t xml:space="preserve">, решение от 23 юли 1968 </w:t>
      </w:r>
      <w:r>
        <w:lastRenderedPageBreak/>
        <w:t>г. по  „Белгийското езиково“ дело, Серия A № 6, стр</w:t>
      </w:r>
      <w:r w:rsidR="0013310D">
        <w:t>.</w:t>
      </w:r>
      <w:r>
        <w:t xml:space="preserve"> 33-35, §§ 9 и 10, и </w:t>
      </w:r>
      <w:r>
        <w:rPr>
          <w:i/>
        </w:rPr>
        <w:t>Abdulaziz, Cabales and Balkandali v. the United Kingdom</w:t>
      </w:r>
      <w:r>
        <w:t>, решение от 28 май 1985</w:t>
      </w:r>
      <w:r w:rsidR="0013310D">
        <w:t xml:space="preserve"> г.</w:t>
      </w:r>
      <w:r>
        <w:t>, Серия A № 94, стр</w:t>
      </w:r>
      <w:r w:rsidR="0013310D">
        <w:t>.</w:t>
      </w:r>
      <w:r>
        <w:t xml:space="preserve"> 35-36, § 72).</w:t>
      </w:r>
    </w:p>
    <w:p w:rsidR="00C63CF3" w:rsidRDefault="006C2238">
      <w:pPr>
        <w:pStyle w:val="JuH"/>
        <w:rPr>
          <w:i w:val="0"/>
        </w:rPr>
      </w:pPr>
      <w:r>
        <w:rPr>
          <w:i w:val="0"/>
        </w:rPr>
        <w:t>     (б)  Шериат</w:t>
      </w:r>
    </w:p>
    <w:p w:rsidR="00C63CF3" w:rsidRDefault="00AF2D4B">
      <w:pPr>
        <w:pStyle w:val="JuPara"/>
      </w:pPr>
      <w:fldSimple w:instr=" SEQ level0 \*arabic ">
        <w:r w:rsidR="006C2238">
          <w:rPr>
            <w:noProof/>
          </w:rPr>
          <w:t>120</w:t>
        </w:r>
      </w:fldSimple>
      <w:r w:rsidR="006C2238">
        <w:t xml:space="preserve">.  Съдът отбелязва на първо място, че намерението да се установи режим въз основа на шериата изрично се съдържа в следните коментари, цитирани от Конституционния съд, направени от определени членове на Refah, всички </w:t>
      </w:r>
      <w:r w:rsidR="0013310D">
        <w:t>те</w:t>
      </w:r>
      <w:r w:rsidR="006C2238">
        <w:t xml:space="preserve"> народни представители:</w:t>
      </w:r>
    </w:p>
    <w:p w:rsidR="00C63CF3" w:rsidRDefault="006C2238">
      <w:pPr>
        <w:pStyle w:val="JuPara"/>
      </w:pPr>
      <w:r>
        <w:t>—</w:t>
      </w:r>
      <w:r>
        <w:tab/>
        <w:t>В телевизионно интервю, излъчено на 24 ноември 1996 г.</w:t>
      </w:r>
      <w:r w:rsidR="0013310D">
        <w:t>,</w:t>
      </w:r>
      <w:r>
        <w:t xml:space="preserve"> г-н Hasan Hüseyin Ceylan, народен представител от Refah, избран от провинция Анкара, заяв</w:t>
      </w:r>
      <w:r w:rsidR="006A465F">
        <w:t>ява</w:t>
      </w:r>
      <w:r>
        <w:t>, че шериат</w:t>
      </w:r>
      <w:r w:rsidR="006A465F">
        <w:t>ът</w:t>
      </w:r>
      <w:r>
        <w:t xml:space="preserve"> е решението за държавата (вж. параграф 34 по-горе);</w:t>
      </w:r>
    </w:p>
    <w:p w:rsidR="00C63CF3" w:rsidRDefault="006C2238">
      <w:pPr>
        <w:pStyle w:val="JuPara"/>
      </w:pPr>
      <w:r>
        <w:t>—</w:t>
      </w:r>
      <w:r>
        <w:tab/>
        <w:t>На 8 май 1997 г. г-н İbrahim Halil Çelik, народен представител от Refah, избран от провинция Şanlıurfa, заяв</w:t>
      </w:r>
      <w:r w:rsidR="006A465F">
        <w:t>ява</w:t>
      </w:r>
      <w:r>
        <w:t>: „Ще се боря докрай за въвеждането на шериата.“ (вж. параграф 37 по-горе);</w:t>
      </w:r>
    </w:p>
    <w:p w:rsidR="00C63CF3" w:rsidRDefault="006C2238">
      <w:pPr>
        <w:pStyle w:val="JuPara"/>
      </w:pPr>
      <w:r>
        <w:t>—</w:t>
      </w:r>
      <w:r>
        <w:tab/>
        <w:t>През април 1994 г. г-н Şevki Yılmaz, народен представител от Refah, избран от провинция Rize, призова</w:t>
      </w:r>
      <w:r w:rsidR="006A465F">
        <w:t>ва</w:t>
      </w:r>
      <w:r>
        <w:t xml:space="preserve"> вярващите да „търсят отговорност от тези, които обърнаха гръб на предписанията на Корана и на тези, които лишиха Пророка на Аллах от неговата юрисдикция в държавата </w:t>
      </w:r>
      <w:r w:rsidR="006A465F">
        <w:t>си</w:t>
      </w:r>
      <w:r>
        <w:t>“ и изтък</w:t>
      </w:r>
      <w:r w:rsidR="006A465F">
        <w:t>в</w:t>
      </w:r>
      <w:r>
        <w:t>а: „Само 39% [от правилата] от Корана се прилагат в тази държава. Шест хиляди и петстотин стиха са безмълвно забравени ...“ Той продълж</w:t>
      </w:r>
      <w:r w:rsidR="006A465F">
        <w:t>ава</w:t>
      </w:r>
      <w:r>
        <w:t xml:space="preserve"> с думите: „Условието, което трябва да се изпълни пред </w:t>
      </w:r>
      <w:r w:rsidR="006A465F">
        <w:t>молитвите,</w:t>
      </w:r>
      <w:r>
        <w:t xml:space="preserve"> е ислямизацията на властта. Аллах казва, че пред</w:t>
      </w:r>
      <w:r w:rsidR="006A465F">
        <w:t>и</w:t>
      </w:r>
      <w:r>
        <w:t xml:space="preserve"> джамиите пътят на властта трябва да бъде мюсюлманск</w:t>
      </w:r>
      <w:r w:rsidR="00D666B3">
        <w:t>и</w:t>
      </w:r>
      <w:r>
        <w:t xml:space="preserve">“ и „Въпросът, който ще </w:t>
      </w:r>
      <w:r w:rsidR="00D666B3">
        <w:t>в</w:t>
      </w:r>
      <w:r>
        <w:t xml:space="preserve">и зададе Аллах, е следният: „Защо във времена на богохулен режим, не работихте за създаването на ислямска държава?“ Erbakan и приятелите му искат да докарат исляма в тази държава под формата на политическа партия. Прокурорът ясно разбира това. Ако ние можем да го разберем като </w:t>
      </w:r>
      <w:r w:rsidR="00D666B3">
        <w:t>него</w:t>
      </w:r>
      <w:r>
        <w:t>, проблемът ще бъде решен“ (вж. параграф 33 по-горе).</w:t>
      </w:r>
    </w:p>
    <w:p w:rsidR="00C63CF3" w:rsidRDefault="00AF2D4B">
      <w:pPr>
        <w:pStyle w:val="JuPara"/>
      </w:pPr>
      <w:fldSimple w:instr=" SEQ level0 \*arabic ">
        <w:r w:rsidR="006C2238">
          <w:rPr>
            <w:noProof/>
          </w:rPr>
          <w:t>121</w:t>
        </w:r>
      </w:fldSimple>
      <w:r w:rsidR="006C2238">
        <w:t>.  Освен това Съдът отбелязва следните коментари на председателя и заместник-председателя на Refah относно тяхното желание да установят „справедлив ред“ или „ред на справедливостта“ или „Божи ред“, които Конституционния съд взема под внимание:</w:t>
      </w:r>
    </w:p>
    <w:p w:rsidR="00C63CF3" w:rsidRDefault="006C2238">
      <w:pPr>
        <w:pStyle w:val="JuPara"/>
        <w:rPr>
          <w:snapToGrid w:val="0"/>
        </w:rPr>
      </w:pPr>
      <w:r>
        <w:t>—</w:t>
      </w:r>
      <w:r>
        <w:tab/>
        <w:t>На 13 април 1994 г. г-н Necmettin Erbakan заяв</w:t>
      </w:r>
      <w:r w:rsidR="0049713C">
        <w:t>ява</w:t>
      </w:r>
      <w:r>
        <w:t>: „Refah ще дойде на власт и ще се създаде справедлив ред [</w:t>
      </w:r>
      <w:r>
        <w:rPr>
          <w:i/>
        </w:rPr>
        <w:t>adil dozen</w:t>
      </w:r>
      <w:r>
        <w:t xml:space="preserve">]“ (вж. параграф 31 по-горе), а в изказване от 7 май 1996 г. той хвали „тези, които </w:t>
      </w:r>
      <w:r w:rsidR="001A7AB9">
        <w:t xml:space="preserve">дават своя принос с убеждение </w:t>
      </w:r>
      <w:r>
        <w:t>за върховенството на Аллах“ (вж. параграф 39 по-горе);</w:t>
      </w:r>
    </w:p>
    <w:p w:rsidR="00C63CF3" w:rsidRDefault="006C2238">
      <w:pPr>
        <w:pStyle w:val="JuPara"/>
      </w:pPr>
      <w:r>
        <w:t>—</w:t>
      </w:r>
      <w:r>
        <w:tab/>
        <w:t>По време на поклонение през 1993 г. г-н Ahmet Tekdal заяв</w:t>
      </w:r>
      <w:r w:rsidR="001A7AB9">
        <w:t>ява</w:t>
      </w:r>
      <w:r>
        <w:t>: „Ако хората … не работят достатъчно усилено за установяването на „</w:t>
      </w:r>
      <w:r>
        <w:rPr>
          <w:i/>
        </w:rPr>
        <w:t>hak nizami</w:t>
      </w:r>
      <w:r>
        <w:t xml:space="preserve">“ [справедливия ред или Божия ред], … те ще бъдат тероризирани от [ренегати] и </w:t>
      </w:r>
      <w:r w:rsidR="001A7AB9">
        <w:t xml:space="preserve">накрая </w:t>
      </w:r>
      <w:r>
        <w:t xml:space="preserve">ще изчезнат … те няма да могат да </w:t>
      </w:r>
      <w:r>
        <w:lastRenderedPageBreak/>
        <w:t>се изправят достатъчно достойно пред Аллах, тъй като не са работили за установяването на „</w:t>
      </w:r>
      <w:r>
        <w:rPr>
          <w:i/>
        </w:rPr>
        <w:t>hak nizami</w:t>
      </w:r>
      <w:r>
        <w:t>““</w:t>
      </w:r>
      <w:r>
        <w:rPr>
          <w:i/>
        </w:rPr>
        <w:t xml:space="preserve"> </w:t>
      </w:r>
      <w:r>
        <w:t>(вж. параграф 35 по-горе).</w:t>
      </w:r>
    </w:p>
    <w:p w:rsidR="00C63CF3" w:rsidRDefault="00AF2D4B">
      <w:pPr>
        <w:pStyle w:val="JuPara"/>
      </w:pPr>
      <w:fldSimple w:instr=" SEQ level0 \*arabic ">
        <w:r w:rsidR="006C2238">
          <w:rPr>
            <w:noProof/>
          </w:rPr>
          <w:t>122</w:t>
        </w:r>
      </w:fldSimple>
      <w:r w:rsidR="006C2238">
        <w:t xml:space="preserve">.  Въпреки че последните две изявления </w:t>
      </w:r>
      <w:r w:rsidR="00E51886">
        <w:t xml:space="preserve">са обект на </w:t>
      </w:r>
      <w:r w:rsidR="006C2238">
        <w:t>различни тълкувания, общ</w:t>
      </w:r>
      <w:r w:rsidR="00E51886">
        <w:t>ото между тях</w:t>
      </w:r>
      <w:r w:rsidR="006C2238">
        <w:t xml:space="preserve"> е, че и двете се отнасят до религиозни или божи правила като основа за политически режим, които говорещите желаят да въведат. Те </w:t>
      </w:r>
      <w:r w:rsidR="001A3BB5">
        <w:t xml:space="preserve">издават </w:t>
      </w:r>
      <w:r w:rsidR="006C2238">
        <w:t xml:space="preserve">неяснота по отношение на зачитането от страна на направилите </w:t>
      </w:r>
      <w:r w:rsidR="001A3BB5">
        <w:t xml:space="preserve">изказванията </w:t>
      </w:r>
      <w:r w:rsidR="006C2238">
        <w:t xml:space="preserve">на друг ред, който не е основан на религиозни норми.  Предвид контекста, породен от различните мнения, </w:t>
      </w:r>
      <w:r w:rsidR="001A3BB5">
        <w:t>приписани на</w:t>
      </w:r>
      <w:r w:rsidR="006C2238">
        <w:t xml:space="preserve"> ръководителите на Refah, цитирани </w:t>
      </w:r>
      <w:r w:rsidR="001A3BB5">
        <w:t>в решението на</w:t>
      </w:r>
      <w:r w:rsidR="006C2238">
        <w:t xml:space="preserve"> Конституционния съд, например по въпроса за носенето на ислямски забрадки в обществения сектор или организацията на работното време на държавните служители, </w:t>
      </w:r>
      <w:r w:rsidR="001B1174">
        <w:t xml:space="preserve">която </w:t>
      </w:r>
      <w:r w:rsidR="006C2238">
        <w:t>да отговаря на определеното време за молитви, съответните изявления основателно могат да се считат за потвър</w:t>
      </w:r>
      <w:r w:rsidR="001B1174">
        <w:t xml:space="preserve">ждаващи изявленията </w:t>
      </w:r>
      <w:r w:rsidR="006C2238">
        <w:t xml:space="preserve">от страна на народните представители от Refah, които разкриват намерението на партията да установи режим, основан на шериата. Съдът следователно може да приеме заключението на Конституционния съд, че тези коментари и позиции на ръководителите на Refah образуват едно цяло и дават ясна картина на </w:t>
      </w:r>
      <w:r w:rsidR="00EF1583">
        <w:t xml:space="preserve">замислен и предложен от партията </w:t>
      </w:r>
      <w:r w:rsidR="006C2238">
        <w:t xml:space="preserve">модел </w:t>
      </w:r>
      <w:r w:rsidR="00EF1583">
        <w:t xml:space="preserve">на </w:t>
      </w:r>
      <w:r w:rsidR="006C2238">
        <w:t>държава и общество, организирани според религиозните норми.</w:t>
      </w:r>
    </w:p>
    <w:p w:rsidR="00C63CF3" w:rsidRDefault="00AF2D4B">
      <w:pPr>
        <w:pStyle w:val="JuPara"/>
      </w:pPr>
      <w:fldSimple w:instr=" SEQ level0 \*arabic ">
        <w:r w:rsidR="006C2238">
          <w:rPr>
            <w:noProof/>
          </w:rPr>
          <w:t>123</w:t>
        </w:r>
      </w:fldSimple>
      <w:r w:rsidR="006C2238">
        <w:t xml:space="preserve">.  Съдът се съгласява с мнението на </w:t>
      </w:r>
      <w:r w:rsidR="00EF1583">
        <w:t>състава</w:t>
      </w:r>
      <w:r w:rsidR="006C2238">
        <w:t>, че шериат</w:t>
      </w:r>
      <w:r w:rsidR="00EF1583">
        <w:t>ът</w:t>
      </w:r>
      <w:r w:rsidR="006C2238">
        <w:t xml:space="preserve"> е несъвместим с основните принципи на демокрацията, </w:t>
      </w:r>
      <w:r w:rsidR="002D346D">
        <w:t>предвидени в</w:t>
      </w:r>
      <w:r w:rsidR="006C2238">
        <w:t xml:space="preserve"> Конвенцията:</w:t>
      </w:r>
    </w:p>
    <w:p w:rsidR="00C63CF3" w:rsidRDefault="006C2238">
      <w:pPr>
        <w:pStyle w:val="JuQuot"/>
      </w:pPr>
      <w:r>
        <w:t>„72.  Както Конституционния съд, Съдът счита, че шериат</w:t>
      </w:r>
      <w:r w:rsidR="002D346D">
        <w:t>ът</w:t>
      </w:r>
      <w:r>
        <w:t xml:space="preserve">, който вярно отразява догмите и </w:t>
      </w:r>
      <w:r w:rsidR="002D346D">
        <w:t xml:space="preserve">духовните </w:t>
      </w:r>
      <w:r>
        <w:t xml:space="preserve">правила, установени от религията, е </w:t>
      </w:r>
      <w:r w:rsidR="002D346D">
        <w:t>устойчив</w:t>
      </w:r>
      <w:r>
        <w:t xml:space="preserve"> и постоянен. Принципи като например плурализма в политическата сфера или постоянното развитие на обществените свободи, нямат място в него. Съдът отбелязва, че </w:t>
      </w:r>
      <w:r w:rsidR="002D346D">
        <w:t xml:space="preserve">взети </w:t>
      </w:r>
      <w:r>
        <w:t xml:space="preserve">заедно, противозаконните изявления, </w:t>
      </w:r>
      <w:r w:rsidR="00086577">
        <w:t xml:space="preserve">в </w:t>
      </w:r>
      <w:r>
        <w:t>които изричн</w:t>
      </w:r>
      <w:r w:rsidR="00086577">
        <w:t>о</w:t>
      </w:r>
      <w:r>
        <w:t xml:space="preserve"> </w:t>
      </w:r>
      <w:r w:rsidR="00086577">
        <w:t>се споменава</w:t>
      </w:r>
      <w:r>
        <w:t xml:space="preserve"> въвеждането на шериата, е трудно да бъдат съ</w:t>
      </w:r>
      <w:r w:rsidR="00086577">
        <w:t>гласува</w:t>
      </w:r>
      <w:r>
        <w:t>ни с основните принципи на демокрацията, предвиден</w:t>
      </w:r>
      <w:r w:rsidR="00086577">
        <w:t>и</w:t>
      </w:r>
      <w:r>
        <w:t xml:space="preserve"> </w:t>
      </w:r>
      <w:r w:rsidR="00086577">
        <w:t>в</w:t>
      </w:r>
      <w:r>
        <w:t xml:space="preserve"> Конвенцията като цяло. Трудно е да се </w:t>
      </w:r>
      <w:r w:rsidR="00086577">
        <w:t xml:space="preserve">декларира </w:t>
      </w:r>
      <w:r>
        <w:t xml:space="preserve">зачитане на демокрацията и човешките права, като в същото време се подкрепя режим, основан на шериата, който ясно се разграничава от ценностите на Конвенцията, конкретно по отношение на наказателното право и наказателните производства, правилата относно правния статут на жените и начинът, по който </w:t>
      </w:r>
      <w:r w:rsidR="004E3D6A">
        <w:t>с</w:t>
      </w:r>
      <w:r>
        <w:t>е намесва във всички аспекти на личния и публичния живот съгласно религиозните предписания. ... По мнение на Съда политическа партия</w:t>
      </w:r>
      <w:r w:rsidR="004E3D6A">
        <w:t>,</w:t>
      </w:r>
      <w:r>
        <w:t xml:space="preserve"> чиито действия изглежда имат за цел въвеждането на шериата в държава, която е страна по Конвенцията, трудно би могла да се счита </w:t>
      </w:r>
      <w:r w:rsidR="004E3D6A">
        <w:t xml:space="preserve">за </w:t>
      </w:r>
      <w:r>
        <w:t>сдружение, спазващо демократичния идеал, който лежи в основата на цялата Конвенция.“</w:t>
      </w:r>
    </w:p>
    <w:p w:rsidR="00C63CF3" w:rsidRDefault="00AF2D4B">
      <w:pPr>
        <w:pStyle w:val="JuPara"/>
      </w:pPr>
      <w:fldSimple w:instr=" SEQ level0 \*arabic ">
        <w:r w:rsidR="006C2238">
          <w:rPr>
            <w:noProof/>
          </w:rPr>
          <w:t>124</w:t>
        </w:r>
      </w:fldSimple>
      <w:r w:rsidR="006C2238">
        <w:t xml:space="preserve">.  Съдът не трябва да забравя факта, че в миналото политически движения, основани на религиозен фундаментализъм, са имали възможността да вземат политическата власт в </w:t>
      </w:r>
      <w:r w:rsidR="004E3D6A">
        <w:t xml:space="preserve">някои </w:t>
      </w:r>
      <w:r w:rsidR="006C2238">
        <w:t xml:space="preserve">държави и да установят </w:t>
      </w:r>
      <w:r w:rsidR="004E3D6A">
        <w:t xml:space="preserve">обществения </w:t>
      </w:r>
      <w:r w:rsidR="006C2238">
        <w:t xml:space="preserve">модел, който </w:t>
      </w:r>
      <w:r w:rsidR="004E3D6A">
        <w:t xml:space="preserve">са </w:t>
      </w:r>
      <w:r w:rsidR="006C2238">
        <w:t>има</w:t>
      </w:r>
      <w:r w:rsidR="00A214F2">
        <w:t>ли</w:t>
      </w:r>
      <w:r w:rsidR="006C2238">
        <w:t xml:space="preserve"> предвид. Съдът счита, че съгласно разпоредбите на Конвенцията всяка </w:t>
      </w:r>
      <w:r w:rsidR="00A214F2">
        <w:t>Д</w:t>
      </w:r>
      <w:r w:rsidR="006C2238">
        <w:t>о</w:t>
      </w:r>
      <w:r w:rsidR="00A214F2">
        <w:t>го</w:t>
      </w:r>
      <w:r w:rsidR="006C2238">
        <w:t xml:space="preserve">варяща държава може да се противопостави на подобни политически движения </w:t>
      </w:r>
      <w:r w:rsidR="00A214F2">
        <w:t xml:space="preserve">в зависимост от </w:t>
      </w:r>
      <w:r w:rsidR="006C2238">
        <w:t>историческия си опит.</w:t>
      </w:r>
    </w:p>
    <w:p w:rsidR="00C63CF3" w:rsidRDefault="00AF2D4B">
      <w:pPr>
        <w:pStyle w:val="JuPara"/>
      </w:pPr>
      <w:fldSimple w:instr=" SEQ level0 \*arabic ">
        <w:r w:rsidR="006C2238">
          <w:rPr>
            <w:noProof/>
          </w:rPr>
          <w:t>125</w:t>
        </w:r>
      </w:fldSimple>
      <w:r w:rsidR="006C2238">
        <w:t xml:space="preserve">.  Освен това Съдът отбелязва, че </w:t>
      </w:r>
      <w:r w:rsidR="00271E90">
        <w:t>в рамките</w:t>
      </w:r>
      <w:r w:rsidR="006C2238">
        <w:t xml:space="preserve"> на О</w:t>
      </w:r>
      <w:r w:rsidR="00A214F2">
        <w:t>с</w:t>
      </w:r>
      <w:r w:rsidR="006C2238">
        <w:t>манск</w:t>
      </w:r>
      <w:r w:rsidR="00271E90">
        <w:t>ото</w:t>
      </w:r>
      <w:r w:rsidR="006C2238">
        <w:t xml:space="preserve"> </w:t>
      </w:r>
      <w:r w:rsidR="00271E90">
        <w:t>право</w:t>
      </w:r>
      <w:r w:rsidR="006C2238">
        <w:t xml:space="preserve"> е съществувал ислямски теократичен режим. Когато е бил премахнат предишния теократичен режим и е създадена Републиката, Турция изб</w:t>
      </w:r>
      <w:r w:rsidR="00271E90">
        <w:t>и</w:t>
      </w:r>
      <w:r w:rsidR="006C2238">
        <w:t xml:space="preserve">ра форма на светска държава, която </w:t>
      </w:r>
      <w:r w:rsidR="00271E90">
        <w:t xml:space="preserve">включва </w:t>
      </w:r>
      <w:r w:rsidR="006C2238">
        <w:t xml:space="preserve">исляма и другите религии до сферата на индивидуални религиозни дейности. </w:t>
      </w:r>
      <w:r w:rsidR="007445A4">
        <w:t>Като с</w:t>
      </w:r>
      <w:r w:rsidR="006C2238">
        <w:t xml:space="preserve">ъзнава важността за оцеляването на демократичния режим </w:t>
      </w:r>
      <w:r w:rsidR="007445A4">
        <w:t>н</w:t>
      </w:r>
      <w:r w:rsidR="006C2238">
        <w:t>а гарантиране зачитането на принципа на светската държава в Турция, Съдът счита, че Конституционния</w:t>
      </w:r>
      <w:r w:rsidR="00A35BDF">
        <w:t>т</w:t>
      </w:r>
      <w:r w:rsidR="006C2238">
        <w:t xml:space="preserve"> съд </w:t>
      </w:r>
      <w:r w:rsidR="00A35BDF">
        <w:t xml:space="preserve">основателно </w:t>
      </w:r>
      <w:r w:rsidR="006C2238">
        <w:t>твърди, че политиката на Refah за установяване на шериата е несъвместима с демокрацията (вж. параграф 40 по-горе).</w:t>
      </w:r>
    </w:p>
    <w:p w:rsidR="00C63CF3" w:rsidRDefault="006C2238">
      <w:pPr>
        <w:pStyle w:val="JuH"/>
        <w:tabs>
          <w:tab w:val="clear" w:pos="1191"/>
          <w:tab w:val="clear" w:pos="1372"/>
          <w:tab w:val="left" w:pos="1843"/>
        </w:tabs>
        <w:ind w:left="1843" w:hanging="607"/>
        <w:rPr>
          <w:i w:val="0"/>
        </w:rPr>
      </w:pPr>
      <w:r>
        <w:rPr>
          <w:i w:val="0"/>
        </w:rPr>
        <w:t>     (в)  Шериат</w:t>
      </w:r>
      <w:r w:rsidR="00A35BDF">
        <w:rPr>
          <w:i w:val="0"/>
        </w:rPr>
        <w:t>ът</w:t>
      </w:r>
      <w:r>
        <w:rPr>
          <w:i w:val="0"/>
        </w:rPr>
        <w:t xml:space="preserve"> и отношенията му с многообразието от правни системи, предложено от Refah</w:t>
      </w:r>
    </w:p>
    <w:p w:rsidR="00C63CF3" w:rsidRDefault="00AF2D4B">
      <w:pPr>
        <w:pStyle w:val="JuPara"/>
      </w:pPr>
      <w:fldSimple w:instr=" SEQ level0 \*arabic ">
        <w:r w:rsidR="006C2238">
          <w:rPr>
            <w:noProof/>
          </w:rPr>
          <w:t>126</w:t>
        </w:r>
      </w:fldSimple>
      <w:r w:rsidR="006C2238">
        <w:t xml:space="preserve">.  След това Съдът ще разгледа аргумента на жалбоподателите, според който </w:t>
      </w:r>
      <w:r w:rsidR="00A35BDF">
        <w:t xml:space="preserve">съставът </w:t>
      </w:r>
      <w:r w:rsidR="006C2238">
        <w:t>си противоречи в твърдението, че Refah подкрепя едновременно многообразието от правни системи и шериата.</w:t>
      </w:r>
    </w:p>
    <w:p w:rsidR="00C63CF3" w:rsidRDefault="006C2238">
      <w:pPr>
        <w:pStyle w:val="JuPara"/>
      </w:pPr>
      <w:r>
        <w:t>Съдът взема предвид съображенията на Конституционния съд във връзка с ролята на многообразието от правни системи в прилагането на шериата в историята на ислямския закон. Т</w:t>
      </w:r>
      <w:r w:rsidR="0081230E">
        <w:t>е</w:t>
      </w:r>
      <w:r>
        <w:t xml:space="preserve"> показ</w:t>
      </w:r>
      <w:r w:rsidR="0081230E">
        <w:t>в</w:t>
      </w:r>
      <w:r>
        <w:t>а</w:t>
      </w:r>
      <w:r w:rsidR="0081230E">
        <w:t>т</w:t>
      </w:r>
      <w:r>
        <w:t>, че шериат</w:t>
      </w:r>
      <w:r w:rsidR="0081230E">
        <w:t>ът</w:t>
      </w:r>
      <w:r>
        <w:t xml:space="preserve"> е </w:t>
      </w:r>
      <w:r w:rsidR="0081230E">
        <w:t xml:space="preserve">правна </w:t>
      </w:r>
      <w:r>
        <w:t>система, приложим</w:t>
      </w:r>
      <w:r w:rsidR="0081230E">
        <w:t>а</w:t>
      </w:r>
      <w:r>
        <w:t xml:space="preserve"> във взаимоотношенията </w:t>
      </w:r>
      <w:r w:rsidR="0081230E">
        <w:t>между</w:t>
      </w:r>
      <w:r>
        <w:t xml:space="preserve"> </w:t>
      </w:r>
      <w:r w:rsidR="00B83693">
        <w:t xml:space="preserve">самите </w:t>
      </w:r>
      <w:r>
        <w:t>мюсюлмани и отношенията между мюсюлманите и изповядващите други религии. За да могат изповядващите други религии да живеят в общество, в което господства шериат</w:t>
      </w:r>
      <w:r w:rsidR="00B83693">
        <w:t>ът</w:t>
      </w:r>
      <w:r>
        <w:t>, ислямският теократичен режим по време на О</w:t>
      </w:r>
      <w:r w:rsidR="00A214F2">
        <w:t>с</w:t>
      </w:r>
      <w:r>
        <w:t>манската империя, преди да бъде основана Републиката, въвежда многообразие от правни системи.</w:t>
      </w:r>
    </w:p>
    <w:p w:rsidR="00C63CF3" w:rsidRDefault="00AF2D4B">
      <w:pPr>
        <w:pStyle w:val="JuPara"/>
      </w:pPr>
      <w:fldSimple w:instr=" SEQ level0 \*arabic ">
        <w:r w:rsidR="006C2238">
          <w:rPr>
            <w:noProof/>
          </w:rPr>
          <w:t>127</w:t>
        </w:r>
      </w:fldSimple>
      <w:r w:rsidR="006C2238">
        <w:t xml:space="preserve">.  Не е необходимо Съдът да изразява абстрактно мнение относно предимствата и недостатъците на многообразието от правни системи. </w:t>
      </w:r>
      <w:r w:rsidR="00B83693">
        <w:t>За целите на настоящото дело т</w:t>
      </w:r>
      <w:r w:rsidR="006C2238">
        <w:t xml:space="preserve">ой отбелязва, че — както е отбелязано от Конституционния съд — политиката на Refah е да </w:t>
      </w:r>
      <w:r w:rsidR="00F674D0">
        <w:t xml:space="preserve">приложи </w:t>
      </w:r>
      <w:r w:rsidR="006C2238">
        <w:t xml:space="preserve">някои от частноправните норми на шериата за голяма част от населението на Турция (мюсюлманите) в рамките на многообразие от правни системи. Подобна политика излиза извън свободата на хората да спазват нормите на своите религии, например като организират религиозни сватбени церемонии преди или след сключване на гражданския брак (което е обща практика в Турция) и </w:t>
      </w:r>
      <w:r w:rsidR="00F674D0">
        <w:t>съгласуват</w:t>
      </w:r>
      <w:r w:rsidR="006C2238">
        <w:t xml:space="preserve"> религиозния брак </w:t>
      </w:r>
      <w:r w:rsidR="00833E34">
        <w:t>с</w:t>
      </w:r>
      <w:r w:rsidR="006C2238">
        <w:t xml:space="preserve"> гражданския (вж., </w:t>
      </w:r>
      <w:r w:rsidR="006C2238">
        <w:rPr>
          <w:i/>
        </w:rPr>
        <w:t>mutatis mutandis</w:t>
      </w:r>
      <w:r w:rsidR="006C2238">
        <w:t xml:space="preserve">, </w:t>
      </w:r>
      <w:r w:rsidR="006C2238">
        <w:rPr>
          <w:i/>
        </w:rPr>
        <w:t>Serif v. Greece</w:t>
      </w:r>
      <w:r w:rsidR="006C2238">
        <w:t>, № 38178/97, § 50, ЕСПЧ 1999-IX). Тази политика на Refah попада извън частноправната сфера, до която турското законодателство ограничава религията</w:t>
      </w:r>
      <w:r w:rsidR="00833E34">
        <w:t>,</w:t>
      </w:r>
      <w:r w:rsidR="006C2238">
        <w:t xml:space="preserve"> и изпада в същите противоречия със системата на Конвенцията като въвеждането на шериата (вж. параграф 125 по-горе).</w:t>
      </w:r>
    </w:p>
    <w:p w:rsidR="00C63CF3" w:rsidRDefault="00AF2D4B">
      <w:pPr>
        <w:pStyle w:val="JuPara"/>
      </w:pPr>
      <w:fldSimple w:instr=" SEQ level0 \*arabic ">
        <w:r w:rsidR="006C2238">
          <w:rPr>
            <w:noProof/>
          </w:rPr>
          <w:t>128</w:t>
        </w:r>
      </w:fldSimple>
      <w:r w:rsidR="006C2238">
        <w:t>.  </w:t>
      </w:r>
      <w:r w:rsidR="00936794">
        <w:t>Като с</w:t>
      </w:r>
      <w:r w:rsidR="006C2238">
        <w:t xml:space="preserve">ледва тази линия на разсъждение, Съдът отхвърля аргумента на жалбоподателите, че забраната на многообразие от частноправни системи в името на специалната роля на секуларизма в Турция представлява дискриминация срещу мюсюлманите, които </w:t>
      </w:r>
      <w:r w:rsidR="006C2238">
        <w:lastRenderedPageBreak/>
        <w:t>желаят да живеят личния си живот съгласно предписанията на своята религия.</w:t>
      </w:r>
    </w:p>
    <w:p w:rsidR="00C63CF3" w:rsidRDefault="006C2238">
      <w:pPr>
        <w:pStyle w:val="JuPara"/>
      </w:pPr>
      <w:r>
        <w:t xml:space="preserve">Съдът </w:t>
      </w:r>
      <w:r w:rsidR="00936794">
        <w:t xml:space="preserve">отново </w:t>
      </w:r>
      <w:r>
        <w:t xml:space="preserve">изтъква, че свободата на религия, включително свободата на изразяване на религиозни убеждения чрез богослужения и ритуали, е </w:t>
      </w:r>
      <w:r w:rsidR="00936794">
        <w:t xml:space="preserve">преди всичко </w:t>
      </w:r>
      <w:r>
        <w:t>въпрос на индивидуално съзнание и подчертава, че сферата на индивидуалното съзнание е твърде различна от частноправната</w:t>
      </w:r>
      <w:r w:rsidR="004475F1">
        <w:t xml:space="preserve"> област</w:t>
      </w:r>
      <w:r>
        <w:t>, ко</w:t>
      </w:r>
      <w:r w:rsidR="004475F1">
        <w:t>я</w:t>
      </w:r>
      <w:r>
        <w:t>то касае организацията и функционирането на обществото като цяло.</w:t>
      </w:r>
    </w:p>
    <w:p w:rsidR="00C63CF3" w:rsidRDefault="006C2238">
      <w:pPr>
        <w:pStyle w:val="JuPara"/>
      </w:pPr>
      <w:r>
        <w:t>Пред Съда не е оспор</w:t>
      </w:r>
      <w:r w:rsidR="004475F1">
        <w:t>е</w:t>
      </w:r>
      <w:r>
        <w:t xml:space="preserve">но, че в Турция всеки в личния си живот може да спазва нормите на своята религия. От друга страна Турция, както всяка друга </w:t>
      </w:r>
      <w:r w:rsidR="004475F1">
        <w:t>Д</w:t>
      </w:r>
      <w:r>
        <w:t xml:space="preserve">оговаряща страна, има право </w:t>
      </w:r>
      <w:r w:rsidR="004475F1">
        <w:t xml:space="preserve">законно </w:t>
      </w:r>
      <w:r>
        <w:t xml:space="preserve">да предотврати, в рамките на компетенциите на частноправните си норми, прилагането на религиозни стимули, които </w:t>
      </w:r>
      <w:r w:rsidR="0047145A">
        <w:t xml:space="preserve">вредят на </w:t>
      </w:r>
      <w:r>
        <w:t xml:space="preserve">обществения ред и ценностите на демокрацията </w:t>
      </w:r>
      <w:r w:rsidR="0047145A">
        <w:t>по смисъла</w:t>
      </w:r>
      <w:r>
        <w:t xml:space="preserve"> на Конвенцията (като например норми, позволяващи дискриминация въз основа на пола на съответните страни, както при полигамията и привилегиите </w:t>
      </w:r>
      <w:r w:rsidR="0047145A">
        <w:t>з</w:t>
      </w:r>
      <w:r>
        <w:t>а мъжкия пол при развод и наследяване). Свободата на сключване на договори не може да отменя ролята на държавата на неутрален и безпристрастен организатор на изповядването на религии, вероизповедания и убеждения (вж. параграфи 91</w:t>
      </w:r>
      <w:r>
        <w:noBreakHyphen/>
        <w:t>92 по-горе).</w:t>
      </w:r>
      <w:r w:rsidR="004475F1">
        <w:t xml:space="preserve"> </w:t>
      </w:r>
    </w:p>
    <w:p w:rsidR="00C63CF3" w:rsidRDefault="006C2238">
      <w:pPr>
        <w:pStyle w:val="JuH"/>
        <w:rPr>
          <w:i w:val="0"/>
        </w:rPr>
      </w:pPr>
      <w:r>
        <w:rPr>
          <w:i w:val="0"/>
        </w:rPr>
        <w:t>     (г)  Възможността за прибягване към сила</w:t>
      </w:r>
    </w:p>
    <w:p w:rsidR="00C63CF3" w:rsidRDefault="00AF2D4B">
      <w:pPr>
        <w:pStyle w:val="JuPara"/>
      </w:pPr>
      <w:fldSimple w:instr=" SEQ level0 \*arabic ">
        <w:r w:rsidR="006C2238">
          <w:rPr>
            <w:noProof/>
          </w:rPr>
          <w:t>129</w:t>
        </w:r>
      </w:fldSimple>
      <w:r w:rsidR="006C2238">
        <w:t xml:space="preserve">.  Съдът взема под внимание по тази част следните коментари, цитирани от Конституционния съд и направени от: </w:t>
      </w:r>
    </w:p>
    <w:p w:rsidR="00C63CF3" w:rsidRDefault="006C2238">
      <w:pPr>
        <w:pStyle w:val="JuPara"/>
      </w:pPr>
      <w:r>
        <w:t>—</w:t>
      </w:r>
      <w:r>
        <w:tab/>
      </w:r>
      <w:r w:rsidR="00CC4A0B">
        <w:t>г</w:t>
      </w:r>
      <w:r>
        <w:t xml:space="preserve">-н Necmettin Erbakan на 13 април 1994 г. </w:t>
      </w:r>
      <w:r w:rsidR="00CC4A0B">
        <w:t>по</w:t>
      </w:r>
      <w:r>
        <w:t xml:space="preserve"> въпроса дали властта да бъде взета със сила или по мирен път (дали промяната ще включва кръвопролития или не — вж. параграф 31 по-горе);</w:t>
      </w:r>
    </w:p>
    <w:p w:rsidR="00C63CF3" w:rsidRDefault="006C2238">
      <w:pPr>
        <w:pStyle w:val="JuPara"/>
      </w:pPr>
      <w:r>
        <w:t xml:space="preserve">— </w:t>
      </w:r>
      <w:r w:rsidR="00CC4A0B">
        <w:t>г</w:t>
      </w:r>
      <w:r>
        <w:t>-н Şevki Yılmaz през април 1994 г. относно тълкуването на джихада и възможността мюсюлманите да се въоръжат след идване на власт (вж. параграф 33 по-горе);</w:t>
      </w:r>
    </w:p>
    <w:p w:rsidR="00C63CF3" w:rsidRDefault="006C2238">
      <w:pPr>
        <w:pStyle w:val="JuPara"/>
      </w:pPr>
      <w:r>
        <w:t>—</w:t>
      </w:r>
      <w:r>
        <w:tab/>
      </w:r>
      <w:r w:rsidR="00CC4A0B">
        <w:t>г</w:t>
      </w:r>
      <w:r>
        <w:t>-н Hasan Hüseyin Ceylan на 14 март 1993 г., който отправ</w:t>
      </w:r>
      <w:r w:rsidR="00CC4A0B">
        <w:t>я</w:t>
      </w:r>
      <w:r>
        <w:t xml:space="preserve"> обиди и запла</w:t>
      </w:r>
      <w:r w:rsidR="00CC4A0B">
        <w:t>х</w:t>
      </w:r>
      <w:r>
        <w:t xml:space="preserve">и </w:t>
      </w:r>
      <w:r w:rsidR="00CC4A0B">
        <w:t xml:space="preserve">към </w:t>
      </w:r>
      <w:r>
        <w:t>привържениците на режима на западния модел (вж. параграф 34 по-горе);</w:t>
      </w:r>
    </w:p>
    <w:p w:rsidR="00C63CF3" w:rsidRDefault="006C2238">
      <w:pPr>
        <w:pStyle w:val="JuPara"/>
      </w:pPr>
      <w:r>
        <w:t>—</w:t>
      </w:r>
      <w:r>
        <w:tab/>
      </w:r>
      <w:r w:rsidR="00CC4A0B">
        <w:t>г</w:t>
      </w:r>
      <w:r>
        <w:t>-н Şükrü Karatepe, който в изказването си на 10 декември 1996 г. съветва вярващите да пазят живи ненавистта и омразата, които чувстват в сърцата си (вж. параграф 36 по-горе);</w:t>
      </w:r>
    </w:p>
    <w:p w:rsidR="00C63CF3" w:rsidRDefault="006C2238">
      <w:pPr>
        <w:pStyle w:val="JuPara"/>
      </w:pPr>
      <w:r>
        <w:t>—</w:t>
      </w:r>
      <w:r>
        <w:tab/>
      </w:r>
      <w:r w:rsidR="00CC4A0B">
        <w:t>г</w:t>
      </w:r>
      <w:r>
        <w:t>-н İbrahim Halil Çelik на 8 май 1997 г., който заяв</w:t>
      </w:r>
      <w:r w:rsidR="006A3417">
        <w:t>ява</w:t>
      </w:r>
      <w:r>
        <w:t>, че иска да се пролее кръв, за да не се допусне закриването на богословските колежи (вж. параграф 37 по-горе);</w:t>
      </w:r>
    </w:p>
    <w:p w:rsidR="00C63CF3" w:rsidRDefault="006C2238">
      <w:pPr>
        <w:pStyle w:val="JuPara"/>
      </w:pPr>
      <w:r>
        <w:t>Съдът също така взема предвид посещението на г-н Şevket Kazan, тогава</w:t>
      </w:r>
      <w:r w:rsidR="006A3417">
        <w:t>шен</w:t>
      </w:r>
      <w:r>
        <w:t xml:space="preserve"> министър на правосъдието, при член на неговата партия, обвинен в подбуждане към омраза въз основа на религиозна дискриминация (вж. параграф 38 по-горе).</w:t>
      </w:r>
    </w:p>
    <w:p w:rsidR="00C63CF3" w:rsidRDefault="00AF2D4B">
      <w:pPr>
        <w:pStyle w:val="JuPara"/>
      </w:pPr>
      <w:fldSimple w:instr=" SEQ level0 \*arabic ">
        <w:r w:rsidR="006C2238">
          <w:rPr>
            <w:noProof/>
          </w:rPr>
          <w:t>130</w:t>
        </w:r>
      </w:fldSimple>
      <w:r w:rsidR="006C2238">
        <w:t xml:space="preserve">.  Съдът счита, че какъвто и смисъл да се придаде на термина  </w:t>
      </w:r>
      <w:r w:rsidR="006A3417">
        <w:t>„</w:t>
      </w:r>
      <w:r w:rsidR="006C2238">
        <w:t>джихад“, използван в повечето изказвания по-горе (чието основно значение е свещена война и борба до окончателното постигане на господство на исляма в обществото), налице е неяснота в терминологията, използвана във връзка с начина за получаване на политическа власт. Във всички тези изказвания е спомената възможността за „законно“ прибягване към употреба на сила, за да се преодолеят различните пречки, които се очаква да срещне Refah по политическия си път, чрез който възнамерява да получи и задържи властта.</w:t>
      </w:r>
    </w:p>
    <w:p w:rsidR="00C63CF3" w:rsidRDefault="00AF2D4B">
      <w:pPr>
        <w:pStyle w:val="JuPara"/>
      </w:pPr>
      <w:fldSimple w:instr=" SEQ level0 \*arabic ">
        <w:r w:rsidR="006C2238">
          <w:rPr>
            <w:noProof/>
          </w:rPr>
          <w:t>131</w:t>
        </w:r>
      </w:fldSimple>
      <w:r w:rsidR="006C2238">
        <w:t xml:space="preserve">.  Освен това Съдът приема и следната констатация на </w:t>
      </w:r>
      <w:r w:rsidR="009C6E35">
        <w:t>състава</w:t>
      </w:r>
      <w:r w:rsidR="006C2238">
        <w:t>:</w:t>
      </w:r>
    </w:p>
    <w:p w:rsidR="00C63CF3" w:rsidRDefault="006C2238">
      <w:pPr>
        <w:pStyle w:val="JuQuot"/>
      </w:pPr>
      <w:r>
        <w:t xml:space="preserve">„74.  ... </w:t>
      </w:r>
    </w:p>
    <w:p w:rsidR="00C63CF3" w:rsidRDefault="009C6E35">
      <w:pPr>
        <w:pStyle w:val="JuQuot"/>
      </w:pPr>
      <w:r>
        <w:t xml:space="preserve">Макар да </w:t>
      </w:r>
      <w:r w:rsidR="006C2238">
        <w:t xml:space="preserve">е вярно, че ръководителите [на Refah] не призовават в документи на правителството към използването на сила и насилие като политическо средство, те не са </w:t>
      </w:r>
      <w:r w:rsidR="00EC43B2">
        <w:t xml:space="preserve">предприели </w:t>
      </w:r>
      <w:r w:rsidR="006C2238">
        <w:t xml:space="preserve">своевременни </w:t>
      </w:r>
      <w:r w:rsidR="00EC43B2">
        <w:t>практически стъпки</w:t>
      </w:r>
      <w:r w:rsidR="006C2238">
        <w:t>, за да се разграничат от тези членове на</w:t>
      </w:r>
      <w:r w:rsidR="00EC43B2">
        <w:t xml:space="preserve"> [</w:t>
      </w:r>
      <w:r w:rsidR="006C2238">
        <w:t xml:space="preserve">Refah], които публично са изразили одобрението си за използването на сила срещу политическите си противници. </w:t>
      </w:r>
      <w:r w:rsidR="00EC43B2">
        <w:t>Следователно</w:t>
      </w:r>
      <w:r w:rsidR="006C2238">
        <w:t xml:space="preserve"> ръководителите на Refah не разсейват неяснотата около тези изявления относно възможността да се прибегне до насилствени методи за </w:t>
      </w:r>
      <w:r w:rsidR="00EC43B2">
        <w:t>спечелване</w:t>
      </w:r>
      <w:r w:rsidR="006C2238">
        <w:t xml:space="preserve"> и задържане на властта (вж., </w:t>
      </w:r>
      <w:r w:rsidR="006C2238">
        <w:rPr>
          <w:i/>
        </w:rPr>
        <w:t>mutatis mutandis</w:t>
      </w:r>
      <w:r w:rsidR="006C2238">
        <w:t xml:space="preserve">, </w:t>
      </w:r>
      <w:r w:rsidR="006C2238">
        <w:rPr>
          <w:i/>
        </w:rPr>
        <w:t>Zana v. Turkey</w:t>
      </w:r>
      <w:r w:rsidR="006C2238">
        <w:t xml:space="preserve">, решение от 25 ноември 1997 г., </w:t>
      </w:r>
      <w:r w:rsidR="006C2238">
        <w:rPr>
          <w:i/>
        </w:rPr>
        <w:t xml:space="preserve">Доклади </w:t>
      </w:r>
      <w:r w:rsidR="006C2238">
        <w:t>1997-VII, стр. 2549, § 58).“</w:t>
      </w:r>
    </w:p>
    <w:p w:rsidR="00C63CF3" w:rsidRDefault="006C2238">
      <w:pPr>
        <w:pStyle w:val="JuH"/>
      </w:pPr>
      <w:r>
        <w:t>Цялостен преглед на „неотложн</w:t>
      </w:r>
      <w:r w:rsidR="00EC43B2">
        <w:t>а</w:t>
      </w:r>
      <w:r>
        <w:t xml:space="preserve"> социалн</w:t>
      </w:r>
      <w:r w:rsidR="00EC43B2">
        <w:t>а</w:t>
      </w:r>
      <w:r>
        <w:t xml:space="preserve"> потребност“</w:t>
      </w:r>
    </w:p>
    <w:p w:rsidR="00C63CF3" w:rsidRDefault="00AF2D4B">
      <w:pPr>
        <w:pStyle w:val="JuPara"/>
      </w:pPr>
      <w:fldSimple w:instr=" SEQ level0 \*arabic ">
        <w:r w:rsidR="006C2238">
          <w:rPr>
            <w:noProof/>
          </w:rPr>
          <w:t>132</w:t>
        </w:r>
      </w:fldSimple>
      <w:r w:rsidR="006C2238">
        <w:t>.  При извършване</w:t>
      </w:r>
      <w:r w:rsidR="0023547A">
        <w:t>то</w:t>
      </w:r>
      <w:r w:rsidR="006C2238">
        <w:t xml:space="preserve"> на цялостна оценка на </w:t>
      </w:r>
      <w:r w:rsidR="0023547A">
        <w:t xml:space="preserve">въпросите </w:t>
      </w:r>
      <w:r w:rsidR="006C2238">
        <w:t xml:space="preserve">по-горе във връзка с разглеждането на въпроса дали е налице неотложна социална потребност от </w:t>
      </w:r>
      <w:r w:rsidR="0023547A">
        <w:t xml:space="preserve">въпросната </w:t>
      </w:r>
      <w:r w:rsidR="006C2238">
        <w:t xml:space="preserve">намеса </w:t>
      </w:r>
      <w:r w:rsidR="0023547A">
        <w:t>в</w:t>
      </w:r>
      <w:r w:rsidR="006C2238">
        <w:t xml:space="preserve"> конкретния случай, Съдът стига до заключението, че действията и изказванията на членовете и ръководителите на Refah, цитирани от Конституционния съд, се отнасят до партията като цяло, че тези действия и изказвания разкриват дългосрочната политика на Refah </w:t>
      </w:r>
      <w:r w:rsidR="0023547A">
        <w:t>з</w:t>
      </w:r>
      <w:r w:rsidR="006C2238">
        <w:t xml:space="preserve">а установяване на режим, основан на шериата в рамките на многообразие от правни системи, както и че Refah не изключва прибягването до употребата на сила за осъществяване на политиката си и въдворяването на предвидената от нея система. Предвид факта, че тези планове са несъвместими с концепцията за „демократично общество“ и че действителните възможности на Refah да ги осъществи на практика </w:t>
      </w:r>
      <w:r w:rsidR="0040176B">
        <w:t xml:space="preserve">правят опасността за демокрацията по-осезаема </w:t>
      </w:r>
      <w:r w:rsidR="006C2238">
        <w:t xml:space="preserve">и </w:t>
      </w:r>
      <w:r w:rsidR="0040176B">
        <w:t>по-н</w:t>
      </w:r>
      <w:r w:rsidR="006C2238">
        <w:t xml:space="preserve">епосредствена, наложеното наказание на жалбоподателите от страна на Конституционния съд, дори в контекста на ограничената свобода на преценка, с която разполагат </w:t>
      </w:r>
      <w:r w:rsidR="0040176B">
        <w:t>Д</w:t>
      </w:r>
      <w:r w:rsidR="006C2238">
        <w:t>оговарящите държави, основателно може да се счита за отговарящо на „неотложн</w:t>
      </w:r>
      <w:r w:rsidR="00B12559">
        <w:t>а</w:t>
      </w:r>
      <w:r w:rsidR="006C2238">
        <w:t xml:space="preserve"> социалн</w:t>
      </w:r>
      <w:r w:rsidR="00B12559">
        <w:t>а</w:t>
      </w:r>
      <w:r w:rsidR="006C2238">
        <w:t xml:space="preserve"> потребност“.</w:t>
      </w:r>
    </w:p>
    <w:p w:rsidR="00C63CF3" w:rsidRDefault="006C2238">
      <w:pPr>
        <w:pStyle w:val="JuHalpha"/>
      </w:pPr>
      <w:r>
        <w:t>(β)  Пропорционалност на обжалван</w:t>
      </w:r>
      <w:r w:rsidR="00B12559">
        <w:t>а</w:t>
      </w:r>
      <w:r>
        <w:t>т</w:t>
      </w:r>
      <w:r w:rsidR="00B12559">
        <w:t>а</w:t>
      </w:r>
      <w:r>
        <w:t xml:space="preserve"> м</w:t>
      </w:r>
      <w:r w:rsidR="00B12559">
        <w:t>я</w:t>
      </w:r>
      <w:r>
        <w:t>рк</w:t>
      </w:r>
      <w:r w:rsidR="00B12559">
        <w:t>а</w:t>
      </w:r>
    </w:p>
    <w:p w:rsidR="00C63CF3" w:rsidRDefault="00AF2D4B">
      <w:pPr>
        <w:pStyle w:val="JuPara"/>
      </w:pPr>
      <w:fldSimple w:instr=" SEQ level0 \*arabic ">
        <w:r w:rsidR="006C2238">
          <w:rPr>
            <w:noProof/>
          </w:rPr>
          <w:t>133</w:t>
        </w:r>
      </w:fldSimple>
      <w:r w:rsidR="006C2238">
        <w:t xml:space="preserve">.  След </w:t>
      </w:r>
      <w:r w:rsidR="004B76C2">
        <w:t xml:space="preserve">като </w:t>
      </w:r>
      <w:r w:rsidR="006C2238">
        <w:t xml:space="preserve">разгледа аргументите на страните, Съдът не намира основателна причина да се разграничи от следните съображения, изложени в решението на </w:t>
      </w:r>
      <w:r w:rsidR="004B76C2">
        <w:t>състава</w:t>
      </w:r>
      <w:r w:rsidR="006C2238">
        <w:t>:</w:t>
      </w:r>
    </w:p>
    <w:p w:rsidR="00C63CF3" w:rsidRDefault="006C2238">
      <w:pPr>
        <w:pStyle w:val="JuQuot"/>
      </w:pPr>
      <w:r>
        <w:t xml:space="preserve">„82.  ... Съдът вече е </w:t>
      </w:r>
      <w:r w:rsidR="004B76C2">
        <w:t>посочвал</w:t>
      </w:r>
      <w:r>
        <w:t xml:space="preserve">, че разпускането на политическа партия, </w:t>
      </w:r>
      <w:r w:rsidR="004B76C2">
        <w:t>придружено от</w:t>
      </w:r>
      <w:r>
        <w:t xml:space="preserve"> временна забрана на нейните ръководители да </w:t>
      </w:r>
      <w:r w:rsidR="004B76C2">
        <w:t xml:space="preserve">упражняват </w:t>
      </w:r>
      <w:r>
        <w:t>политически отговорности, представлява крайна мярка и че подобн</w:t>
      </w:r>
      <w:r w:rsidR="004B76C2">
        <w:t>и</w:t>
      </w:r>
      <w:r>
        <w:t xml:space="preserve"> строг</w:t>
      </w:r>
      <w:r w:rsidR="004B76C2">
        <w:t>и</w:t>
      </w:r>
      <w:r>
        <w:t xml:space="preserve"> м</w:t>
      </w:r>
      <w:r w:rsidR="004B76C2">
        <w:t>е</w:t>
      </w:r>
      <w:r>
        <w:t>рк</w:t>
      </w:r>
      <w:r w:rsidR="004B76C2">
        <w:t>и</w:t>
      </w:r>
      <w:r>
        <w:t xml:space="preserve"> мо</w:t>
      </w:r>
      <w:r w:rsidR="004B76C2">
        <w:t>гат</w:t>
      </w:r>
      <w:r>
        <w:t xml:space="preserve"> да се прилага</w:t>
      </w:r>
      <w:r w:rsidR="004B76C2">
        <w:t>т</w:t>
      </w:r>
      <w:r>
        <w:t xml:space="preserve"> само </w:t>
      </w:r>
      <w:r w:rsidR="004B76C2">
        <w:t xml:space="preserve">в </w:t>
      </w:r>
      <w:r>
        <w:t xml:space="preserve">най-тежките случаи (вж. цитираното вече решение </w:t>
      </w:r>
      <w:r>
        <w:rPr>
          <w:i/>
        </w:rPr>
        <w:t>Socialist Party and</w:t>
      </w:r>
      <w:r>
        <w:t xml:space="preserve"> </w:t>
      </w:r>
      <w:r>
        <w:rPr>
          <w:i/>
        </w:rPr>
        <w:t>Others v. Turkey</w:t>
      </w:r>
      <w:r>
        <w:t>, стр. 1258, § 51). В конкретния случай Съдът констатира само, че въпросната намеса отговаря на „неотложн</w:t>
      </w:r>
      <w:r w:rsidR="00C65FDF">
        <w:t>а</w:t>
      </w:r>
      <w:r>
        <w:t xml:space="preserve"> социалн</w:t>
      </w:r>
      <w:r w:rsidR="00C65FDF">
        <w:t>а</w:t>
      </w:r>
      <w:r>
        <w:t xml:space="preserve"> потребност“. Следва да се отбележи също, че след разпускането [на Refah] само петима нейни народни представители (в</w:t>
      </w:r>
      <w:r w:rsidR="00C65FDF">
        <w:t xml:space="preserve"> това число</w:t>
      </w:r>
      <w:r>
        <w:t xml:space="preserve"> жалбоподателите) временно </w:t>
      </w:r>
      <w:r w:rsidR="00001147">
        <w:t>изгубват</w:t>
      </w:r>
      <w:r>
        <w:t xml:space="preserve"> парламентарните си постове и ролята </w:t>
      </w:r>
      <w:r w:rsidR="00001147">
        <w:t>си</w:t>
      </w:r>
      <w:r>
        <w:t xml:space="preserve"> на ръководители на политическа партия. Останалите 152-ма </w:t>
      </w:r>
      <w:r w:rsidR="009A6684">
        <w:t xml:space="preserve">депутати </w:t>
      </w:r>
      <w:r>
        <w:t xml:space="preserve">продължават да заемат местата си в Парламента и да следват обичайната си политическа кариера. ... В тази връзка Съдът счита, че естеството и строгостта на намесата са също така фактори, които следва да бъдат взети предвид при оценката на пропорционалността </w:t>
      </w:r>
      <w:r w:rsidR="009A6684">
        <w:t>ѝ</w:t>
      </w:r>
      <w:r>
        <w:t xml:space="preserve"> (вж. например </w:t>
      </w:r>
      <w:r>
        <w:rPr>
          <w:i/>
        </w:rPr>
        <w:t>Sürek v. Turkey (no. 1)</w:t>
      </w:r>
      <w:r>
        <w:t xml:space="preserve"> [</w:t>
      </w:r>
      <w:r w:rsidR="009A6684">
        <w:t>ГО</w:t>
      </w:r>
      <w:r>
        <w:t>], № 26682/95, § 64, ЕСПЧ 1999-IV).“</w:t>
      </w:r>
    </w:p>
    <w:p w:rsidR="00C63CF3" w:rsidRDefault="00AF2D4B">
      <w:pPr>
        <w:pStyle w:val="JuPara"/>
      </w:pPr>
      <w:fldSimple w:instr=" SEQ level0 \*arabic ">
        <w:r w:rsidR="006C2238">
          <w:rPr>
            <w:noProof/>
          </w:rPr>
          <w:t>134</w:t>
        </w:r>
      </w:fldSimple>
      <w:r w:rsidR="006C2238">
        <w:t xml:space="preserve">.  Съдът отбелязва също, че </w:t>
      </w:r>
      <w:r w:rsidR="009A6684">
        <w:t xml:space="preserve">твърдените от жалбоподателите </w:t>
      </w:r>
      <w:r w:rsidR="006C2238">
        <w:t xml:space="preserve">имуществени вреди се свеждат до голяма степен до </w:t>
      </w:r>
      <w:r w:rsidR="00706FA7">
        <w:t>пропуснати ползи</w:t>
      </w:r>
      <w:r w:rsidR="006C2238">
        <w:t xml:space="preserve"> и по същество са спекулативни. Предвид ниската стойност на активите на Refah, прехвърлянето им на Хазната няма отношение към пропорционалността на въпросната намеса. Освен това Съдът отбелязва, че забраната, наложена на тримата жалбоподатели г-н Necmettin Erbakan, г-н Şevket Kazan и г-н Ahmet Tekdal да упражняват определени видове политическа дейност за </w:t>
      </w:r>
      <w:r w:rsidR="00706FA7">
        <w:t xml:space="preserve">срок </w:t>
      </w:r>
      <w:r w:rsidR="006C2238">
        <w:t>от пет години</w:t>
      </w:r>
      <w:r w:rsidR="00706FA7">
        <w:t>,</w:t>
      </w:r>
      <w:r w:rsidR="006C2238">
        <w:t xml:space="preserve"> е временна и че чрез своите изказвания и позиции, приети в качеството им на председател и заместник-председатели на партията, те носят главната отговорност за разпускането на Refah.</w:t>
      </w:r>
    </w:p>
    <w:p w:rsidR="00C63CF3" w:rsidRDefault="006C2238">
      <w:pPr>
        <w:pStyle w:val="JuPara"/>
      </w:pPr>
      <w:r>
        <w:t xml:space="preserve">Следователно въпросната намеса в конкретния случай не може да се разглежда като непропорционална </w:t>
      </w:r>
      <w:r w:rsidR="00706FA7">
        <w:t>по отношение на</w:t>
      </w:r>
      <w:r>
        <w:t xml:space="preserve"> поставените цели.</w:t>
      </w:r>
    </w:p>
    <w:p w:rsidR="00C63CF3" w:rsidRDefault="006C2238">
      <w:pPr>
        <w:pStyle w:val="JuH1"/>
      </w:pPr>
      <w:r>
        <w:t>4.  Заключение</w:t>
      </w:r>
      <w:r w:rsidR="00706FA7">
        <w:t>то</w:t>
      </w:r>
      <w:r>
        <w:t xml:space="preserve"> на Съда </w:t>
      </w:r>
      <w:r w:rsidR="00723730">
        <w:t>във връзка с</w:t>
      </w:r>
      <w:r>
        <w:t xml:space="preserve"> чл. 11 от Конвенцията</w:t>
      </w:r>
    </w:p>
    <w:p w:rsidR="00C63CF3" w:rsidRDefault="00AF2D4B">
      <w:pPr>
        <w:pStyle w:val="JuPara"/>
      </w:pPr>
      <w:fldSimple w:instr=" SEQ level0 \*arabic ">
        <w:r w:rsidR="006C2238">
          <w:rPr>
            <w:noProof/>
          </w:rPr>
          <w:t>135</w:t>
        </w:r>
      </w:fldSimple>
      <w:r w:rsidR="006C2238">
        <w:t>.  </w:t>
      </w:r>
      <w:r w:rsidR="00723730">
        <w:t>С</w:t>
      </w:r>
      <w:r w:rsidR="006C2238">
        <w:t xml:space="preserve">лед обстоен преглед за </w:t>
      </w:r>
      <w:r w:rsidR="00723730">
        <w:t>удостоверяване</w:t>
      </w:r>
      <w:r w:rsidR="006C2238">
        <w:t xml:space="preserve">, че са налице убедителни и </w:t>
      </w:r>
      <w:r w:rsidR="00723730">
        <w:t>неоспорими мотиви</w:t>
      </w:r>
      <w:r w:rsidR="006C2238">
        <w:t xml:space="preserve">, оправдаващи разпускането на Refah и временното отнемане на определени политически права на другите жалбоподатели, Съдът счита, че тези </w:t>
      </w:r>
      <w:r w:rsidR="00723730">
        <w:t xml:space="preserve">намеси </w:t>
      </w:r>
      <w:r w:rsidR="006C2238">
        <w:t>отговарят на „неотложн</w:t>
      </w:r>
      <w:r w:rsidR="00AB1A79">
        <w:t>а</w:t>
      </w:r>
      <w:r w:rsidR="006C2238">
        <w:t xml:space="preserve"> социалн</w:t>
      </w:r>
      <w:r w:rsidR="00AB1A79">
        <w:t>а</w:t>
      </w:r>
      <w:r w:rsidR="006C2238">
        <w:t xml:space="preserve"> потребност“ и са „пропорционални </w:t>
      </w:r>
      <w:r w:rsidR="00AB1A79">
        <w:t>по отношение на</w:t>
      </w:r>
      <w:r w:rsidR="006C2238">
        <w:t xml:space="preserve"> поставените цели“. Следователно разпускането на Refah може да се разглежда като „необходимо в едно демократично общество“ по смисъла на чл</w:t>
      </w:r>
      <w:r w:rsidR="00AB1A79">
        <w:t>.</w:t>
      </w:r>
      <w:r w:rsidR="006C2238">
        <w:t xml:space="preserve"> 11 § 2.</w:t>
      </w:r>
    </w:p>
    <w:p w:rsidR="00C63CF3" w:rsidRDefault="00AF2D4B">
      <w:pPr>
        <w:pStyle w:val="JuPara"/>
      </w:pPr>
      <w:fldSimple w:instr=" SEQ level0 \*arabic ">
        <w:r w:rsidR="006C2238">
          <w:rPr>
            <w:noProof/>
          </w:rPr>
          <w:t>136</w:t>
        </w:r>
      </w:fldSimple>
      <w:r w:rsidR="006C2238">
        <w:t xml:space="preserve">.  Съответно </w:t>
      </w:r>
      <w:r w:rsidR="00AB1A79">
        <w:t xml:space="preserve">не </w:t>
      </w:r>
      <w:r w:rsidR="006C2238">
        <w:t>е налице нарушение на чл. 11 от Конвенцията.</w:t>
      </w:r>
    </w:p>
    <w:p w:rsidR="00C63CF3" w:rsidRDefault="006C2238">
      <w:pPr>
        <w:pStyle w:val="JuHIRoman"/>
      </w:pPr>
      <w:r>
        <w:br w:type="page"/>
      </w:r>
      <w:r>
        <w:lastRenderedPageBreak/>
        <w:t>II.  ТВЪРД</w:t>
      </w:r>
      <w:r w:rsidR="00AB1A79">
        <w:t>Я</w:t>
      </w:r>
      <w:r>
        <w:t>Н</w:t>
      </w:r>
      <w:r w:rsidR="00AB1A79">
        <w:t>О</w:t>
      </w:r>
      <w:r>
        <w:t xml:space="preserve"> НАРУШЕНИ</w:t>
      </w:r>
      <w:r w:rsidR="00AB1A79">
        <w:t>Е</w:t>
      </w:r>
      <w:r>
        <w:t xml:space="preserve"> НА ЧЛЕНОВЕ 9, 10, 14, 17 И 18 ОТ КОНВЕНЦИЯТА</w:t>
      </w:r>
    </w:p>
    <w:p w:rsidR="00C63CF3" w:rsidRDefault="00AF2D4B">
      <w:pPr>
        <w:pStyle w:val="JuPara"/>
        <w:keepNext/>
        <w:keepLines/>
      </w:pPr>
      <w:fldSimple w:instr=" SEQ level0 \*arabic ">
        <w:r w:rsidR="006C2238">
          <w:rPr>
            <w:noProof/>
          </w:rPr>
          <w:t>137</w:t>
        </w:r>
      </w:fldSimple>
      <w:r w:rsidR="006C2238">
        <w:t>.  </w:t>
      </w:r>
      <w:r w:rsidR="00AB1A79">
        <w:t>Ж</w:t>
      </w:r>
      <w:r w:rsidR="006C2238">
        <w:t xml:space="preserve">албоподателите твърдят </w:t>
      </w:r>
      <w:r w:rsidR="00AB1A79">
        <w:t>и</w:t>
      </w:r>
      <w:r w:rsidR="006C2238">
        <w:t xml:space="preserve"> нарушени</w:t>
      </w:r>
      <w:r w:rsidR="00AB1A79">
        <w:t>е</w:t>
      </w:r>
      <w:r w:rsidR="006C2238">
        <w:t xml:space="preserve"> на членове 9, 10, 14, 17 и 18 от Конвенцията. Тъй като жалбите им се отнасят до същите факти като тези, разгледани по чл</w:t>
      </w:r>
      <w:r w:rsidR="000F75A7">
        <w:t>.</w:t>
      </w:r>
      <w:r w:rsidR="006C2238">
        <w:t xml:space="preserve"> 11, Съдът </w:t>
      </w:r>
      <w:r w:rsidR="000F75A7">
        <w:t xml:space="preserve">не </w:t>
      </w:r>
      <w:r w:rsidR="006C2238">
        <w:t xml:space="preserve">счита, че е необходимо да бъдат разгледани </w:t>
      </w:r>
      <w:r w:rsidR="000F75A7">
        <w:t>по</w:t>
      </w:r>
      <w:r w:rsidR="006C2238">
        <w:t>отделно.</w:t>
      </w:r>
    </w:p>
    <w:p w:rsidR="00C63CF3" w:rsidRDefault="006C2238">
      <w:pPr>
        <w:pStyle w:val="JuHIRoman"/>
      </w:pPr>
      <w:r>
        <w:t>III.  ТВЪРДЯНО НАРУШЕНИЕ НА ЧЛЕНОВЕ 1  И 3 ОТ ПРОТОКОЛ № 1</w:t>
      </w:r>
    </w:p>
    <w:p w:rsidR="00C63CF3" w:rsidRDefault="00AF2D4B">
      <w:pPr>
        <w:pStyle w:val="JuPara"/>
      </w:pPr>
      <w:fldSimple w:instr=" SEQ level0 \*arabic ">
        <w:r w:rsidR="006C2238">
          <w:rPr>
            <w:noProof/>
          </w:rPr>
          <w:t>138</w:t>
        </w:r>
      </w:fldSimple>
      <w:r w:rsidR="006C2238">
        <w:t xml:space="preserve">.  Жалбоподателите освен това твърдят, че последиците от разпускането на Refah, а именно конфискацията на активите </w:t>
      </w:r>
      <w:r w:rsidR="00A9698B">
        <w:t>ѝ</w:t>
      </w:r>
      <w:r w:rsidR="006C2238">
        <w:t xml:space="preserve"> и прехвърлянето им на Хазната, както и забраната, наложена на ръководителите </w:t>
      </w:r>
      <w:r w:rsidR="00A2316A">
        <w:t>ѝ</w:t>
      </w:r>
      <w:r w:rsidR="006C2238">
        <w:t xml:space="preserve"> да вземат участие в избори, </w:t>
      </w:r>
      <w:r w:rsidR="00A2316A">
        <w:t xml:space="preserve">е довело до </w:t>
      </w:r>
      <w:r w:rsidR="006C2238">
        <w:t>нарушение на членове 1 и 3 от Протокол № 1.</w:t>
      </w:r>
    </w:p>
    <w:p w:rsidR="00C63CF3" w:rsidRDefault="00AF2D4B">
      <w:pPr>
        <w:pStyle w:val="JuPara"/>
      </w:pPr>
      <w:fldSimple w:instr=" SEQ level0 \*arabic ">
        <w:r w:rsidR="006C2238">
          <w:rPr>
            <w:noProof/>
          </w:rPr>
          <w:t>139</w:t>
        </w:r>
      </w:fldSimple>
      <w:r w:rsidR="006C2238">
        <w:t xml:space="preserve">.  Съдът отбелязва, че мерките, </w:t>
      </w:r>
      <w:r w:rsidR="00B7742F">
        <w:t xml:space="preserve">обжалвани от </w:t>
      </w:r>
      <w:r w:rsidR="006C2238">
        <w:t xml:space="preserve">жалбоподателите, са само вторичен ефект от разпускането на Refah, което, както Съдът заключи, не представлява нарушение на член 11. Следователно няма </w:t>
      </w:r>
      <w:r w:rsidR="00B7742F">
        <w:t xml:space="preserve">основание </w:t>
      </w:r>
      <w:r w:rsidR="006C2238">
        <w:t>въпросните оплаквания</w:t>
      </w:r>
      <w:r w:rsidR="00B7742F">
        <w:t xml:space="preserve"> да бъдат разгледани поотделно</w:t>
      </w:r>
      <w:r w:rsidR="006C2238">
        <w:t>.</w:t>
      </w:r>
    </w:p>
    <w:p w:rsidR="00C63CF3" w:rsidRDefault="006C2238">
      <w:pPr>
        <w:pStyle w:val="JuHHead"/>
      </w:pPr>
      <w:r>
        <w:t>ПО ТЕЗИ СЪОБРАЖЕНИЯ СЪДЪТ ЕДИНОДУШНО</w:t>
      </w:r>
    </w:p>
    <w:p w:rsidR="00C63CF3" w:rsidRDefault="006C2238">
      <w:pPr>
        <w:pStyle w:val="JuList"/>
      </w:pPr>
      <w:r>
        <w:t>1.  </w:t>
      </w:r>
      <w:r>
        <w:rPr>
          <w:i/>
        </w:rPr>
        <w:t>Приема</w:t>
      </w:r>
      <w:r>
        <w:t xml:space="preserve">, че не </w:t>
      </w:r>
      <w:r w:rsidR="006E3B6E">
        <w:t>е</w:t>
      </w:r>
      <w:r>
        <w:t xml:space="preserve"> налице нарушени</w:t>
      </w:r>
      <w:r w:rsidR="006E3B6E">
        <w:t>е</w:t>
      </w:r>
      <w:r>
        <w:t xml:space="preserve"> на чл. 11 от Конвенцията;</w:t>
      </w:r>
    </w:p>
    <w:p w:rsidR="00C63CF3" w:rsidRDefault="00C63CF3">
      <w:pPr>
        <w:pStyle w:val="JuList"/>
      </w:pPr>
    </w:p>
    <w:p w:rsidR="00C63CF3" w:rsidRDefault="006C2238">
      <w:pPr>
        <w:pStyle w:val="JuList"/>
      </w:pPr>
      <w:r>
        <w:t>2.  </w:t>
      </w:r>
      <w:r>
        <w:rPr>
          <w:i/>
        </w:rPr>
        <w:t>Приема</w:t>
      </w:r>
      <w:r>
        <w:t xml:space="preserve">, че не е необходимо да се разглеждат </w:t>
      </w:r>
      <w:r w:rsidR="006E3B6E">
        <w:t>по</w:t>
      </w:r>
      <w:r>
        <w:t xml:space="preserve">отделно жалбите по членове 9, 10, 14, 17 и 18 от Конвенцията и </w:t>
      </w:r>
      <w:r w:rsidR="006E3B6E">
        <w:t xml:space="preserve">по </w:t>
      </w:r>
      <w:r>
        <w:t>членове 1 и 3 от Протокол № 1.</w:t>
      </w:r>
    </w:p>
    <w:p w:rsidR="00C63CF3" w:rsidRDefault="006C2238">
      <w:pPr>
        <w:pStyle w:val="JuParaLast"/>
      </w:pPr>
      <w:r>
        <w:t xml:space="preserve">Изготвено на английски и на френски език и </w:t>
      </w:r>
      <w:r w:rsidR="006E3B6E">
        <w:t xml:space="preserve">постановено </w:t>
      </w:r>
      <w:r>
        <w:t>по време на публично заседание в сградата на Съда по правата на човека в Страсбург на 13 февруари 2003 г.</w:t>
      </w:r>
    </w:p>
    <w:p w:rsidR="00C63CF3" w:rsidRDefault="006C2238">
      <w:pPr>
        <w:pStyle w:val="JuSigned"/>
        <w:keepNext/>
        <w:keepLines/>
      </w:pPr>
      <w:r>
        <w:tab/>
      </w:r>
      <w:r>
        <w:tab/>
        <w:t xml:space="preserve">Луциус Вилдхабер (Luzius </w:t>
      </w:r>
      <w:r>
        <w:rPr>
          <w:rStyle w:val="JuNames"/>
          <w:noProof/>
        </w:rPr>
        <w:t>Wildhaber)</w:t>
      </w:r>
      <w:r>
        <w:rPr>
          <w:rStyle w:val="JuNames"/>
          <w:noProof/>
        </w:rPr>
        <w:br/>
      </w:r>
      <w:r>
        <w:tab/>
      </w:r>
      <w:r>
        <w:tab/>
        <w:t>председател</w:t>
      </w:r>
      <w:r>
        <w:rPr>
          <w:rStyle w:val="JuNames"/>
          <w:noProof/>
        </w:rPr>
        <w:br/>
      </w:r>
      <w:r>
        <w:tab/>
        <w:t xml:space="preserve">Пол Махони (Paul </w:t>
      </w:r>
      <w:r>
        <w:rPr>
          <w:rStyle w:val="JuNames"/>
          <w:noProof/>
        </w:rPr>
        <w:t>Mahoney)</w:t>
      </w:r>
      <w:r>
        <w:rPr>
          <w:rStyle w:val="JuNames"/>
          <w:noProof/>
        </w:rPr>
        <w:br/>
      </w:r>
      <w:r>
        <w:tab/>
        <w:t>секретар</w:t>
      </w:r>
    </w:p>
    <w:p w:rsidR="00E14D9E" w:rsidRDefault="006C2238" w:rsidP="005C2DB2">
      <w:pPr>
        <w:pStyle w:val="JuParaLast"/>
        <w:tabs>
          <w:tab w:val="left" w:pos="284"/>
        </w:tabs>
        <w:spacing w:before="0"/>
        <w:ind w:firstLine="289"/>
      </w:pPr>
      <w:r>
        <w:br w:type="page"/>
      </w:r>
      <w:r>
        <w:lastRenderedPageBreak/>
        <w:t xml:space="preserve">В съответствие с чл. 45 § 2 от Конвенцията и </w:t>
      </w:r>
      <w:r w:rsidR="006E3B6E">
        <w:t>правило</w:t>
      </w:r>
      <w:r>
        <w:t xml:space="preserve"> 74 § 2 от Правилника на Съда, </w:t>
      </w:r>
      <w:r w:rsidR="006E3B6E">
        <w:t xml:space="preserve">към настоящото решение са приложени </w:t>
      </w:r>
      <w:r>
        <w:t>следните отделни мнения:</w:t>
      </w:r>
      <w:r>
        <w:tab/>
      </w:r>
    </w:p>
    <w:p w:rsidR="00C63CF3" w:rsidRDefault="006C2238" w:rsidP="005C2DB2">
      <w:pPr>
        <w:pStyle w:val="JuParaLast"/>
        <w:tabs>
          <w:tab w:val="left" w:pos="284"/>
        </w:tabs>
        <w:spacing w:before="0"/>
        <w:ind w:firstLine="289"/>
      </w:pPr>
      <w:r>
        <w:t>(а)  </w:t>
      </w:r>
      <w:r w:rsidR="00E14D9E">
        <w:t xml:space="preserve">съвпадащо </w:t>
      </w:r>
      <w:r>
        <w:t xml:space="preserve">мнение на г-н </w:t>
      </w:r>
      <w:r w:rsidR="00E14D9E" w:rsidRPr="00E14D9E">
        <w:rPr>
          <w:lang w:val="en-GB" w:eastAsia="fr-FR" w:bidi="ar-SA"/>
        </w:rPr>
        <w:t xml:space="preserve"> </w:t>
      </w:r>
      <w:r w:rsidR="00E14D9E" w:rsidRPr="00E14D9E">
        <w:rPr>
          <w:lang w:val="en-GB"/>
        </w:rPr>
        <w:t>Ress</w:t>
      </w:r>
      <w:r>
        <w:t xml:space="preserve">, към което се присъединява г-н </w:t>
      </w:r>
      <w:r w:rsidR="00E14D9E" w:rsidRPr="00E14D9E">
        <w:rPr>
          <w:lang w:val="en-GB" w:eastAsia="fr-FR" w:bidi="ar-SA"/>
        </w:rPr>
        <w:t xml:space="preserve"> </w:t>
      </w:r>
      <w:r w:rsidR="00E14D9E" w:rsidRPr="00E14D9E">
        <w:rPr>
          <w:lang w:val="en-GB"/>
        </w:rPr>
        <w:t>Rozakis</w:t>
      </w:r>
      <w:r>
        <w:t>;</w:t>
      </w:r>
      <w:r>
        <w:br/>
      </w:r>
      <w:r>
        <w:tab/>
        <w:t>(б)  </w:t>
      </w:r>
      <w:r w:rsidR="00E14D9E">
        <w:t>съвпад</w:t>
      </w:r>
      <w:r>
        <w:t xml:space="preserve">ащо мнение на г-н </w:t>
      </w:r>
      <w:r w:rsidR="00E14D9E" w:rsidRPr="00E14D9E">
        <w:rPr>
          <w:lang w:val="en-GB" w:eastAsia="fr-FR" w:bidi="ar-SA"/>
        </w:rPr>
        <w:t xml:space="preserve"> </w:t>
      </w:r>
      <w:r w:rsidR="00E14D9E" w:rsidRPr="00E14D9E">
        <w:rPr>
          <w:lang w:val="en-GB"/>
        </w:rPr>
        <w:t>Kovler</w:t>
      </w:r>
      <w:r>
        <w:t>.</w:t>
      </w:r>
    </w:p>
    <w:p w:rsidR="00C63CF3" w:rsidRDefault="00C63CF3">
      <w:pPr>
        <w:pStyle w:val="JuPara"/>
      </w:pPr>
    </w:p>
    <w:p w:rsidR="00C63CF3" w:rsidRDefault="00C63CF3">
      <w:pPr>
        <w:pStyle w:val="JuPara"/>
      </w:pPr>
    </w:p>
    <w:p w:rsidR="00C63CF3" w:rsidRDefault="006C2238">
      <w:pPr>
        <w:pStyle w:val="JuPara"/>
        <w:jc w:val="right"/>
        <w:sectPr w:rsidR="00C63CF3">
          <w:headerReference w:type="even" r:id="rId13"/>
          <w:headerReference w:type="default" r:id="rId14"/>
          <w:footnotePr>
            <w:numRestart w:val="eachPage"/>
          </w:footnotePr>
          <w:pgSz w:w="11906" w:h="16838" w:code="9"/>
          <w:pgMar w:top="2274" w:right="2274" w:bottom="2274" w:left="2274" w:header="1701" w:footer="720" w:gutter="0"/>
          <w:pgNumType w:start="1"/>
          <w:cols w:space="720"/>
        </w:sectPr>
      </w:pPr>
      <w:r>
        <w:t>L.W.</w:t>
      </w:r>
      <w:r>
        <w:br/>
        <w:t>P.J.M.</w:t>
      </w:r>
    </w:p>
    <w:p w:rsidR="00C63CF3" w:rsidRDefault="006D6544">
      <w:pPr>
        <w:pStyle w:val="OpiHHead"/>
      </w:pPr>
      <w:r>
        <w:lastRenderedPageBreak/>
        <w:t xml:space="preserve">СЪВПАДАЩО </w:t>
      </w:r>
      <w:r w:rsidR="006C2238">
        <w:t xml:space="preserve">МНЕНИЕ НА СЪДИЯ </w:t>
      </w:r>
      <w:r w:rsidRPr="006D6544">
        <w:rPr>
          <w:sz w:val="24"/>
          <w:lang w:val="en-GB" w:eastAsia="fr-FR" w:bidi="ar-SA"/>
        </w:rPr>
        <w:t xml:space="preserve"> </w:t>
      </w:r>
      <w:r w:rsidRPr="006D6544">
        <w:rPr>
          <w:lang w:val="en-GB"/>
        </w:rPr>
        <w:t>RESS</w:t>
      </w:r>
      <w:r w:rsidR="006C2238">
        <w:t xml:space="preserve">, КЪМ КОЕТО СЕ ПРИСЪЕДИНЯВА СЪДИЯ </w:t>
      </w:r>
      <w:r w:rsidRPr="006D6544">
        <w:rPr>
          <w:lang w:val="en-GB"/>
        </w:rPr>
        <w:t>ROZAKIS</w:t>
      </w:r>
    </w:p>
    <w:p w:rsidR="00C63CF3" w:rsidRDefault="006C2238">
      <w:pPr>
        <w:pStyle w:val="OpiPara"/>
      </w:pPr>
      <w:r>
        <w:t>Единствен</w:t>
      </w:r>
      <w:r w:rsidR="006D6544">
        <w:t>ият</w:t>
      </w:r>
      <w:r>
        <w:t xml:space="preserve"> </w:t>
      </w:r>
      <w:r w:rsidR="006D6544">
        <w:t>въпрос</w:t>
      </w:r>
      <w:r>
        <w:t>, по ко</w:t>
      </w:r>
      <w:r w:rsidR="006D6544">
        <w:t>й</w:t>
      </w:r>
      <w:r>
        <w:t xml:space="preserve">то бих желал да направя пояснения във връзка с обосновката на решението, </w:t>
      </w:r>
      <w:r w:rsidR="006D6544">
        <w:t xml:space="preserve">така </w:t>
      </w:r>
      <w:r>
        <w:t xml:space="preserve">както </w:t>
      </w:r>
      <w:r w:rsidR="006D6544">
        <w:t>го тълкувам аз</w:t>
      </w:r>
      <w:r>
        <w:t xml:space="preserve">, се отнася до параграфи 97 и 98, в които Съдът </w:t>
      </w:r>
      <w:r w:rsidR="006D6544">
        <w:t xml:space="preserve">посочва </w:t>
      </w:r>
      <w:r>
        <w:t>границите, в които политическите движения могат да продължат да се позовават на закрила</w:t>
      </w:r>
      <w:r w:rsidR="00E21D8C">
        <w:t>та</w:t>
      </w:r>
      <w:r>
        <w:t xml:space="preserve"> </w:t>
      </w:r>
      <w:r w:rsidR="00E21D8C">
        <w:t>на</w:t>
      </w:r>
      <w:r>
        <w:t xml:space="preserve"> Конвенцията при извършване на дейностите си. В параграф 97 от решението Съдът се позовава на делото </w:t>
      </w:r>
      <w:r>
        <w:rPr>
          <w:i/>
        </w:rPr>
        <w:t>United Communist Party of Turkey and Others v. Turkey</w:t>
      </w:r>
      <w:r>
        <w:t xml:space="preserve"> (решение от 30 януари 1998 г., </w:t>
      </w:r>
      <w:r>
        <w:rPr>
          <w:i/>
        </w:rPr>
        <w:t>Доклади от съдебни постановления и решения</w:t>
      </w:r>
      <w:r>
        <w:t xml:space="preserve"> 1998-I, стр. 27, § 57), </w:t>
      </w:r>
      <w:r w:rsidR="00E21D8C">
        <w:t>в което</w:t>
      </w:r>
      <w:r>
        <w:t xml:space="preserve"> Съдът изтъква характеристиките на демокрацията и наличните възможности за решаване на вътрешнодържавни проблеми — дори когато те са от неособено приятно естество — чрез диалог и други методи на изразяване, без </w:t>
      </w:r>
      <w:r w:rsidR="00E21D8C">
        <w:t xml:space="preserve">да се </w:t>
      </w:r>
      <w:r>
        <w:t xml:space="preserve">прибягва до насилие. </w:t>
      </w:r>
      <w:r w:rsidR="00E21D8C">
        <w:t xml:space="preserve">След </w:t>
      </w:r>
      <w:r>
        <w:t>това, в параграф 98 от решението Съдът заявява, че дадена политическа партия има право да прави постъпки за промени в законодателството и</w:t>
      </w:r>
      <w:r w:rsidR="00F6050F">
        <w:t>ли</w:t>
      </w:r>
      <w:r>
        <w:t xml:space="preserve"> </w:t>
      </w:r>
      <w:r w:rsidR="00F6050F">
        <w:t xml:space="preserve">в правното и </w:t>
      </w:r>
      <w:r>
        <w:t>конституционн</w:t>
      </w:r>
      <w:r w:rsidR="00F6050F">
        <w:t>ото</w:t>
      </w:r>
      <w:r>
        <w:t xml:space="preserve"> </w:t>
      </w:r>
      <w:r w:rsidR="00F6050F">
        <w:t>устройство</w:t>
      </w:r>
      <w:r>
        <w:t xml:space="preserve"> на държавата при две условия: първо, </w:t>
      </w:r>
      <w:r w:rsidR="00F6050F">
        <w:t xml:space="preserve">използваните за целта </w:t>
      </w:r>
      <w:r>
        <w:t xml:space="preserve">начини трябва да бъдат законни и демократични и второ, предлаганата промяна трябва сама по себе си да отговаря на основните демократични принципи. </w:t>
      </w:r>
    </w:p>
    <w:p w:rsidR="00C63CF3" w:rsidRDefault="006C2238" w:rsidP="005C2DB2">
      <w:pPr>
        <w:pStyle w:val="OpiPara"/>
      </w:pPr>
      <w:r>
        <w:t xml:space="preserve">Тъй като настоящото дело се отнася до разпускането на политическа партия заради дейностите и дългосрочните </w:t>
      </w:r>
      <w:r w:rsidR="00F6050F">
        <w:t>ѝ</w:t>
      </w:r>
      <w:r>
        <w:t xml:space="preserve"> политически цели, трябва да се внимава с </w:t>
      </w:r>
      <w:r w:rsidR="00C025C8">
        <w:t>прекалените обобщения</w:t>
      </w:r>
      <w:r>
        <w:t xml:space="preserve">. Тези два параграфа не бива да се разглеждат в смисъл, че закрилата </w:t>
      </w:r>
      <w:r w:rsidR="00C025C8">
        <w:t>на</w:t>
      </w:r>
      <w:r>
        <w:t xml:space="preserve"> Конвенцията се </w:t>
      </w:r>
      <w:r w:rsidR="00C025C8">
        <w:t xml:space="preserve">ограничава </w:t>
      </w:r>
      <w:r>
        <w:t>до ситуации, в които политическ</w:t>
      </w:r>
      <w:r w:rsidR="00C025C8">
        <w:t>а</w:t>
      </w:r>
      <w:r>
        <w:t>т</w:t>
      </w:r>
      <w:r w:rsidR="00C025C8">
        <w:t>а</w:t>
      </w:r>
      <w:r>
        <w:t xml:space="preserve"> парти</w:t>
      </w:r>
      <w:r w:rsidR="00C025C8">
        <w:t>я</w:t>
      </w:r>
      <w:r>
        <w:t xml:space="preserve"> </w:t>
      </w:r>
      <w:r w:rsidR="00C025C8">
        <w:t xml:space="preserve">е </w:t>
      </w:r>
      <w:r>
        <w:t>действа</w:t>
      </w:r>
      <w:r w:rsidR="00C025C8">
        <w:t>ла</w:t>
      </w:r>
      <w:r>
        <w:t xml:space="preserve"> </w:t>
      </w:r>
      <w:r w:rsidR="007B551C">
        <w:t>на</w:t>
      </w:r>
      <w:r>
        <w:t>пълно закон</w:t>
      </w:r>
      <w:r w:rsidR="007B551C">
        <w:t>осъобразно във всяко отношение</w:t>
      </w:r>
      <w:r>
        <w:t xml:space="preserve">. </w:t>
      </w:r>
      <w:r w:rsidR="007B551C">
        <w:t xml:space="preserve">Има и </w:t>
      </w:r>
      <w:r>
        <w:t xml:space="preserve">междинни </w:t>
      </w:r>
      <w:r w:rsidR="007B551C">
        <w:t>положения</w:t>
      </w:r>
      <w:r>
        <w:t xml:space="preserve">. </w:t>
      </w:r>
      <w:r w:rsidR="003A28B4">
        <w:t xml:space="preserve">Позоваването </w:t>
      </w:r>
      <w:r>
        <w:t xml:space="preserve">на законността на средствата, според мен, не може да се тълкува </w:t>
      </w:r>
      <w:r w:rsidR="003A28B4">
        <w:t>в</w:t>
      </w:r>
      <w:r>
        <w:t xml:space="preserve"> смисъл, че дадена политическа партия, която по един или друг повод не действа в пълно съответствие с вътрешното законодателство, губи своите възможности да </w:t>
      </w:r>
      <w:r w:rsidR="00B470F4">
        <w:t xml:space="preserve">претендира </w:t>
      </w:r>
      <w:r>
        <w:t xml:space="preserve">закрила от Конвенцията срещу наложени наказания и конкретно срещу разпускането </w:t>
      </w:r>
      <w:r w:rsidR="00B470F4">
        <w:t>ѝ</w:t>
      </w:r>
      <w:r>
        <w:t xml:space="preserve">. Не всички незначителни нарушения на закона, които възникват в хода на политическите събрания или поведението на един или друг член на партията, или противозаконни ситуации във връзка с вътрешния </w:t>
      </w:r>
      <w:r w:rsidR="00B470F4">
        <w:t>ѝ</w:t>
      </w:r>
      <w:r>
        <w:t xml:space="preserve"> ред, могат да се разглеждат като основателна причина за подобна мярка. Формулировката в параграф 98 от решението не следва според мен да се разбира като изключваща </w:t>
      </w:r>
      <w:r w:rsidR="002C3941">
        <w:t xml:space="preserve">при </w:t>
      </w:r>
      <w:r w:rsidR="002450F9">
        <w:t>незначителна</w:t>
      </w:r>
      <w:r w:rsidR="002C3941">
        <w:t xml:space="preserve"> незаконосъобразност </w:t>
      </w:r>
      <w:r>
        <w:t xml:space="preserve">прилагането на принципа на пропорционалност във връзка със санкции като например разпускането на политическа партия. Във връзка с възможното разпускане на партията, </w:t>
      </w:r>
      <w:r w:rsidR="002450F9">
        <w:t>след</w:t>
      </w:r>
      <w:r w:rsidR="003807D6">
        <w:t>ващ</w:t>
      </w:r>
      <w:r w:rsidR="002450F9">
        <w:t xml:space="preserve">ото изречение </w:t>
      </w:r>
      <w:r>
        <w:t xml:space="preserve">по отношение на ситуация, </w:t>
      </w:r>
      <w:r w:rsidR="003807D6">
        <w:t>при</w:t>
      </w:r>
      <w:r>
        <w:t xml:space="preserve"> която ръководители</w:t>
      </w:r>
      <w:r w:rsidR="003807D6">
        <w:t>те</w:t>
      </w:r>
      <w:r>
        <w:t xml:space="preserve"> на партията подтикват към насилие или прокарват политическа програма, която не зачита основните норми на демокрацията или която дори има за цел </w:t>
      </w:r>
      <w:r>
        <w:lastRenderedPageBreak/>
        <w:t xml:space="preserve">разрушаването </w:t>
      </w:r>
      <w:r w:rsidR="003807D6">
        <w:t>ѝ</w:t>
      </w:r>
      <w:r>
        <w:t xml:space="preserve"> и премахване на правата и свободите, признати от демокрацията, е по-надежден вариант. Но дори тогава трябва да се прояви разум и да не прекрачват границите, установени в други решения и постановления на Съда. Трудно е да се представи изчерпателен списък </w:t>
      </w:r>
      <w:r w:rsidR="00E90E51">
        <w:t>на</w:t>
      </w:r>
      <w:r>
        <w:t xml:space="preserve"> </w:t>
      </w:r>
      <w:r w:rsidR="00E90E51">
        <w:t>демократичните норми</w:t>
      </w:r>
      <w:r>
        <w:t xml:space="preserve">, </w:t>
      </w:r>
      <w:r w:rsidR="00E90E51">
        <w:t>които не попадат в</w:t>
      </w:r>
      <w:r>
        <w:t xml:space="preserve"> основните</w:t>
      </w:r>
      <w:r w:rsidR="00E90E51">
        <w:t xml:space="preserve"> категории</w:t>
      </w:r>
      <w:r>
        <w:t xml:space="preserve">. Без съмнение е правилно да се твърди, че </w:t>
      </w:r>
      <w:r w:rsidR="00E90E51">
        <w:t xml:space="preserve">партии, които има за </w:t>
      </w:r>
      <w:r>
        <w:t>цел разрушаване на демокрацията не може да се ползва</w:t>
      </w:r>
      <w:r w:rsidR="004C1809">
        <w:t>т</w:t>
      </w:r>
      <w:r>
        <w:t xml:space="preserve"> от закрила дори срещу крайни мерки като</w:t>
      </w:r>
      <w:r w:rsidR="004C1809">
        <w:t xml:space="preserve"> </w:t>
      </w:r>
      <w:r>
        <w:t>разпускане. Но това дали незачитането на определени норми на демокрацията оправдава разпускането или дали по-лека мярка е единствен</w:t>
      </w:r>
      <w:r w:rsidR="004C1809">
        <w:t>о</w:t>
      </w:r>
      <w:r>
        <w:t>т</w:t>
      </w:r>
      <w:r w:rsidR="004C1809">
        <w:t>о</w:t>
      </w:r>
      <w:r>
        <w:t xml:space="preserve"> подходящ</w:t>
      </w:r>
      <w:r w:rsidR="004C1809">
        <w:t>о</w:t>
      </w:r>
      <w:r>
        <w:t xml:space="preserve"> и адекватн</w:t>
      </w:r>
      <w:r w:rsidR="004C1809">
        <w:t>о решение</w:t>
      </w:r>
      <w:r>
        <w:t xml:space="preserve"> отново е въпрос, който следва да се разглежда в</w:t>
      </w:r>
      <w:r w:rsidR="004C1809">
        <w:t>ъв</w:t>
      </w:r>
      <w:r>
        <w:t xml:space="preserve"> </w:t>
      </w:r>
      <w:r w:rsidR="004C1809">
        <w:t>връзка</w:t>
      </w:r>
      <w:r>
        <w:t xml:space="preserve"> с принципа на пропорционалността. Освен това последната част</w:t>
      </w:r>
      <w:r w:rsidR="00C14612">
        <w:t>,</w:t>
      </w:r>
      <w:r>
        <w:t xml:space="preserve"> </w:t>
      </w:r>
      <w:r w:rsidR="00C14612">
        <w:t xml:space="preserve">която касае </w:t>
      </w:r>
      <w:r>
        <w:t>премахването на правата и свободите, признати от демокрацията, трябва да се разглежда в контекста на най-</w:t>
      </w:r>
      <w:r w:rsidR="00C14612">
        <w:t xml:space="preserve">базисните </w:t>
      </w:r>
      <w:r>
        <w:t>права и свободи. По мое мнение това не може да се тълкува в смисъл</w:t>
      </w:r>
      <w:r w:rsidR="00E36A50">
        <w:t>,</w:t>
      </w:r>
      <w:r>
        <w:t xml:space="preserve"> че постъпки</w:t>
      </w:r>
      <w:r w:rsidR="00E36A50">
        <w:t>те</w:t>
      </w:r>
      <w:r>
        <w:t xml:space="preserve"> за промяна на правата и свободите, признати от демокрацията, представляват ситуация, в която дадена политическа партия би </w:t>
      </w:r>
      <w:r w:rsidR="00E36A50">
        <w:t>изгубила</w:t>
      </w:r>
      <w:r>
        <w:t xml:space="preserve"> закрила. В тази връзка също така всичко зависи от конкретните права и свободи, които дадена политическа партия има за цел да промени</w:t>
      </w:r>
      <w:r w:rsidR="00E36A50">
        <w:t>,</w:t>
      </w:r>
      <w:r>
        <w:t xml:space="preserve"> и </w:t>
      </w:r>
      <w:r w:rsidR="00E36A50">
        <w:t>от това</w:t>
      </w:r>
      <w:r>
        <w:t xml:space="preserve"> какъв тип промяна или изменение са предвидени. Така че най-</w:t>
      </w:r>
      <w:r w:rsidR="00E36A50">
        <w:t xml:space="preserve">общите </w:t>
      </w:r>
      <w:r>
        <w:t xml:space="preserve">изречения от параграф 98 от решението се нуждаят от </w:t>
      </w:r>
      <w:r w:rsidR="00E36A50">
        <w:t xml:space="preserve">допълнителни </w:t>
      </w:r>
      <w:r>
        <w:t xml:space="preserve">пояснения и ограничения </w:t>
      </w:r>
      <w:r w:rsidR="00E36A50">
        <w:t>с оглед на</w:t>
      </w:r>
      <w:r>
        <w:t xml:space="preserve"> принципа на пропорционалност и </w:t>
      </w:r>
      <w:r w:rsidR="00DD4933">
        <w:t>с оглед на</w:t>
      </w:r>
      <w:r>
        <w:t xml:space="preserve"> решенията, които са цитирани в края на параграфа. </w:t>
      </w:r>
    </w:p>
    <w:p w:rsidR="00C63CF3" w:rsidRDefault="006C2238">
      <w:pPr>
        <w:pStyle w:val="OpiPara"/>
      </w:pPr>
      <w:r>
        <w:t xml:space="preserve">Нямам съмнения, че целите, зад които застава партията жалбоподател и изтъкнатите </w:t>
      </w:r>
      <w:r w:rsidR="00DD4933">
        <w:t>ѝ</w:t>
      </w:r>
      <w:r>
        <w:t xml:space="preserve"> ръководители</w:t>
      </w:r>
      <w:r w:rsidR="00DD4933">
        <w:t>,</w:t>
      </w:r>
      <w:r>
        <w:t xml:space="preserve"> и които те усилено отстояват, не отговарят на основните правила на демокрацията и оправдават разпускането. Единственото, което </w:t>
      </w:r>
      <w:r w:rsidR="00DD4933">
        <w:t>исках</w:t>
      </w:r>
      <w:r>
        <w:t xml:space="preserve"> да </w:t>
      </w:r>
      <w:r w:rsidR="00DD4933">
        <w:t>изтъкна</w:t>
      </w:r>
      <w:r>
        <w:t xml:space="preserve">, е че </w:t>
      </w:r>
      <w:r w:rsidR="00DD4933">
        <w:t xml:space="preserve">становището </w:t>
      </w:r>
      <w:r>
        <w:t>на Съда в параграф 98 от решението следва да се че</w:t>
      </w:r>
      <w:r w:rsidR="00DD4933">
        <w:t>те</w:t>
      </w:r>
      <w:r>
        <w:t xml:space="preserve"> </w:t>
      </w:r>
      <w:r w:rsidR="00DD4933">
        <w:t>в светлината на</w:t>
      </w:r>
      <w:r>
        <w:t xml:space="preserve"> другите цитирани решения и в рамките на тълкуването </w:t>
      </w:r>
      <w:r w:rsidR="00FC09C4">
        <w:t>в</w:t>
      </w:r>
      <w:r>
        <w:t xml:space="preserve"> тези решения, по-конкретно </w:t>
      </w:r>
      <w:r w:rsidR="00FC09C4">
        <w:t>в</w:t>
      </w:r>
      <w:r>
        <w:t xml:space="preserve"> </w:t>
      </w:r>
      <w:r>
        <w:rPr>
          <w:i/>
        </w:rPr>
        <w:t>United Communist Party of Turkey and Others</w:t>
      </w:r>
      <w:r>
        <w:t xml:space="preserve">, а не да се приемат като </w:t>
      </w:r>
      <w:r w:rsidR="006868AE">
        <w:rPr>
          <w:lang w:val="en-US"/>
        </w:rPr>
        <w:t>обща максима</w:t>
      </w:r>
      <w:r>
        <w:t>, както би могъл да се приеме текста.</w:t>
      </w:r>
    </w:p>
    <w:p w:rsidR="00C63CF3" w:rsidRDefault="00C63CF3">
      <w:pPr>
        <w:pStyle w:val="OpiPara"/>
        <w:sectPr w:rsidR="00C63CF3">
          <w:headerReference w:type="even" r:id="rId15"/>
          <w:headerReference w:type="default" r:id="rId16"/>
          <w:footnotePr>
            <w:numRestart w:val="eachPage"/>
          </w:footnotePr>
          <w:pgSz w:w="11906" w:h="16838" w:code="9"/>
          <w:pgMar w:top="2274" w:right="2274" w:bottom="2274" w:left="2274" w:header="1701" w:footer="720" w:gutter="0"/>
          <w:cols w:space="720"/>
        </w:sectPr>
      </w:pPr>
    </w:p>
    <w:p w:rsidR="00C63CF3" w:rsidRDefault="004D369D">
      <w:pPr>
        <w:pStyle w:val="OpiHHead"/>
      </w:pPr>
      <w:r>
        <w:rPr>
          <w:lang w:val="en-US"/>
        </w:rPr>
        <w:lastRenderedPageBreak/>
        <w:t>СЪВПАДАЩО</w:t>
      </w:r>
      <w:r>
        <w:t xml:space="preserve"> </w:t>
      </w:r>
      <w:r w:rsidR="006C2238">
        <w:t xml:space="preserve">МНЕНИЕ НА СЪДИЯ </w:t>
      </w:r>
      <w:r w:rsidRPr="004D369D">
        <w:rPr>
          <w:lang w:val="en-GB"/>
        </w:rPr>
        <w:t>KOVLER</w:t>
      </w:r>
    </w:p>
    <w:p w:rsidR="00C63CF3" w:rsidRDefault="006C2238">
      <w:pPr>
        <w:pStyle w:val="OpiTranslation"/>
        <w:rPr>
          <w:i/>
        </w:rPr>
      </w:pPr>
      <w:r>
        <w:rPr>
          <w:i/>
        </w:rPr>
        <w:t>(Превод)</w:t>
      </w:r>
    </w:p>
    <w:p w:rsidR="00C63CF3" w:rsidRDefault="006C2238">
      <w:pPr>
        <w:pStyle w:val="OpiPara"/>
      </w:pPr>
      <w:r>
        <w:t xml:space="preserve">Подкрепям по-голямата част от решението на Съда, че не </w:t>
      </w:r>
      <w:r w:rsidR="004D369D">
        <w:t>е</w:t>
      </w:r>
      <w:r>
        <w:t xml:space="preserve"> налице нарушени</w:t>
      </w:r>
      <w:r w:rsidR="004D369D">
        <w:t>е</w:t>
      </w:r>
      <w:r>
        <w:t xml:space="preserve"> на чл</w:t>
      </w:r>
      <w:r w:rsidR="004D369D">
        <w:t>.</w:t>
      </w:r>
      <w:r>
        <w:t xml:space="preserve"> 11 от Конвенцията в конкретния случай поради простата причина, че някои от дейностите и изявленията на жалбоподателите са в противоречие с принципа на светската държава, който е стълб на демокрацията в Турция, </w:t>
      </w:r>
      <w:r w:rsidR="004315C6">
        <w:t xml:space="preserve">създаден </w:t>
      </w:r>
      <w:r>
        <w:t xml:space="preserve">от Мустафа Кемал Ататюрк и заложен в Конституцията на Република Турция (конкретно членове 2 и 24 § 4), на което противоречие държавата, в качеството си на </w:t>
      </w:r>
      <w:r w:rsidR="004315C6">
        <w:t xml:space="preserve">гарант </w:t>
      </w:r>
      <w:r>
        <w:t>на конституционния ред, е задължена да реагира, предвид членове 9 § 2 и 11 § 2 от Конвенцията.</w:t>
      </w:r>
    </w:p>
    <w:p w:rsidR="00C63CF3" w:rsidRDefault="006C2238">
      <w:pPr>
        <w:pStyle w:val="OpiPara"/>
      </w:pPr>
      <w:r>
        <w:t>Това, което ме притеснява в някои от констатациите на Съда</w:t>
      </w:r>
      <w:r w:rsidR="0051076A">
        <w:t>,</w:t>
      </w:r>
      <w:r>
        <w:t xml:space="preserve"> са местата, в които те са непроменени, особено що се касае до изключително деликатните въпроси, породени от религията и нейните ценности. Бих предпочел международните съдилища да избягват термини, взети от политико-идеологическия дискурс</w:t>
      </w:r>
      <w:r w:rsidR="00240FC4">
        <w:t>,</w:t>
      </w:r>
      <w:r>
        <w:t xml:space="preserve"> като например „ислямски фундаментализъм“ (параграф 94 от решението), „тоталитарни движения“ (параграф 99 от решението), „заплаха за демократичния режим“ (параграф 107 от решението) и др., чи</w:t>
      </w:r>
      <w:r w:rsidR="00240FC4">
        <w:t>й</w:t>
      </w:r>
      <w:r>
        <w:t xml:space="preserve">то </w:t>
      </w:r>
      <w:r w:rsidR="00240FC4">
        <w:t>подтекст</w:t>
      </w:r>
      <w:r>
        <w:t>, в контекста на конкретния случай, мо</w:t>
      </w:r>
      <w:r w:rsidR="00240FC4">
        <w:t>же</w:t>
      </w:r>
      <w:r>
        <w:t xml:space="preserve"> да бъд</w:t>
      </w:r>
      <w:r w:rsidR="00240FC4">
        <w:t>е</w:t>
      </w:r>
      <w:r>
        <w:t xml:space="preserve"> </w:t>
      </w:r>
      <w:r w:rsidR="002664AE">
        <w:t>прекалено въздействащ</w:t>
      </w:r>
      <w:r>
        <w:t>.</w:t>
      </w:r>
    </w:p>
    <w:p w:rsidR="00C63CF3" w:rsidRDefault="006C2238">
      <w:pPr>
        <w:pStyle w:val="OpiPara"/>
      </w:pPr>
      <w:r>
        <w:t>Изказвам съжалени</w:t>
      </w:r>
      <w:r w:rsidR="002664AE">
        <w:t>е</w:t>
      </w:r>
      <w:r>
        <w:t xml:space="preserve"> също, че Съдът, при възпроизвеждане на заключенията на </w:t>
      </w:r>
      <w:r w:rsidR="002664AE">
        <w:t xml:space="preserve">състава </w:t>
      </w:r>
      <w:r>
        <w:t xml:space="preserve">(параграф 119 от решението), пропуска възможността да извърши по-подробен анализ на концепцията за многообразието от правни системи, която е свързана с тази </w:t>
      </w:r>
      <w:r w:rsidR="002664AE">
        <w:t>за</w:t>
      </w:r>
      <w:r>
        <w:t xml:space="preserve"> правния плурализъм и е добре установена в древните и съвременните правни теории и практики (вж. </w:t>
      </w:r>
      <w:r w:rsidR="00617B35">
        <w:t>по-</w:t>
      </w:r>
      <w:r>
        <w:t xml:space="preserve">конкретно работата на международните конгреси по обичайно право и правен плурализъм, организирани от Международния съюз </w:t>
      </w:r>
      <w:r w:rsidR="002C0096">
        <w:t>по</w:t>
      </w:r>
      <w:r>
        <w:t xml:space="preserve"> антропологи</w:t>
      </w:r>
      <w:r w:rsidR="002C0096">
        <w:t>я</w:t>
      </w:r>
      <w:r>
        <w:t xml:space="preserve"> и етнологи</w:t>
      </w:r>
      <w:r w:rsidR="002C0096">
        <w:t>я</w:t>
      </w:r>
      <w:r>
        <w:t xml:space="preserve">, както и J. Griffiths: </w:t>
      </w:r>
      <w:r w:rsidR="00AC2090" w:rsidRPr="00AC2090">
        <w:rPr>
          <w:lang w:val="en-GB"/>
        </w:rPr>
        <w:t xml:space="preserve">“What is legal pluralism?”, </w:t>
      </w:r>
      <w:r w:rsidR="00AC2090" w:rsidRPr="00AC2090">
        <w:rPr>
          <w:i/>
          <w:lang w:val="en-GB"/>
        </w:rPr>
        <w:t>Journal of Legal Pluralism and</w:t>
      </w:r>
      <w:r w:rsidR="00AC2090" w:rsidRPr="00AC2090">
        <w:rPr>
          <w:lang w:val="en-GB"/>
        </w:rPr>
        <w:t xml:space="preserve"> </w:t>
      </w:r>
      <w:r w:rsidR="00AC2090" w:rsidRPr="00AC2090">
        <w:rPr>
          <w:i/>
          <w:lang w:val="en-GB"/>
        </w:rPr>
        <w:t>Unofficial Law</w:t>
      </w:r>
      <w:r w:rsidR="00AC2090">
        <w:rPr>
          <w:i/>
        </w:rPr>
        <w:t>,</w:t>
      </w:r>
      <w:r>
        <w:t xml:space="preserve"> 1986, № 24)</w:t>
      </w:r>
      <w:r w:rsidR="00AC2090">
        <w:t>.</w:t>
      </w:r>
      <w:r>
        <w:t xml:space="preserve"> Не само правната антропология, но и съвременното конституционно право приема, че при определени условия членове на </w:t>
      </w:r>
      <w:r w:rsidR="00AC2090">
        <w:t xml:space="preserve">всякакви </w:t>
      </w:r>
      <w:r>
        <w:t xml:space="preserve">малцинства могат да притежават повече от един вид </w:t>
      </w:r>
      <w:r w:rsidR="00622D78">
        <w:t xml:space="preserve">личен </w:t>
      </w:r>
      <w:r>
        <w:t>статут (вж. например, P. Gannagé, “</w:t>
      </w:r>
      <w:r>
        <w:rPr>
          <w:i/>
        </w:rPr>
        <w:t>Le pluralisme des statuts personnels dans les Etats multicommunautaires – Droit libanais et droits proche-orientaux</w:t>
      </w:r>
      <w:r>
        <w:t xml:space="preserve">”, Брюксел, Editions Bruylant, 2001). Без съмнение този плурализъм, който засяга </w:t>
      </w:r>
      <w:r w:rsidR="00622D78">
        <w:t xml:space="preserve">предимно </w:t>
      </w:r>
      <w:r>
        <w:t xml:space="preserve">личния и семейния живот на личността, е ограничен от изискванията </w:t>
      </w:r>
      <w:r w:rsidR="00622D78">
        <w:t>на</w:t>
      </w:r>
      <w:r>
        <w:t xml:space="preserve"> общи</w:t>
      </w:r>
      <w:r w:rsidR="00622D78">
        <w:t>я</w:t>
      </w:r>
      <w:r>
        <w:t xml:space="preserve"> интерес. Разбира с</w:t>
      </w:r>
      <w:r w:rsidR="00A84B1A">
        <w:t>е</w:t>
      </w:r>
      <w:r>
        <w:t xml:space="preserve">, че е по-трудно на практика да се намери компромис между интересите на съответните общности и гражданското общество като цяло, отколкото </w:t>
      </w:r>
      <w:r w:rsidR="00A84B1A">
        <w:t xml:space="preserve">поначало </w:t>
      </w:r>
      <w:r>
        <w:t>да се отхвърли самата идея за такъв компромис</w:t>
      </w:r>
      <w:r w:rsidR="00A84B1A">
        <w:t>.</w:t>
      </w:r>
      <w:r w:rsidR="00622D78">
        <w:t xml:space="preserve"> </w:t>
      </w:r>
    </w:p>
    <w:p w:rsidR="00C63CF3" w:rsidRDefault="006C2238">
      <w:pPr>
        <w:pStyle w:val="OpiPara"/>
      </w:pPr>
      <w:r>
        <w:lastRenderedPageBreak/>
        <w:t xml:space="preserve">Този общ коментар </w:t>
      </w:r>
      <w:r w:rsidR="00A84B1A">
        <w:t>важи</w:t>
      </w:r>
      <w:r>
        <w:t xml:space="preserve"> също и при оценката, която следва да се </w:t>
      </w:r>
      <w:r w:rsidR="00A84B1A">
        <w:t xml:space="preserve">направи </w:t>
      </w:r>
      <w:r>
        <w:t>на шериата, правния</w:t>
      </w:r>
      <w:r w:rsidR="00A84B1A">
        <w:t>т</w:t>
      </w:r>
      <w:r>
        <w:t xml:space="preserve"> израз на религия, чиито традиции датират отпреди повече от хиляда години и която има своите постоянни отправни точки и своите </w:t>
      </w:r>
      <w:r w:rsidR="00A84B1A">
        <w:t>крайности</w:t>
      </w:r>
      <w:r>
        <w:t xml:space="preserve">, като всяка друга сложна система. Във всички случаи правният анализ не трябва да окарикатурява полигамията (форма на организация на семейството, която съществува в общества, различни от тези на ислямизираните народи), чрез свеждането </w:t>
      </w:r>
      <w:r w:rsidR="009E74A8">
        <w:t>ѝ</w:t>
      </w:r>
      <w:r>
        <w:t xml:space="preserve"> до ... </w:t>
      </w:r>
      <w:r w:rsidR="009E74A8">
        <w:t>„</w:t>
      </w:r>
      <w:r>
        <w:t xml:space="preserve">дискриминация въз основа на пола на </w:t>
      </w:r>
      <w:r w:rsidR="009E74A8">
        <w:t xml:space="preserve">засегнатите </w:t>
      </w:r>
      <w:r>
        <w:t>страни“ (параграф 128 от решението).</w:t>
      </w:r>
    </w:p>
    <w:p w:rsidR="00C63CF3" w:rsidRDefault="006C2238">
      <w:pPr>
        <w:pStyle w:val="OpiPara"/>
      </w:pPr>
      <w:r>
        <w:t xml:space="preserve">В заключение намирам използването на цифри от проучвания </w:t>
      </w:r>
      <w:r w:rsidR="009E74A8">
        <w:t xml:space="preserve">на общественото мнение </w:t>
      </w:r>
      <w:r>
        <w:t>(параграф 107 от решението), ко</w:t>
      </w:r>
      <w:r w:rsidR="009E74A8">
        <w:t>е</w:t>
      </w:r>
      <w:r>
        <w:t>то би бил</w:t>
      </w:r>
      <w:r w:rsidR="009E74A8">
        <w:t>о</w:t>
      </w:r>
      <w:r>
        <w:t xml:space="preserve"> нещо обичайно в политически анализ, за странно в прав</w:t>
      </w:r>
      <w:r w:rsidR="001B321E">
        <w:t>е</w:t>
      </w:r>
      <w:r>
        <w:t>н текст</w:t>
      </w:r>
      <w:r w:rsidR="001B321E">
        <w:t>, който</w:t>
      </w:r>
      <w:r>
        <w:t xml:space="preserve"> </w:t>
      </w:r>
      <w:r w:rsidR="001B321E">
        <w:t xml:space="preserve">представлява </w:t>
      </w:r>
      <w:r w:rsidR="001B321E" w:rsidRPr="001B321E">
        <w:rPr>
          <w:i/>
          <w:lang w:val="en-GB"/>
        </w:rPr>
        <w:t>res judicata</w:t>
      </w:r>
      <w:r>
        <w:t xml:space="preserve">. </w:t>
      </w:r>
    </w:p>
    <w:p w:rsidR="00C63CF3" w:rsidRDefault="00C63CF3">
      <w:pPr>
        <w:pStyle w:val="OpiPara"/>
        <w:spacing w:before="720"/>
        <w:jc w:val="right"/>
      </w:pPr>
    </w:p>
    <w:sectPr w:rsidR="00C63CF3">
      <w:headerReference w:type="even" r:id="rId17"/>
      <w:headerReference w:type="default" r:id="rId18"/>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4B" w:rsidRDefault="00AF2D4B">
      <w:r>
        <w:separator/>
      </w:r>
    </w:p>
  </w:endnote>
  <w:endnote w:type="continuationSeparator" w:id="0">
    <w:p w:rsidR="00AF2D4B" w:rsidRDefault="00AF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44" w:rsidRDefault="00914B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44" w:rsidRDefault="00914B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44" w:rsidRDefault="00914B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4B" w:rsidRDefault="00AF2D4B">
      <w:r>
        <w:separator/>
      </w:r>
    </w:p>
  </w:footnote>
  <w:footnote w:type="continuationSeparator" w:id="0">
    <w:p w:rsidR="00AF2D4B" w:rsidRDefault="00AF2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44" w:rsidRDefault="00914B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Default="00C025C8">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C025C8" w:rsidRDefault="00C025C8">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B44" w:rsidRDefault="00914B4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Default="00C025C8" w:rsidP="005C2DB2">
    <w:pPr>
      <w:pStyle w:val="JuHeader"/>
      <w:jc w:val="center"/>
    </w:pP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2</w:t>
    </w:r>
    <w:r>
      <w:rPr>
        <w:rStyle w:val="PageNumber"/>
      </w:rPr>
      <w:fldChar w:fldCharType="end"/>
    </w:r>
    <w:r w:rsidR="00C61DC1">
      <w:rPr>
        <w:rStyle w:val="PageNumber"/>
      </w:rPr>
      <w:t xml:space="preserve"> </w:t>
    </w:r>
    <w:r>
      <w:tab/>
      <w:t>РЕШЕНИЕ REFAH PARTİSİ (ПАРТИЯ НА БЛАГОДЕНСТВИЕТО) AND OTHERS срещу ТУРЦИЯ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Default="00C025C8" w:rsidP="005C2DB2">
    <w:pPr>
      <w:pStyle w:val="JuHeader"/>
      <w:jc w:val="center"/>
      <w:rPr>
        <w:rStyle w:val="PageNumber"/>
        <w:sz w:val="24"/>
      </w:rPr>
    </w:pPr>
    <w:r>
      <w:tab/>
    </w: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1</w:t>
    </w:r>
    <w:r>
      <w:rPr>
        <w:rStyle w:val="PageNumber"/>
      </w:rPr>
      <w:fldChar w:fldCharType="end"/>
    </w:r>
    <w:r w:rsidR="00C61DC1" w:rsidRPr="00C61DC1">
      <w:t xml:space="preserve"> </w:t>
    </w:r>
    <w:r w:rsidR="00C61DC1">
      <w:t>РЕШЕНИЕ REFAH PARTİSİ (ПАРТИЯ НА БЛАГОДЕНСТВИЕТО) AND OTHERS срещу ТУРЦИЯ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Pr="005C2DB2" w:rsidRDefault="00C025C8" w:rsidP="005C2DB2">
    <w:pPr>
      <w:pStyle w:val="JuHeader"/>
      <w:jc w:val="center"/>
      <w:rPr>
        <w:lang w:val="en-US"/>
      </w:rPr>
    </w:pP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50</w:t>
    </w:r>
    <w:r>
      <w:rPr>
        <w:rStyle w:val="PageNumber"/>
      </w:rPr>
      <w:fldChar w:fldCharType="end"/>
    </w:r>
    <w:r w:rsidR="008A4C30">
      <w:t xml:space="preserve"> </w:t>
    </w:r>
    <w:r>
      <w:t xml:space="preserve">РЕШЕНИЕ REFAH PARTİSİ AND OTHERS </w:t>
    </w:r>
    <w:r w:rsidR="000B28D6">
      <w:t>срещу</w:t>
    </w:r>
    <w:r>
      <w:t xml:space="preserve"> ТУРЦИЯ</w:t>
    </w:r>
    <w:r w:rsidR="008A4C30">
      <w:t xml:space="preserve"> – </w:t>
    </w:r>
    <w:r w:rsidR="007856FB">
      <w:t>СЪВПАД</w:t>
    </w:r>
    <w:r>
      <w:t xml:space="preserve">АЩО МНЕНИЕ НА СЪДИЯ </w:t>
    </w:r>
    <w:r w:rsidR="000B28D6">
      <w:rPr>
        <w:lang w:val="en-US"/>
      </w:rPr>
      <w:t>RESS</w:t>
    </w:r>
    <w:r>
      <w:t xml:space="preserve">, КЪМ КОЕТО СЕ ПРИСЪЕДИНЯВА СЪДИЯ </w:t>
    </w:r>
    <w:r w:rsidR="000B28D6">
      <w:rPr>
        <w:lang w:val="en-US"/>
      </w:rPr>
      <w:t>ROZAKIS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Pr="005C2DB2" w:rsidRDefault="00C025C8" w:rsidP="005C2DB2">
    <w:pPr>
      <w:pStyle w:val="JuHeader"/>
      <w:jc w:val="center"/>
      <w:rPr>
        <w:rStyle w:val="PageNumber"/>
        <w:lang w:val="en-US"/>
      </w:rPr>
    </w:pPr>
    <w:r>
      <w:tab/>
    </w: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51</w:t>
    </w:r>
    <w:r>
      <w:rPr>
        <w:rStyle w:val="PageNumber"/>
      </w:rPr>
      <w:fldChar w:fldCharType="end"/>
    </w:r>
    <w:r w:rsidR="008A4C30">
      <w:rPr>
        <w:rStyle w:val="PageNumber"/>
      </w:rPr>
      <w:t xml:space="preserve"> </w:t>
    </w:r>
    <w:r w:rsidR="008A4C30">
      <w:t xml:space="preserve">РЕШЕНИЕ REFAH PARTİSİ (ПАРТИЯ НА БЛАГОДЕНСТВИЕТО) AND OTHERS срещу ТУРЦИЯ – </w:t>
    </w:r>
    <w:r w:rsidR="004D369D">
      <w:rPr>
        <w:rStyle w:val="PageNumber"/>
      </w:rPr>
      <w:t>СЪВПАД</w:t>
    </w:r>
    <w:r>
      <w:rPr>
        <w:rStyle w:val="PageNumber"/>
      </w:rPr>
      <w:t xml:space="preserve">АЩО МНЕНИЕ НА СЪДИЯ </w:t>
    </w:r>
    <w:r w:rsidR="004D369D">
      <w:rPr>
        <w:rStyle w:val="PageNumber"/>
        <w:lang w:val="en-US"/>
      </w:rPr>
      <w:t>RESS</w:t>
    </w:r>
    <w:r>
      <w:rPr>
        <w:rStyle w:val="PageNumber"/>
      </w:rPr>
      <w:t xml:space="preserve">, КЪМ КОЕТО СЕ ПРИСЪЕДИНЯВА СЪДИЯ </w:t>
    </w:r>
    <w:r w:rsidR="004D369D">
      <w:rPr>
        <w:rStyle w:val="PageNumber"/>
        <w:lang w:val="en-US"/>
      </w:rPr>
      <w:t>ROZAKIS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Pr="005C2DB2" w:rsidRDefault="00C025C8" w:rsidP="005C2DB2">
    <w:pPr>
      <w:pStyle w:val="JuHeader"/>
      <w:jc w:val="center"/>
      <w:rPr>
        <w:lang w:val="en-US"/>
      </w:rPr>
    </w:pP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52</w:t>
    </w:r>
    <w:r>
      <w:rPr>
        <w:rStyle w:val="PageNumber"/>
      </w:rPr>
      <w:fldChar w:fldCharType="end"/>
    </w:r>
    <w:r>
      <w:tab/>
      <w:t xml:space="preserve">РЕШЕНИЕ REFAH PARTİSİ (ПАРТИЯ НА БЛАГОДЕНСТВИЕТО) AND OTHERS </w:t>
    </w:r>
    <w:r w:rsidR="004D369D">
      <w:t>срещу</w:t>
    </w:r>
    <w:r>
      <w:t xml:space="preserve"> ТУРЦИЯ</w:t>
    </w:r>
    <w:r w:rsidR="007856FB">
      <w:t xml:space="preserve"> – </w:t>
    </w:r>
    <w:r w:rsidR="007856FB">
      <w:rPr>
        <w:rStyle w:val="PageNumber"/>
      </w:rPr>
      <w:t xml:space="preserve">СЪВПАДАЩО МНЕНИЕ НА СЪДИЯ </w:t>
    </w:r>
    <w:r w:rsidR="007856FB">
      <w:rPr>
        <w:rStyle w:val="PageNumber"/>
        <w:lang w:val="en-US"/>
      </w:rPr>
      <w:t>KOVLER</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C8" w:rsidRDefault="00C025C8" w:rsidP="005C2DB2">
    <w:pPr>
      <w:pStyle w:val="JuHeader"/>
      <w:jc w:val="center"/>
      <w:rPr>
        <w:rStyle w:val="PageNumber"/>
        <w:sz w:val="24"/>
      </w:rPr>
    </w:pPr>
    <w:r>
      <w:tab/>
    </w:r>
    <w:r>
      <w:rPr>
        <w:rStyle w:val="PageNumber"/>
      </w:rPr>
      <w:fldChar w:fldCharType="begin"/>
    </w:r>
    <w:r>
      <w:rPr>
        <w:rStyle w:val="PageNumber"/>
      </w:rPr>
      <w:instrText xml:space="preserve"> PAGE </w:instrText>
    </w:r>
    <w:r>
      <w:rPr>
        <w:rStyle w:val="PageNumber"/>
      </w:rPr>
      <w:fldChar w:fldCharType="separate"/>
    </w:r>
    <w:r w:rsidR="00914B44">
      <w:rPr>
        <w:rStyle w:val="PageNumber"/>
        <w:noProof/>
      </w:rPr>
      <w:t>53</w:t>
    </w:r>
    <w:r>
      <w:rPr>
        <w:rStyle w:val="PageNumber"/>
      </w:rPr>
      <w:fldChar w:fldCharType="end"/>
    </w:r>
    <w:r w:rsidR="008A4C30">
      <w:rPr>
        <w:rStyle w:val="PageNumber"/>
      </w:rPr>
      <w:t xml:space="preserve"> </w:t>
    </w:r>
    <w:r w:rsidR="008A4C30">
      <w:t xml:space="preserve">РЕШЕНИЕ REFAH PARTİSİ (ПАРТИЯ НА БЛАГОДЕНСТВИЕТО) AND OTHERS СРЕЩУ ТУРЦИЯ — </w:t>
    </w:r>
    <w:r w:rsidR="007856FB">
      <w:rPr>
        <w:rStyle w:val="PageNumber"/>
        <w:lang w:val="en-US"/>
      </w:rPr>
      <w:t>СЪВП</w:t>
    </w:r>
    <w:r w:rsidR="007856FB">
      <w:rPr>
        <w:rStyle w:val="PageNumber"/>
      </w:rPr>
      <w:t>А</w:t>
    </w:r>
    <w:r w:rsidR="007856FB">
      <w:rPr>
        <w:rStyle w:val="PageNumber"/>
        <w:lang w:val="en-US"/>
      </w:rPr>
      <w:t>Д</w:t>
    </w:r>
    <w:r>
      <w:rPr>
        <w:rStyle w:val="PageNumber"/>
      </w:rPr>
      <w:t xml:space="preserve">АЩО МНЕНИЕ НА СЪДИЯ </w:t>
    </w:r>
    <w:r w:rsidR="007856FB">
      <w:rPr>
        <w:rStyle w:val="PageNumber"/>
        <w:lang w:val="en-US"/>
      </w:rPr>
      <w:t>KOVLER</w:t>
    </w:r>
    <w:r w:rsidR="007856FB" w:rsidDel="007856FB">
      <w:rPr>
        <w:rStyle w:val="PageNumbe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3"/>
    <w:rsid w:val="00001147"/>
    <w:rsid w:val="000064C1"/>
    <w:rsid w:val="00007B3D"/>
    <w:rsid w:val="00007E8F"/>
    <w:rsid w:val="00020FE8"/>
    <w:rsid w:val="00050F63"/>
    <w:rsid w:val="00056A49"/>
    <w:rsid w:val="00056B89"/>
    <w:rsid w:val="00067EE7"/>
    <w:rsid w:val="00076C0F"/>
    <w:rsid w:val="00084F1D"/>
    <w:rsid w:val="00086577"/>
    <w:rsid w:val="000A0FFF"/>
    <w:rsid w:val="000B28D6"/>
    <w:rsid w:val="000C5AED"/>
    <w:rsid w:val="000F0151"/>
    <w:rsid w:val="000F75A7"/>
    <w:rsid w:val="00103DC5"/>
    <w:rsid w:val="00113267"/>
    <w:rsid w:val="00122DCB"/>
    <w:rsid w:val="0013310D"/>
    <w:rsid w:val="00137348"/>
    <w:rsid w:val="00140A41"/>
    <w:rsid w:val="00144201"/>
    <w:rsid w:val="00155F5A"/>
    <w:rsid w:val="00157475"/>
    <w:rsid w:val="00162A32"/>
    <w:rsid w:val="001635BE"/>
    <w:rsid w:val="0017213A"/>
    <w:rsid w:val="00172778"/>
    <w:rsid w:val="00186728"/>
    <w:rsid w:val="001A3BB5"/>
    <w:rsid w:val="001A7AB9"/>
    <w:rsid w:val="001B1174"/>
    <w:rsid w:val="001B221F"/>
    <w:rsid w:val="001B321E"/>
    <w:rsid w:val="001B3736"/>
    <w:rsid w:val="001B4845"/>
    <w:rsid w:val="001C04CE"/>
    <w:rsid w:val="001C6728"/>
    <w:rsid w:val="001D3148"/>
    <w:rsid w:val="001D7695"/>
    <w:rsid w:val="001F2969"/>
    <w:rsid w:val="002108A2"/>
    <w:rsid w:val="00210F3D"/>
    <w:rsid w:val="00216E17"/>
    <w:rsid w:val="002171CA"/>
    <w:rsid w:val="00224F05"/>
    <w:rsid w:val="00227CAC"/>
    <w:rsid w:val="0023078A"/>
    <w:rsid w:val="0023424E"/>
    <w:rsid w:val="0023547A"/>
    <w:rsid w:val="00240FC4"/>
    <w:rsid w:val="002450F9"/>
    <w:rsid w:val="0025509F"/>
    <w:rsid w:val="002614F4"/>
    <w:rsid w:val="00263034"/>
    <w:rsid w:val="002644C4"/>
    <w:rsid w:val="002664AE"/>
    <w:rsid w:val="00271E90"/>
    <w:rsid w:val="00275D2F"/>
    <w:rsid w:val="00277C18"/>
    <w:rsid w:val="00277F63"/>
    <w:rsid w:val="00285412"/>
    <w:rsid w:val="00290066"/>
    <w:rsid w:val="0029086E"/>
    <w:rsid w:val="002A12AF"/>
    <w:rsid w:val="002A3F74"/>
    <w:rsid w:val="002A6299"/>
    <w:rsid w:val="002C0096"/>
    <w:rsid w:val="002C3941"/>
    <w:rsid w:val="002D346D"/>
    <w:rsid w:val="002E4821"/>
    <w:rsid w:val="002F3720"/>
    <w:rsid w:val="002F5FE6"/>
    <w:rsid w:val="00301295"/>
    <w:rsid w:val="00324780"/>
    <w:rsid w:val="00325628"/>
    <w:rsid w:val="00330361"/>
    <w:rsid w:val="00346026"/>
    <w:rsid w:val="00363A89"/>
    <w:rsid w:val="003807D6"/>
    <w:rsid w:val="0038548B"/>
    <w:rsid w:val="003A0457"/>
    <w:rsid w:val="003A28B4"/>
    <w:rsid w:val="003D4F81"/>
    <w:rsid w:val="003E3158"/>
    <w:rsid w:val="003E7DE3"/>
    <w:rsid w:val="003F15E9"/>
    <w:rsid w:val="0040176B"/>
    <w:rsid w:val="004315C6"/>
    <w:rsid w:val="00436873"/>
    <w:rsid w:val="004423C3"/>
    <w:rsid w:val="0044275E"/>
    <w:rsid w:val="004449ED"/>
    <w:rsid w:val="004475F1"/>
    <w:rsid w:val="004570F8"/>
    <w:rsid w:val="004659EB"/>
    <w:rsid w:val="0046794E"/>
    <w:rsid w:val="0047145A"/>
    <w:rsid w:val="0049713C"/>
    <w:rsid w:val="00497B73"/>
    <w:rsid w:val="004B2EE1"/>
    <w:rsid w:val="004B76C2"/>
    <w:rsid w:val="004B7F22"/>
    <w:rsid w:val="004C1809"/>
    <w:rsid w:val="004C1B6B"/>
    <w:rsid w:val="004D369D"/>
    <w:rsid w:val="004D5A70"/>
    <w:rsid w:val="004E329F"/>
    <w:rsid w:val="004E3D6A"/>
    <w:rsid w:val="004F45D9"/>
    <w:rsid w:val="00501DF0"/>
    <w:rsid w:val="0051076A"/>
    <w:rsid w:val="00520F5D"/>
    <w:rsid w:val="005445F3"/>
    <w:rsid w:val="00561A02"/>
    <w:rsid w:val="0056491A"/>
    <w:rsid w:val="00574CCC"/>
    <w:rsid w:val="0057555D"/>
    <w:rsid w:val="00583EA3"/>
    <w:rsid w:val="00591419"/>
    <w:rsid w:val="005A1E3B"/>
    <w:rsid w:val="005B1B89"/>
    <w:rsid w:val="005B5451"/>
    <w:rsid w:val="005B64A5"/>
    <w:rsid w:val="005B662B"/>
    <w:rsid w:val="005C2DB2"/>
    <w:rsid w:val="005C35CD"/>
    <w:rsid w:val="005D4E84"/>
    <w:rsid w:val="005E11A4"/>
    <w:rsid w:val="005E636D"/>
    <w:rsid w:val="005F0A67"/>
    <w:rsid w:val="00602363"/>
    <w:rsid w:val="00617B35"/>
    <w:rsid w:val="00621CA4"/>
    <w:rsid w:val="00622D78"/>
    <w:rsid w:val="00633E82"/>
    <w:rsid w:val="00660533"/>
    <w:rsid w:val="00666C5D"/>
    <w:rsid w:val="0068495B"/>
    <w:rsid w:val="00686459"/>
    <w:rsid w:val="006868AE"/>
    <w:rsid w:val="0069483C"/>
    <w:rsid w:val="006A3417"/>
    <w:rsid w:val="006A465F"/>
    <w:rsid w:val="006C0DE9"/>
    <w:rsid w:val="006C2238"/>
    <w:rsid w:val="006C5D26"/>
    <w:rsid w:val="006C6A50"/>
    <w:rsid w:val="006C7A51"/>
    <w:rsid w:val="006D6544"/>
    <w:rsid w:val="006E241C"/>
    <w:rsid w:val="006E3B6E"/>
    <w:rsid w:val="006F4781"/>
    <w:rsid w:val="006F50E9"/>
    <w:rsid w:val="00706FA7"/>
    <w:rsid w:val="00722826"/>
    <w:rsid w:val="00723730"/>
    <w:rsid w:val="00723D95"/>
    <w:rsid w:val="00742FE8"/>
    <w:rsid w:val="007445A4"/>
    <w:rsid w:val="00745DF2"/>
    <w:rsid w:val="007476BB"/>
    <w:rsid w:val="00747738"/>
    <w:rsid w:val="007560EC"/>
    <w:rsid w:val="00760C59"/>
    <w:rsid w:val="007856FB"/>
    <w:rsid w:val="007943D1"/>
    <w:rsid w:val="007B016E"/>
    <w:rsid w:val="007B551C"/>
    <w:rsid w:val="007C3290"/>
    <w:rsid w:val="007C64BC"/>
    <w:rsid w:val="007D2D9C"/>
    <w:rsid w:val="007D42D3"/>
    <w:rsid w:val="007F2D68"/>
    <w:rsid w:val="007F774E"/>
    <w:rsid w:val="00803B44"/>
    <w:rsid w:val="00804E44"/>
    <w:rsid w:val="0081230E"/>
    <w:rsid w:val="008134F8"/>
    <w:rsid w:val="00821255"/>
    <w:rsid w:val="00832593"/>
    <w:rsid w:val="00833E34"/>
    <w:rsid w:val="00837BD4"/>
    <w:rsid w:val="008464D1"/>
    <w:rsid w:val="00867056"/>
    <w:rsid w:val="00871568"/>
    <w:rsid w:val="00874A82"/>
    <w:rsid w:val="008772CF"/>
    <w:rsid w:val="008865C1"/>
    <w:rsid w:val="00893AFF"/>
    <w:rsid w:val="0089582A"/>
    <w:rsid w:val="008A0D80"/>
    <w:rsid w:val="008A4C30"/>
    <w:rsid w:val="008A6B12"/>
    <w:rsid w:val="008B311B"/>
    <w:rsid w:val="008C0E99"/>
    <w:rsid w:val="008E34FE"/>
    <w:rsid w:val="008E3ABB"/>
    <w:rsid w:val="00903334"/>
    <w:rsid w:val="00914B44"/>
    <w:rsid w:val="00923127"/>
    <w:rsid w:val="0092713C"/>
    <w:rsid w:val="00936794"/>
    <w:rsid w:val="00945705"/>
    <w:rsid w:val="0094573A"/>
    <w:rsid w:val="009506FB"/>
    <w:rsid w:val="00960C2F"/>
    <w:rsid w:val="009A6684"/>
    <w:rsid w:val="009A6819"/>
    <w:rsid w:val="009B0945"/>
    <w:rsid w:val="009B1F6C"/>
    <w:rsid w:val="009C393E"/>
    <w:rsid w:val="009C6E35"/>
    <w:rsid w:val="009D091A"/>
    <w:rsid w:val="009E2A1F"/>
    <w:rsid w:val="009E74A8"/>
    <w:rsid w:val="009F6FD5"/>
    <w:rsid w:val="00A064B9"/>
    <w:rsid w:val="00A1055C"/>
    <w:rsid w:val="00A12323"/>
    <w:rsid w:val="00A1487F"/>
    <w:rsid w:val="00A17F57"/>
    <w:rsid w:val="00A214F2"/>
    <w:rsid w:val="00A21C58"/>
    <w:rsid w:val="00A2316A"/>
    <w:rsid w:val="00A27626"/>
    <w:rsid w:val="00A35BDF"/>
    <w:rsid w:val="00A52FA4"/>
    <w:rsid w:val="00A55BFD"/>
    <w:rsid w:val="00A56619"/>
    <w:rsid w:val="00A601E5"/>
    <w:rsid w:val="00A71E8F"/>
    <w:rsid w:val="00A76733"/>
    <w:rsid w:val="00A84B1A"/>
    <w:rsid w:val="00A9698B"/>
    <w:rsid w:val="00AB0769"/>
    <w:rsid w:val="00AB1A79"/>
    <w:rsid w:val="00AC2090"/>
    <w:rsid w:val="00AC66AB"/>
    <w:rsid w:val="00AC6A1D"/>
    <w:rsid w:val="00AD3C44"/>
    <w:rsid w:val="00AE5CAF"/>
    <w:rsid w:val="00AE697B"/>
    <w:rsid w:val="00AF2D4B"/>
    <w:rsid w:val="00AF410F"/>
    <w:rsid w:val="00AF5E47"/>
    <w:rsid w:val="00B12559"/>
    <w:rsid w:val="00B211A0"/>
    <w:rsid w:val="00B23E4C"/>
    <w:rsid w:val="00B276BB"/>
    <w:rsid w:val="00B3327D"/>
    <w:rsid w:val="00B42305"/>
    <w:rsid w:val="00B449A4"/>
    <w:rsid w:val="00B470F4"/>
    <w:rsid w:val="00B508A8"/>
    <w:rsid w:val="00B52887"/>
    <w:rsid w:val="00B57088"/>
    <w:rsid w:val="00B7742F"/>
    <w:rsid w:val="00B83693"/>
    <w:rsid w:val="00BA39B6"/>
    <w:rsid w:val="00BB1246"/>
    <w:rsid w:val="00BC43EC"/>
    <w:rsid w:val="00BD0237"/>
    <w:rsid w:val="00BE0E2C"/>
    <w:rsid w:val="00BF7AFB"/>
    <w:rsid w:val="00C02499"/>
    <w:rsid w:val="00C025C8"/>
    <w:rsid w:val="00C044F7"/>
    <w:rsid w:val="00C14612"/>
    <w:rsid w:val="00C178AA"/>
    <w:rsid w:val="00C25525"/>
    <w:rsid w:val="00C33400"/>
    <w:rsid w:val="00C422F3"/>
    <w:rsid w:val="00C61CC6"/>
    <w:rsid w:val="00C61DC1"/>
    <w:rsid w:val="00C63B38"/>
    <w:rsid w:val="00C63CF3"/>
    <w:rsid w:val="00C65FDF"/>
    <w:rsid w:val="00C670B5"/>
    <w:rsid w:val="00C72871"/>
    <w:rsid w:val="00C737C6"/>
    <w:rsid w:val="00C81533"/>
    <w:rsid w:val="00C9195D"/>
    <w:rsid w:val="00C9485A"/>
    <w:rsid w:val="00CB0D96"/>
    <w:rsid w:val="00CB1DF3"/>
    <w:rsid w:val="00CC0C68"/>
    <w:rsid w:val="00CC2EE3"/>
    <w:rsid w:val="00CC3F63"/>
    <w:rsid w:val="00CC4A0B"/>
    <w:rsid w:val="00CC7F59"/>
    <w:rsid w:val="00CE35D5"/>
    <w:rsid w:val="00CE50B7"/>
    <w:rsid w:val="00CF0667"/>
    <w:rsid w:val="00CF396C"/>
    <w:rsid w:val="00D149DB"/>
    <w:rsid w:val="00D22C2C"/>
    <w:rsid w:val="00D37460"/>
    <w:rsid w:val="00D51613"/>
    <w:rsid w:val="00D65703"/>
    <w:rsid w:val="00D666B3"/>
    <w:rsid w:val="00D7431C"/>
    <w:rsid w:val="00D756A7"/>
    <w:rsid w:val="00D76380"/>
    <w:rsid w:val="00D77636"/>
    <w:rsid w:val="00D82713"/>
    <w:rsid w:val="00D95721"/>
    <w:rsid w:val="00DA6040"/>
    <w:rsid w:val="00DD4933"/>
    <w:rsid w:val="00DE2A36"/>
    <w:rsid w:val="00DE6D7F"/>
    <w:rsid w:val="00DF1A61"/>
    <w:rsid w:val="00DF3FA8"/>
    <w:rsid w:val="00E02EE3"/>
    <w:rsid w:val="00E0577E"/>
    <w:rsid w:val="00E05ACB"/>
    <w:rsid w:val="00E14D9E"/>
    <w:rsid w:val="00E21D8C"/>
    <w:rsid w:val="00E261FF"/>
    <w:rsid w:val="00E3401F"/>
    <w:rsid w:val="00E34653"/>
    <w:rsid w:val="00E3678A"/>
    <w:rsid w:val="00E36A50"/>
    <w:rsid w:val="00E41F75"/>
    <w:rsid w:val="00E51886"/>
    <w:rsid w:val="00E53174"/>
    <w:rsid w:val="00E73144"/>
    <w:rsid w:val="00E75F50"/>
    <w:rsid w:val="00E80847"/>
    <w:rsid w:val="00E848BC"/>
    <w:rsid w:val="00E90E51"/>
    <w:rsid w:val="00E91D83"/>
    <w:rsid w:val="00EA0A27"/>
    <w:rsid w:val="00EA0E12"/>
    <w:rsid w:val="00EB52F4"/>
    <w:rsid w:val="00EB62CA"/>
    <w:rsid w:val="00EC43B2"/>
    <w:rsid w:val="00EE0437"/>
    <w:rsid w:val="00EE059B"/>
    <w:rsid w:val="00EE104A"/>
    <w:rsid w:val="00EF1583"/>
    <w:rsid w:val="00EF661C"/>
    <w:rsid w:val="00F018AA"/>
    <w:rsid w:val="00F24C82"/>
    <w:rsid w:val="00F32039"/>
    <w:rsid w:val="00F457FE"/>
    <w:rsid w:val="00F554CD"/>
    <w:rsid w:val="00F6050F"/>
    <w:rsid w:val="00F674D0"/>
    <w:rsid w:val="00F7502A"/>
    <w:rsid w:val="00F8263E"/>
    <w:rsid w:val="00F867A7"/>
    <w:rsid w:val="00F86CF3"/>
    <w:rsid w:val="00F96D64"/>
    <w:rsid w:val="00FA68CF"/>
    <w:rsid w:val="00FB52CE"/>
    <w:rsid w:val="00FC09C4"/>
    <w:rsid w:val="00FE3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semiHidden/>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link w:val="HeaderChar"/>
    <w:uiPriority w:val="99"/>
    <w:pPr>
      <w:tabs>
        <w:tab w:val="center" w:pos="3686"/>
        <w:tab w:val="right" w:pos="7371"/>
      </w:tabs>
    </w:pPr>
  </w:style>
  <w:style w:type="character" w:styleId="PageNumber">
    <w:name w:val="page number"/>
    <w:basedOn w:val="DefaultParagraphFont"/>
    <w:semiHidden/>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character" w:customStyle="1" w:styleId="HeaderChar">
    <w:name w:val="Header Char"/>
    <w:basedOn w:val="DefaultParagraphFont"/>
    <w:link w:val="Header"/>
    <w:uiPriority w:val="99"/>
    <w:rsid w:val="00C61D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20108</Words>
  <Characters>114617</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2016-05-27T08:44:00Z</dcterms:created>
  <dcterms:modified xsi:type="dcterms:W3CDTF">2016-05-27T08:44:00Z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