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9E" w:rsidRPr="00201787" w:rsidRDefault="007A5F9E">
      <w:pPr>
        <w:jc w:val="center"/>
        <w:rPr>
          <w:sz w:val="4"/>
          <w:szCs w:val="4"/>
          <w:lang w:val="en-US"/>
        </w:rPr>
      </w:pPr>
      <w:bookmarkStart w:id="0" w:name="_GoBack"/>
      <w:bookmarkEnd w:id="0"/>
    </w:p>
    <w:p w:rsidR="007A5F9E" w:rsidRDefault="00557C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ЕВРОПЕЙСКИ СЪД ПО ПРАВА НА ЧОВЕКА</w:t>
      </w:r>
    </w:p>
    <w:p w:rsidR="007A5F9E" w:rsidRDefault="007A5F9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sz w:val="28"/>
          <w:szCs w:val="28"/>
        </w:rPr>
      </w:pPr>
    </w:p>
    <w:p w:rsidR="007A5F9E" w:rsidRDefault="00557C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ТРЕТО ОТДЕЛЕНИЕ</w:t>
      </w:r>
    </w:p>
    <w:p w:rsidR="007A5F9E" w:rsidRDefault="007A5F9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sz w:val="28"/>
          <w:szCs w:val="28"/>
        </w:rPr>
      </w:pPr>
    </w:p>
    <w:p w:rsidR="007A5F9E" w:rsidRDefault="007A5F9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sz w:val="28"/>
          <w:szCs w:val="28"/>
        </w:rPr>
      </w:pPr>
    </w:p>
    <w:p w:rsidR="007A5F9E" w:rsidRDefault="00557C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7A5F9E" w:rsidRDefault="00557C6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Жалба № 53454/13</w:t>
      </w:r>
      <w:r>
        <w:rPr>
          <w:color w:val="000000"/>
        </w:rPr>
        <w:br/>
        <w:t>Иво Матов ИЛИЕВ</w:t>
      </w:r>
      <w:r>
        <w:rPr>
          <w:color w:val="000000"/>
        </w:rPr>
        <w:br/>
        <w:t>срещу България</w:t>
      </w:r>
    </w:p>
    <w:p w:rsidR="007A5F9E" w:rsidRDefault="00557C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color w:val="000000"/>
        </w:rPr>
      </w:pPr>
      <w:r>
        <w:rPr>
          <w:color w:val="000000"/>
        </w:rPr>
        <w:t>(вж. приложената таблица)</w:t>
      </w:r>
    </w:p>
    <w:p w:rsidR="007A5F9E" w:rsidRDefault="007A5F9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80"/>
        <w:jc w:val="center"/>
      </w:pPr>
    </w:p>
    <w:p w:rsidR="007A5F9E" w:rsidRDefault="007A5F9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80"/>
        <w:jc w:val="center"/>
      </w:pP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Европейският съд по правата на човека (Трето отделение), заседаващ като комитет на 9 март 2023 г., състоящ се от: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rPr>
          <w:color w:val="000000"/>
        </w:rPr>
      </w:pPr>
      <w:r>
        <w:rPr>
          <w:color w:val="000000"/>
        </w:rPr>
        <w:tab/>
        <w:t>Дариан Павли (</w:t>
      </w:r>
      <w:proofErr w:type="spellStart"/>
      <w:r>
        <w:rPr>
          <w:color w:val="000000"/>
        </w:rPr>
        <w:t>Darian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Pavli</w:t>
      </w:r>
      <w:proofErr w:type="spellEnd"/>
      <w:r>
        <w:rPr>
          <w:color w:val="000000"/>
        </w:rPr>
        <w:t xml:space="preserve">), </w:t>
      </w:r>
      <w:r>
        <w:rPr>
          <w:i/>
          <w:color w:val="000000"/>
        </w:rPr>
        <w:t>председател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color w:val="000000"/>
        </w:rPr>
        <w:tab/>
      </w:r>
      <w:proofErr w:type="spellStart"/>
      <w:r>
        <w:rPr>
          <w:color w:val="000000"/>
        </w:rPr>
        <w:t>Йоанис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Ктистакис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Ioannis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Ktistakis</w:t>
      </w:r>
      <w:proofErr w:type="spellEnd"/>
      <w:r>
        <w:rPr>
          <w:color w:val="000000"/>
        </w:rPr>
        <w:t>),</w:t>
      </w:r>
      <w:r>
        <w:rPr>
          <w:color w:val="000000"/>
        </w:rPr>
        <w:br/>
      </w:r>
      <w:r>
        <w:rPr>
          <w:color w:val="000000"/>
        </w:rPr>
        <w:tab/>
        <w:t xml:space="preserve">Андреас </w:t>
      </w:r>
      <w:proofErr w:type="spellStart"/>
      <w:r>
        <w:rPr>
          <w:color w:val="000000"/>
        </w:rPr>
        <w:t>Зюнд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Andreas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Zünd</w:t>
      </w:r>
      <w:proofErr w:type="spellEnd"/>
      <w:r>
        <w:rPr>
          <w:color w:val="000000"/>
        </w:rPr>
        <w:t xml:space="preserve">), </w:t>
      </w:r>
      <w:r>
        <w:rPr>
          <w:i/>
          <w:color w:val="000000"/>
        </w:rPr>
        <w:t>съдии</w:t>
      </w:r>
      <w:r>
        <w:rPr>
          <w:color w:val="000000"/>
        </w:rPr>
        <w:t>,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rPr>
          <w:color w:val="000000"/>
        </w:rPr>
      </w:pPr>
      <w:r>
        <w:rPr>
          <w:color w:val="000000"/>
        </w:rPr>
        <w:t xml:space="preserve">и Виктория </w:t>
      </w:r>
      <w:proofErr w:type="spellStart"/>
      <w:r>
        <w:rPr>
          <w:color w:val="000000"/>
        </w:rPr>
        <w:t>Марадудина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Viktoriya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Maradudina</w:t>
      </w:r>
      <w:proofErr w:type="spellEnd"/>
      <w:r>
        <w:rPr>
          <w:color w:val="000000"/>
        </w:rPr>
        <w:t xml:space="preserve">), </w:t>
      </w:r>
      <w:proofErr w:type="spellStart"/>
      <w:r>
        <w:rPr>
          <w:i/>
          <w:color w:val="000000"/>
        </w:rPr>
        <w:t>и.д</w:t>
      </w:r>
      <w:proofErr w:type="spellEnd"/>
      <w:r>
        <w:rPr>
          <w:i/>
          <w:color w:val="000000"/>
        </w:rPr>
        <w:t>. заместник-секретар,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Като взе предвид горепосочената жалба, подадена на 19 август 2013 г.,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Като взе предвид становищата, представени от Правителството</w:t>
      </w:r>
      <w:r>
        <w:t>-</w:t>
      </w:r>
      <w:r>
        <w:rPr>
          <w:color w:val="000000"/>
        </w:rPr>
        <w:t>ответник и от жалбоподателя,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След обсъждане постанови следното решение:</w:t>
      </w:r>
    </w:p>
    <w:p w:rsidR="007A5F9E" w:rsidRDefault="00557C6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240"/>
        <w:jc w:val="both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lastRenderedPageBreak/>
        <w:t>ФАКТИ И ПРОЦЕДУРА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Данните на жалбоподателя са посочени в приложената таблица.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Жалбоподателят е представляван от г-жа З. Горанова-Маркова, адвокат, практикуващ в Монтана.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Оплакванията на жалбоподателя по член 1 от Протокол № 1 относно отнемането на имущество, за което се твърди че е от престъпна дейност, са комуникирани на българското правителство („Правителството“).</w:t>
      </w:r>
    </w:p>
    <w:p w:rsidR="007A5F9E" w:rsidRDefault="00557C6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240"/>
        <w:jc w:val="both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ПРАВОТО</w:t>
      </w:r>
    </w:p>
    <w:p w:rsidR="007A5F9E" w:rsidRDefault="002017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240"/>
        <w:ind w:left="510" w:hanging="340"/>
        <w:jc w:val="both"/>
        <w:rPr>
          <w:b/>
          <w:color w:val="000000"/>
        </w:rPr>
      </w:pPr>
      <w:r>
        <w:rPr>
          <w:b/>
          <w:color w:val="000000"/>
        </w:rPr>
        <w:t>Оплакване</w:t>
      </w:r>
      <w:r w:rsidR="00557C63">
        <w:rPr>
          <w:b/>
          <w:color w:val="000000"/>
        </w:rPr>
        <w:t xml:space="preserve"> по член 1 от Протокол № 1 (отнемането на имущество, за което се твърди че е от престъпна дейност) 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 xml:space="preserve">Случаят е от вида, разгледан в делото </w:t>
      </w:r>
      <w:r>
        <w:rPr>
          <w:i/>
          <w:color w:val="000000"/>
        </w:rPr>
        <w:t xml:space="preserve">Тодоров и други срещу България </w:t>
      </w:r>
      <w:r>
        <w:rPr>
          <w:color w:val="000000"/>
        </w:rPr>
        <w:t>(№ 50705/11 и 6 други, 13 юли 2021 г.).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 xml:space="preserve">Във вътрешното производство са </w:t>
      </w:r>
      <w:r w:rsidR="00201787">
        <w:rPr>
          <w:color w:val="000000"/>
        </w:rPr>
        <w:t>отнети</w:t>
      </w:r>
      <w:r>
        <w:rPr>
          <w:color w:val="000000"/>
        </w:rPr>
        <w:t xml:space="preserve"> различни активи на жалбоподателя. Подробности относно тези активи, както и мотивите на националните съдилища, се съдържат в приложената таблица.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Като се позовава на неизпълнението на заповедта за отнемане от страна на съответните органи, което също е описано в таблицата, Правителството твърди, че на практика жалбоподателят не е претърпял никакви отрицателни последици от заповедите за отнемане.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 xml:space="preserve">От своя страна, жалбоподателят посочва, че къщата му е била обявена за публична продан, след като той не е </w:t>
      </w:r>
      <w:r w:rsidR="00201787">
        <w:rPr>
          <w:color w:val="000000"/>
        </w:rPr>
        <w:t>погасявал</w:t>
      </w:r>
      <w:r>
        <w:rPr>
          <w:color w:val="000000"/>
        </w:rPr>
        <w:t xml:space="preserve"> месечните си </w:t>
      </w:r>
      <w:r w:rsidR="00201787">
        <w:rPr>
          <w:color w:val="000000"/>
        </w:rPr>
        <w:t>вноски</w:t>
      </w:r>
      <w:r>
        <w:rPr>
          <w:color w:val="000000"/>
        </w:rPr>
        <w:t xml:space="preserve"> към банката в резултат на наложените му привременни мерки в рамките на производството за отнемане.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 xml:space="preserve">Такива привременни мерки обаче не попадат в предмета на настоящата жалба, тъй като жалбоподателят е </w:t>
      </w:r>
      <w:r w:rsidR="00201787">
        <w:rPr>
          <w:color w:val="000000"/>
        </w:rPr>
        <w:t>направил оплакване</w:t>
      </w:r>
      <w:r>
        <w:rPr>
          <w:color w:val="000000"/>
        </w:rPr>
        <w:t xml:space="preserve"> единствено по отношение на действителното отнемане.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Както е отбелязано от Правителството и видно от представените от него документи, от жалбоподателя не са отнети никакви активи на действителна стойност въз основа на постановеното срещу него отнемане.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В такъв случай Съдът намира, че отнемането, което, както беше отбелязано, е предмет на жалбата, не представлява действителна намеса в притежанията на жалбоподателя. Следователно жалбоподателят не може да твърди, че е жертва на нарушение на правата му по член 1 от Протокол № 1.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 xml:space="preserve">От това следва, че жалбата е несъвместима </w:t>
      </w:r>
      <w:proofErr w:type="spellStart"/>
      <w:r>
        <w:rPr>
          <w:i/>
          <w:color w:val="000000"/>
        </w:rPr>
        <w:t>ratione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personae</w:t>
      </w:r>
      <w:proofErr w:type="spellEnd"/>
      <w:r>
        <w:rPr>
          <w:i/>
          <w:color w:val="000000"/>
        </w:rPr>
        <w:t xml:space="preserve"> с </w:t>
      </w:r>
      <w:r>
        <w:rPr>
          <w:color w:val="000000"/>
        </w:rPr>
        <w:t>разпоредбите на Конвенцията по смисъла на член 35 § 3 (а) и трябва да бъде отхвърлена в съответствие с член 35 § 4.</w:t>
      </w:r>
    </w:p>
    <w:p w:rsidR="007A5F9E" w:rsidRDefault="00557C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По тези съображения Съдът единодушно,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spacing w:before="280" w:after="60"/>
        <w:ind w:left="284" w:hanging="284"/>
        <w:jc w:val="both"/>
        <w:rPr>
          <w:color w:val="000000"/>
        </w:rPr>
      </w:pPr>
      <w:r>
        <w:rPr>
          <w:i/>
          <w:color w:val="000000"/>
        </w:rPr>
        <w:t xml:space="preserve">Обявява </w:t>
      </w:r>
      <w:r>
        <w:rPr>
          <w:color w:val="000000"/>
        </w:rPr>
        <w:t>жалбата за недопустима.</w:t>
      </w:r>
    </w:p>
    <w:p w:rsidR="007A5F9E" w:rsidRDefault="00557C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284"/>
        <w:jc w:val="both"/>
        <w:rPr>
          <w:color w:val="000000"/>
        </w:rPr>
      </w:pPr>
      <w:r>
        <w:rPr>
          <w:color w:val="000000"/>
        </w:rPr>
        <w:t xml:space="preserve">Изготвено на английски език и съобщено в писмена форма на 30 март 2023 г. </w:t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5954"/>
        </w:tabs>
        <w:spacing w:before="720"/>
        <w:rPr>
          <w:color w:val="FFFFFF"/>
        </w:rPr>
      </w:pPr>
      <w:r>
        <w:rPr>
          <w:color w:val="FFFFFF"/>
        </w:rPr>
        <w:tab/>
      </w:r>
    </w:p>
    <w:p w:rsidR="007A5F9E" w:rsidRDefault="00557C63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5954"/>
        </w:tabs>
        <w:spacing w:before="720"/>
        <w:rPr>
          <w:color w:val="000000"/>
        </w:rPr>
      </w:pPr>
      <w:r>
        <w:rPr>
          <w:color w:val="FFFFFF"/>
        </w:rPr>
        <w:t xml:space="preserve">    </w:t>
      </w:r>
      <w:r>
        <w:rPr>
          <w:color w:val="000000"/>
        </w:rPr>
        <w:t xml:space="preserve">Виктория </w:t>
      </w:r>
      <w:proofErr w:type="spellStart"/>
      <w:r>
        <w:rPr>
          <w:color w:val="000000"/>
        </w:rPr>
        <w:t>Марадудина</w:t>
      </w:r>
      <w:proofErr w:type="spellEnd"/>
      <w:r>
        <w:rPr>
          <w:color w:val="000000"/>
        </w:rPr>
        <w:tab/>
        <w:t xml:space="preserve">                                                   Дариан Павли</w:t>
      </w:r>
      <w:r>
        <w:rPr>
          <w:color w:val="000000"/>
        </w:rPr>
        <w:br/>
        <w:t xml:space="preserve">    (</w:t>
      </w:r>
      <w:proofErr w:type="spellStart"/>
      <w:r>
        <w:rPr>
          <w:color w:val="000000"/>
        </w:rPr>
        <w:t>Viktoriya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Maradudina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 xml:space="preserve">                                                    (</w:t>
      </w:r>
      <w:proofErr w:type="spellStart"/>
      <w:r>
        <w:rPr>
          <w:color w:val="000000"/>
        </w:rPr>
        <w:t>Darian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Pavli</w:t>
      </w:r>
      <w:proofErr w:type="spellEnd"/>
      <w:r>
        <w:rPr>
          <w:color w:val="000000"/>
        </w:rPr>
        <w:t>)</w:t>
      </w:r>
      <w:r>
        <w:rPr>
          <w:color w:val="000000"/>
        </w:rPr>
        <w:br/>
        <w:t xml:space="preserve"> И. д. заместник-секретар</w:t>
      </w:r>
      <w:r>
        <w:rPr>
          <w:color w:val="000000"/>
        </w:rPr>
        <w:tab/>
        <w:t xml:space="preserve">                                                     Председател</w:t>
      </w:r>
    </w:p>
    <w:p w:rsidR="007A5F9E" w:rsidRDefault="00557C63">
      <w:pPr>
        <w:sectPr w:rsidR="007A5F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74" w:right="2274" w:bottom="2274" w:left="2274" w:header="1701" w:footer="720" w:gutter="0"/>
          <w:pgNumType w:start="1"/>
          <w:cols w:space="708"/>
          <w:titlePg/>
        </w:sectPr>
      </w:pPr>
      <w:r>
        <w:br w:type="page"/>
      </w:r>
    </w:p>
    <w:p w:rsidR="007A5F9E" w:rsidRDefault="00557C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7A5F9E" w:rsidRDefault="00557C6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Списък на жалби по член 1 от Протокол № 1</w:t>
      </w:r>
    </w:p>
    <w:p w:rsidR="007A5F9E" w:rsidRDefault="00557C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color w:val="000000"/>
        </w:rPr>
      </w:pPr>
      <w:r>
        <w:rPr>
          <w:color w:val="000000"/>
        </w:rPr>
        <w:t>(</w:t>
      </w:r>
      <w:r>
        <w:rPr>
          <w:color w:val="3E3E3E"/>
        </w:rPr>
        <w:t>отнемане на имущество, за което се предполага, че е придобито от престъпна дейност</w:t>
      </w:r>
      <w:r>
        <w:rPr>
          <w:color w:val="000000"/>
        </w:rPr>
        <w:t>)</w:t>
      </w:r>
    </w:p>
    <w:tbl>
      <w:tblPr>
        <w:tblStyle w:val="a"/>
        <w:tblW w:w="15594" w:type="dxa"/>
        <w:jc w:val="center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949494"/>
          <w:insideV w:val="single" w:sz="4" w:space="0" w:color="949494"/>
        </w:tblBorders>
        <w:tblLayout w:type="fixed"/>
        <w:tblLook w:val="0420" w:firstRow="1" w:lastRow="0" w:firstColumn="0" w:lastColumn="0" w:noHBand="0" w:noVBand="1"/>
      </w:tblPr>
      <w:tblGrid>
        <w:gridCol w:w="1565"/>
        <w:gridCol w:w="1135"/>
        <w:gridCol w:w="1417"/>
        <w:gridCol w:w="1838"/>
        <w:gridCol w:w="1559"/>
        <w:gridCol w:w="3821"/>
        <w:gridCol w:w="2552"/>
        <w:gridCol w:w="1707"/>
      </w:tblGrid>
      <w:tr w:rsidR="007A5F9E" w:rsidTr="007A5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565" w:type="dxa"/>
          </w:tcPr>
          <w:p w:rsidR="007A5F9E" w:rsidRDefault="00557C63">
            <w:pPr>
              <w:jc w:val="center"/>
              <w:rPr>
                <w:sz w:val="16"/>
                <w:szCs w:val="16"/>
              </w:rPr>
            </w:pPr>
            <w:bookmarkStart w:id="1" w:name="30j0zll" w:colFirst="0" w:colLast="0"/>
            <w:bookmarkStart w:id="2" w:name="gjdgxs" w:colFirst="0" w:colLast="0"/>
            <w:bookmarkEnd w:id="1"/>
            <w:bookmarkEnd w:id="2"/>
            <w:r>
              <w:rPr>
                <w:sz w:val="16"/>
                <w:szCs w:val="16"/>
              </w:rPr>
              <w:t>Жалба №</w:t>
            </w:r>
          </w:p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Дата на подаване</w:t>
            </w:r>
          </w:p>
        </w:tc>
        <w:tc>
          <w:tcPr>
            <w:tcW w:w="1135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Име на жалбоподателя</w:t>
            </w:r>
          </w:p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Година на раждане</w:t>
            </w:r>
          </w:p>
        </w:tc>
        <w:tc>
          <w:tcPr>
            <w:tcW w:w="1417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Име на процесуалния представител и място на практика</w:t>
            </w:r>
          </w:p>
        </w:tc>
        <w:tc>
          <w:tcPr>
            <w:tcW w:w="1838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Предикатно престъпление</w:t>
            </w:r>
          </w:p>
        </w:tc>
        <w:tc>
          <w:tcPr>
            <w:tcW w:w="1559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Период, за който са проверени доходите и разходите на жалбоподателя</w:t>
            </w:r>
          </w:p>
        </w:tc>
        <w:tc>
          <w:tcPr>
            <w:tcW w:w="3821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Отнето имущество</w:t>
            </w:r>
          </w:p>
        </w:tc>
        <w:tc>
          <w:tcPr>
            <w:tcW w:w="2552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Причини, посочени от съдилищата</w:t>
            </w:r>
          </w:p>
        </w:tc>
        <w:tc>
          <w:tcPr>
            <w:tcW w:w="1707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Окончателно решение по процедурата за отнемане</w:t>
            </w:r>
          </w:p>
        </w:tc>
      </w:tr>
      <w:tr w:rsidR="007A5F9E" w:rsidTr="007A5F9E">
        <w:trPr>
          <w:cantSplit/>
          <w:jc w:val="center"/>
        </w:trPr>
        <w:tc>
          <w:tcPr>
            <w:tcW w:w="1565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53454/13</w:t>
            </w:r>
          </w:p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19.08.2013 г.</w:t>
            </w:r>
          </w:p>
        </w:tc>
        <w:tc>
          <w:tcPr>
            <w:tcW w:w="1135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Иво Матов ИЛИЕВ</w:t>
            </w:r>
          </w:p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1967 г.</w:t>
            </w:r>
          </w:p>
        </w:tc>
        <w:tc>
          <w:tcPr>
            <w:tcW w:w="1417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Зорница Витанова Горанова-Маркова </w:t>
            </w:r>
          </w:p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Гр. МОНТАНА</w:t>
            </w:r>
          </w:p>
        </w:tc>
        <w:tc>
          <w:tcPr>
            <w:tcW w:w="1838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Окончателно решение от 16 май 2008 г. на Окръжен съд - Монтана - жалбоподателят е осъден за измама, извършена през м. ноември-декември 2006 г., с която е причинил вреда на пострадалия в размер на 10 080 лв. (5 156 евро).</w:t>
            </w:r>
          </w:p>
        </w:tc>
        <w:tc>
          <w:tcPr>
            <w:tcW w:w="1559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 януари 1985 г. - 31 декември 2007 г.</w:t>
            </w:r>
          </w:p>
          <w:p w:rsidR="007A5F9E" w:rsidRDefault="007A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Парцел в град Монтана с построена върху него къща и стопански постройки; имотът е значително подобрен от жалбоподателя след закупуването му през 2005 г. и през 2008 г. пазарната му стойност е оценена на 173 920 BGN (89 000 EUR);</w:t>
            </w:r>
          </w:p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Акциите на жалбоподателя в дадено дружество;</w:t>
            </w:r>
          </w:p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Общо 2950 лева (1508 евро), получени от продажбата на няколко автомобила. </w:t>
            </w:r>
          </w:p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Правителството представи следната информация относно горепосочените активи, изготвена през август 2022 г. от органа, отговарящ за изпълнението на процедурата по отнемане:</w:t>
            </w:r>
          </w:p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color w:val="000000"/>
                <w:sz w:val="16"/>
                <w:szCs w:val="16"/>
              </w:rPr>
            </w:pPr>
            <w:bookmarkStart w:id="3" w:name="_1fob9te" w:colFirst="0" w:colLast="0"/>
            <w:bookmarkEnd w:id="3"/>
            <w:r>
              <w:rPr>
                <w:b w:val="0"/>
                <w:color w:val="000000"/>
                <w:sz w:val="16"/>
                <w:szCs w:val="16"/>
              </w:rPr>
              <w:t>- парцелът с къща, който преди това е бил ипотекиран за обезпечаване на банков кредит, е обявен на публична продан и продаден на трета страна през 2013 г.; всички приходи от продажбата са изплатени на банката;</w:t>
            </w:r>
          </w:p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- доколкото акциите на даденото дружество са били конфискувани, това дружество не е имало активи и не е извършвало стопанска дейност;</w:t>
            </w:r>
          </w:p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- жалбоподателят не е внесъл в държавния бюджет никаква част от конфискуваните парични суми; въпреки че е било образувано изпълнително производство, жалбоподателят не е разполагал с достатъчно имущество и е имал други задължения.</w:t>
            </w:r>
          </w:p>
        </w:tc>
        <w:tc>
          <w:tcPr>
            <w:tcW w:w="2552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През разглеждания период жалбоподателят и съпругата му са направили разходи в размер на 2121 минимални месечни заплати, включително за придобиване на недвижимо имущество, погасяване на заеми и ежедневни разходи. Техните законни доходи за същия период възлизат на стойност 1 698 минимални месечни заплати.</w:t>
            </w:r>
          </w:p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Липсата на каквито и да било постоянни доходи за жалбоподателя и съпругата му, в съчетание с „естеството на престъпната дейност“ на жалбоподателя, обосновават извода, че имуществото е придобито от престъпна дейност.</w:t>
            </w:r>
          </w:p>
        </w:tc>
        <w:tc>
          <w:tcPr>
            <w:tcW w:w="1707" w:type="dxa"/>
          </w:tcPr>
          <w:p w:rsidR="007A5F9E" w:rsidRDefault="00557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 февруари 2013 г. - решение на Върховния касационен съд</w:t>
            </w:r>
          </w:p>
        </w:tc>
      </w:tr>
    </w:tbl>
    <w:p w:rsidR="007A5F9E" w:rsidRDefault="007A5F9E"/>
    <w:sectPr w:rsidR="007A5F9E">
      <w:headerReference w:type="even" r:id="rId13"/>
      <w:headerReference w:type="default" r:id="rId14"/>
      <w:headerReference w:type="first" r:id="rId15"/>
      <w:pgSz w:w="16838" w:h="11906" w:orient="landscape"/>
      <w:pgMar w:top="2274" w:right="2274" w:bottom="2274" w:left="2274" w:header="170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63" w:rsidRDefault="00557C63">
      <w:r>
        <w:separator/>
      </w:r>
    </w:p>
  </w:endnote>
  <w:endnote w:type="continuationSeparator" w:id="0">
    <w:p w:rsidR="00557C63" w:rsidRDefault="0055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9E" w:rsidRDefault="00557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52428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9E" w:rsidRDefault="00557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52428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9E" w:rsidRDefault="00557C63">
    <w:pPr>
      <w:jc w:val="center"/>
    </w:pPr>
    <w:r>
      <w:rPr>
        <w:noProof/>
      </w:rPr>
      <w:drawing>
        <wp:inline distT="0" distB="0" distL="0" distR="0">
          <wp:extent cx="771525" cy="619125"/>
          <wp:effectExtent l="0" t="0" r="0" b="0"/>
          <wp:docPr id="2" name="image2.png" descr="R:\1_Graphics&amp;Web\Court_Graphic_Charter\2013\ECHR_Stationery\Documents_and_Letters\Cover_Pages_And_Docs\White_600_dpi\ECHR_CoverpageCS61_ECHR_Coverpage_Footer_COE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:\1_Graphics&amp;Web\Court_Graphic_Charter\2013\ECHR_Stationery\Documents_and_Letters\Cover_Pages_And_Docs\White_600_dpi\ECHR_CoverpageCS61_ECHR_Coverpage_Footer_COE_Blac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A5F9E" w:rsidRDefault="007A5F9E">
    <w:pPr>
      <w:pBdr>
        <w:top w:val="nil"/>
        <w:left w:val="nil"/>
        <w:bottom w:val="nil"/>
        <w:right w:val="nil"/>
        <w:between w:val="nil"/>
      </w:pBdr>
      <w:tabs>
        <w:tab w:val="center" w:pos="3686"/>
        <w:tab w:val="right" w:pos="7371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63" w:rsidRDefault="00557C63">
      <w:r>
        <w:separator/>
      </w:r>
    </w:p>
  </w:footnote>
  <w:footnote w:type="continuationSeparator" w:id="0">
    <w:p w:rsidR="00557C63" w:rsidRDefault="0055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9E" w:rsidRDefault="00557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РЕШЕНИЕ ИЛИЕВ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9E" w:rsidRDefault="00557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ILIEV v. BULGARIA РЕШЕНИЕ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9E" w:rsidRDefault="00557C63">
    <w:pPr>
      <w:jc w:val="center"/>
    </w:pPr>
    <w:r>
      <w:rPr>
        <w:noProof/>
      </w:rPr>
      <w:drawing>
        <wp:inline distT="0" distB="0" distL="0" distR="0">
          <wp:extent cx="2962275" cy="1219200"/>
          <wp:effectExtent l="0" t="0" r="0" b="0"/>
          <wp:docPr id="1" name="image1.png" descr="R:\1_Graphics&amp;Web\Court_Graphic_Charter\2013\ECHR_Stationery\Documents_and_Letters\Cover_Pages_And_Docs\White_600_dpi\ECHR_CoverpageCS61_ECHR_Coverpage_Header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:\1_Graphics&amp;Web\Court_Graphic_Charter\2013\ECHR_Stationery\Documents_and_Letters\Cover_Pages_And_Docs\White_600_dpi\ECHR_CoverpageCS61_ECHR_Coverpage_Header_Blac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A5F9E" w:rsidRDefault="007A5F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9E" w:rsidRDefault="00557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ILIEV v. BULGARIA РЕШЕНИЕ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9E" w:rsidRDefault="00557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РЕШЕНИЕ ИЛИЕВ срещу БЪЛГАРИЯ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9E" w:rsidRDefault="00557C63">
    <w:pPr>
      <w:jc w:val="center"/>
    </w:pPr>
    <w:r>
      <w:rPr>
        <w:noProof/>
      </w:rPr>
      <w:drawing>
        <wp:inline distT="0" distB="0" distL="0" distR="0">
          <wp:extent cx="2962275" cy="1219200"/>
          <wp:effectExtent l="0" t="0" r="0" b="0"/>
          <wp:docPr id="3" name="image1.png" descr="R:\1_Graphics&amp;Web\Court_Graphic_Charter\2013\ECHR_Stationery\Documents_and_Letters\Cover_Pages_And_Docs\White_600_dpi\ECHR_CoverpageCS61_ECHR_Coverpage_Header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:\1_Graphics&amp;Web\Court_Graphic_Charter\2013\ECHR_Stationery\Documents_and_Letters\Cover_Pages_And_Docs\White_600_dpi\ECHR_CoverpageCS61_ECHR_Coverpage_Header_Blac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A5F9E" w:rsidRDefault="007A5F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E37"/>
    <w:multiLevelType w:val="multilevel"/>
    <w:tmpl w:val="8510383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369" w:hanging="369"/>
      </w:pPr>
    </w:lvl>
    <w:lvl w:ilvl="2">
      <w:start w:val="1"/>
      <w:numFmt w:val="upperLetter"/>
      <w:lvlText w:val="%3."/>
      <w:lvlJc w:val="left"/>
      <w:pPr>
        <w:ind w:left="510" w:hanging="340"/>
      </w:pPr>
    </w:lvl>
    <w:lvl w:ilvl="3">
      <w:start w:val="1"/>
      <w:numFmt w:val="decimal"/>
      <w:lvlText w:val="%4."/>
      <w:lvlJc w:val="left"/>
      <w:pPr>
        <w:ind w:left="680" w:hanging="340"/>
      </w:pPr>
    </w:lvl>
    <w:lvl w:ilvl="4">
      <w:start w:val="1"/>
      <w:numFmt w:val="lowerLetter"/>
      <w:lvlText w:val="(%5)"/>
      <w:lvlJc w:val="left"/>
      <w:pPr>
        <w:ind w:left="851" w:hanging="341"/>
      </w:pPr>
    </w:lvl>
    <w:lvl w:ilvl="5">
      <w:start w:val="1"/>
      <w:numFmt w:val="lowerRoman"/>
      <w:lvlText w:val="(%6)"/>
      <w:lvlJc w:val="left"/>
      <w:pPr>
        <w:ind w:left="1021" w:hanging="341"/>
      </w:pPr>
    </w:lvl>
    <w:lvl w:ilvl="6">
      <w:start w:val="1"/>
      <w:numFmt w:val="decimal"/>
      <w:lvlText w:val="(%7)"/>
      <w:lvlJc w:val="left"/>
      <w:pPr>
        <w:ind w:left="1247" w:hanging="396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bullet"/>
      <w:lvlText w:val="‒"/>
      <w:lvlJc w:val="left"/>
      <w:pPr>
        <w:ind w:left="1247" w:hanging="226"/>
      </w:pPr>
      <w:rPr>
        <w:rFonts w:ascii="Times New Roman" w:eastAsia="Times New Roman" w:hAnsi="Times New Roman" w:cs="Times New Roman"/>
        <w:color w:val="000000"/>
      </w:rPr>
    </w:lvl>
    <w:lvl w:ilvl="8">
      <w:start w:val="1"/>
      <w:numFmt w:val="bullet"/>
      <w:lvlText w:val="▪"/>
      <w:lvlJc w:val="left"/>
      <w:pPr>
        <w:ind w:left="1361" w:hanging="170"/>
      </w:pPr>
      <w:rPr>
        <w:rFonts w:ascii="Times New Roman" w:eastAsia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E"/>
    <w:rsid w:val="00201787"/>
    <w:rsid w:val="00557C63"/>
    <w:rsid w:val="007A5F9E"/>
    <w:rsid w:val="008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06538-D9E9-4C0A-B9B9-FBD8A2F3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33333"/>
      <w:sz w:val="28"/>
      <w:szCs w:val="2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D4D4D"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  <w:outlineLvl w:val="2"/>
    </w:pPr>
    <w:rPr>
      <w:b/>
      <w:color w:val="5F5F5F"/>
      <w:sz w:val="22"/>
      <w:szCs w:val="22"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b/>
      <w:i/>
      <w:color w:val="777777"/>
      <w:sz w:val="22"/>
      <w:szCs w:val="22"/>
    </w:rPr>
  </w:style>
  <w:style w:type="paragraph" w:styleId="Heading5">
    <w:name w:val="heading 5"/>
    <w:basedOn w:val="Normal"/>
    <w:next w:val="Normal"/>
    <w:pPr>
      <w:spacing w:before="200"/>
      <w:outlineLvl w:val="4"/>
    </w:pPr>
    <w:rPr>
      <w:b/>
      <w:color w:val="808080"/>
      <w:sz w:val="22"/>
      <w:szCs w:val="22"/>
    </w:rPr>
  </w:style>
  <w:style w:type="paragraph" w:styleId="Heading6">
    <w:name w:val="heading 6"/>
    <w:basedOn w:val="Normal"/>
    <w:next w:val="Normal"/>
    <w:pPr>
      <w:spacing w:line="271" w:lineRule="auto"/>
      <w:outlineLvl w:val="5"/>
    </w:pPr>
    <w:rPr>
      <w:b/>
      <w:i/>
      <w:color w:val="7F7F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</w:pPr>
    <w:rPr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i/>
    </w:rPr>
  </w:style>
  <w:style w:type="table" w:customStyle="1" w:styleId="a">
    <w:basedOn w:val="TableNormal"/>
    <w:pPr>
      <w:tabs>
        <w:tab w:val="left" w:pos="567"/>
        <w:tab w:val="left" w:pos="851"/>
        <w:tab w:val="right" w:pos="5273"/>
        <w:tab w:val="left" w:pos="397"/>
      </w:tabs>
      <w:jc w:val="both"/>
    </w:pPr>
    <w:rPr>
      <w:b/>
      <w:color w:val="26262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bottom"/>
    </w:tc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Zhanin Al-Shargabi</cp:lastModifiedBy>
  <cp:revision>4</cp:revision>
  <dcterms:created xsi:type="dcterms:W3CDTF">2023-07-28T14:06:00Z</dcterms:created>
  <dcterms:modified xsi:type="dcterms:W3CDTF">2023-08-09T10:14:00Z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